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800" w:lineRule="exact"/>
        <w:ind w:left="1440" w:hanging="1440" w:hangingChars="200"/>
        <w:jc w:val="both"/>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eastAsia="zh-CN"/>
        </w:rPr>
        <w:t>广安市财政投资评审中心</w:t>
      </w:r>
      <w:r>
        <w:rPr>
          <w:rFonts w:hint="eastAsia" w:ascii="Times New Roman" w:hAnsi="Times New Roman" w:eastAsia="方正小标宋_GBK" w:cs="Times New Roman"/>
          <w:sz w:val="72"/>
          <w:szCs w:val="72"/>
          <w:highlight w:val="none"/>
          <w:lang w:val="en-US" w:eastAsia="zh-CN"/>
        </w:rPr>
        <w:t>2024</w:t>
      </w:r>
      <w:r>
        <w:rPr>
          <w:rFonts w:hint="default" w:ascii="Times New Roman" w:hAnsi="Times New Roman" w:eastAsia="方正小标宋_GBK" w:cs="Times New Roman"/>
          <w:sz w:val="72"/>
          <w:szCs w:val="72"/>
          <w:highlight w:val="none"/>
        </w:rPr>
        <w:t>年</w:t>
      </w:r>
      <w:r>
        <w:rPr>
          <w:rFonts w:hint="eastAsia" w:ascii="Times New Roman" w:hAnsi="Times New Roman" w:eastAsia="方正小标宋_GBK" w:cs="Times New Roman"/>
          <w:sz w:val="72"/>
          <w:szCs w:val="72"/>
          <w:highlight w:val="none"/>
          <w:lang w:eastAsia="zh-CN"/>
        </w:rPr>
        <w:t>单位</w:t>
      </w:r>
      <w:r>
        <w:rPr>
          <w:rFonts w:hint="default" w:ascii="Times New Roman" w:hAnsi="Times New Roman" w:eastAsia="方正小标宋_GBK" w:cs="Times New Roman"/>
          <w:sz w:val="72"/>
          <w:szCs w:val="72"/>
          <w:highlight w:val="none"/>
        </w:rPr>
        <w:t>预算</w:t>
      </w: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r>
        <w:rPr>
          <w:rFonts w:hint="eastAsia" w:ascii="Times New Roman" w:hAnsi="Times New Roman" w:eastAsia="黑体" w:cs="Times New Roman"/>
          <w:kern w:val="0"/>
          <w:sz w:val="32"/>
          <w:szCs w:val="32"/>
          <w:highlight w:val="none"/>
          <w:lang w:val="en-US" w:eastAsia="zh-CN" w:bidi="ar"/>
        </w:rPr>
        <w:t>广安市财政投资评审中心</w:t>
      </w:r>
      <w:r>
        <w:rPr>
          <w:rFonts w:hint="default" w:ascii="Times New Roman" w:hAnsi="Times New Roman" w:eastAsia="黑体" w:cs="Times New Roman"/>
          <w:kern w:val="0"/>
          <w:sz w:val="32"/>
          <w:szCs w:val="32"/>
          <w:highlight w:val="none"/>
          <w:lang w:val="en-US" w:eastAsia="zh-CN" w:bidi="ar"/>
        </w:rPr>
        <w:t>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二、预算单位构成</w:t>
      </w:r>
    </w:p>
    <w:p>
      <w:pPr>
        <w:keepNext w:val="0"/>
        <w:keepLines w:val="0"/>
        <w:pageBreakBefore w:val="0"/>
        <w:kinsoku/>
        <w:wordWrap/>
        <w:overflowPunct/>
        <w:topLinePunct w:val="0"/>
        <w:autoSpaceDE/>
        <w:autoSpaceDN/>
        <w:bidi w:val="0"/>
        <w:adjustRightInd/>
        <w:snapToGrid/>
        <w:spacing w:line="560" w:lineRule="exact"/>
        <w:ind w:left="2238" w:leftChars="304" w:hanging="1600" w:hangingChars="5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广安市财政投资评审中心</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w:t>
      </w:r>
      <w:r>
        <w:rPr>
          <w:rFonts w:hint="eastAsia" w:ascii="Times New Roman" w:hAnsi="Times New Roman" w:eastAsia="黑体" w:cs="Times New Roman"/>
          <w:kern w:val="0"/>
          <w:sz w:val="32"/>
          <w:szCs w:val="32"/>
          <w:highlight w:val="none"/>
          <w:lang w:val="en-US" w:eastAsia="zh-CN" w:bidi="ar"/>
        </w:rPr>
        <w:t>单位预算</w:t>
      </w:r>
      <w:r>
        <w:rPr>
          <w:rFonts w:hint="default" w:ascii="Times New Roman" w:hAnsi="Times New Roman" w:eastAsia="黑体" w:cs="Times New Roman"/>
          <w:kern w:val="0"/>
          <w:sz w:val="32"/>
          <w:szCs w:val="32"/>
          <w:highlight w:val="none"/>
          <w:lang w:val="en-US" w:eastAsia="zh-CN" w:bidi="ar"/>
        </w:rPr>
        <w:t>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pPr>
        <w:keepNext w:val="0"/>
        <w:keepLines w:val="0"/>
        <w:pageBreakBefore w:val="0"/>
        <w:kinsoku/>
        <w:wordWrap/>
        <w:overflowPunct/>
        <w:topLinePunct w:val="0"/>
        <w:autoSpaceDE/>
        <w:autoSpaceDN/>
        <w:bidi w:val="0"/>
        <w:adjustRightInd/>
        <w:snapToGrid/>
        <w:spacing w:line="560" w:lineRule="exact"/>
        <w:ind w:left="2558" w:leftChars="304" w:hanging="1920" w:hangingChars="600"/>
        <w:jc w:val="both"/>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广安市财政投资评审中心</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w:t>
      </w:r>
      <w:r>
        <w:rPr>
          <w:rFonts w:hint="eastAsia" w:ascii="Times New Roman" w:hAnsi="Times New Roman" w:eastAsia="黑体" w:cs="Times New Roman"/>
          <w:kern w:val="0"/>
          <w:sz w:val="32"/>
          <w:szCs w:val="32"/>
          <w:highlight w:val="none"/>
          <w:lang w:val="en-US" w:eastAsia="zh-CN" w:bidi="ar"/>
        </w:rPr>
        <w:t>单位预算</w:t>
      </w:r>
      <w:r>
        <w:rPr>
          <w:rFonts w:hint="default" w:ascii="Times New Roman" w:hAnsi="Times New Roman" w:eastAsia="黑体" w:cs="Times New Roman"/>
          <w:kern w:val="0"/>
          <w:sz w:val="32"/>
          <w:szCs w:val="32"/>
          <w:highlight w:val="none"/>
          <w:lang w:val="en-US" w:eastAsia="zh-CN" w:bidi="ar"/>
        </w:rPr>
        <w:t>表</w:t>
      </w:r>
    </w:p>
    <w:p>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表1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收支总表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收入总表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表1-2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支出总表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eastAsia"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960" w:firstLineChars="3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 xml:space="preserve">表6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预算项目绩效目标</w:t>
      </w:r>
      <w:r>
        <w:rPr>
          <w:rFonts w:hint="default" w:ascii="Times New Roman" w:hAnsi="Times New Roman" w:eastAsia="仿宋_GB2312" w:cs="Times New Roman"/>
          <w:sz w:val="32"/>
          <w:szCs w:val="32"/>
          <w:highlight w:val="none"/>
          <w:lang w:eastAsia="zh-CN"/>
        </w:rPr>
        <w:t>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 广安市财政投资评审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Chars="0" w:right="0" w:rightChars="0" w:firstLine="3120" w:firstLineChars="60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中心概况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7"/>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pPr>
        <w:spacing w:line="600" w:lineRule="exact"/>
        <w:ind w:firstLine="642"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val="en-US" w:eastAsia="zh-CN"/>
        </w:rPr>
        <w:t>广安市财政投资评审中心（以下简称评审中心）</w:t>
      </w:r>
      <w:r>
        <w:rPr>
          <w:rFonts w:hint="default" w:ascii="Times New Roman" w:hAnsi="Times New Roman" w:eastAsia="楷体_GB2312" w:cs="Times New Roman"/>
          <w:b/>
          <w:sz w:val="32"/>
          <w:szCs w:val="32"/>
          <w:highlight w:val="none"/>
        </w:rPr>
        <w:t>职能简介。</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1.负责财政投资评审的相关办法、制度的起草;</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2.负责组织实施财政部门委托的投资项目的概算、预算、决算的审核,并及时出具评审报告;</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3.负责财政投资评审中介机构库、评审专家库及评审数据库的建设和管理等。</w:t>
      </w:r>
    </w:p>
    <w:p>
      <w:pPr>
        <w:keepNext w:val="0"/>
        <w:keepLines w:val="0"/>
        <w:pageBreakBefore w:val="0"/>
        <w:widowControl w:val="0"/>
        <w:numPr>
          <w:ilvl w:val="0"/>
          <w:numId w:val="0"/>
        </w:numPr>
        <w:pBdr>
          <w:bottom w:val="none" w:color="FFFFFF" w:sz="0" w:space="23"/>
        </w:pBdr>
        <w:kinsoku/>
        <w:wordWrap/>
        <w:overflowPunct/>
        <w:topLinePunct w:val="0"/>
        <w:autoSpaceDE/>
        <w:autoSpaceDN/>
        <w:bidi w:val="0"/>
        <w:adjustRightInd/>
        <w:snapToGrid/>
        <w:spacing w:line="590" w:lineRule="exact"/>
        <w:ind w:left="0" w:leftChars="0" w:right="0" w:rightChars="0" w:firstLine="662"/>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val="en-US" w:eastAsia="zh-CN"/>
        </w:rPr>
        <w:t>广安市财政投资评审中心（以下简称评审中心）</w:t>
      </w:r>
      <w:r>
        <w:rPr>
          <w:rFonts w:hint="eastAsia" w:ascii="Times New Roman" w:hAnsi="Times New Roman" w:eastAsia="楷体_GB2312" w:cs="Times New Roman"/>
          <w:b/>
          <w:sz w:val="32"/>
          <w:szCs w:val="32"/>
          <w:highlight w:val="none"/>
          <w:lang w:eastAsia="zh-CN"/>
        </w:rPr>
        <w:t>2024年</w:t>
      </w:r>
      <w:r>
        <w:rPr>
          <w:rFonts w:hint="default" w:ascii="Times New Roman" w:hAnsi="Times New Roman" w:eastAsia="楷体_GB2312" w:cs="Times New Roman"/>
          <w:b/>
          <w:sz w:val="32"/>
          <w:szCs w:val="32"/>
          <w:highlight w:val="none"/>
        </w:rPr>
        <w:t>重点工作。</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rPr>
        <w:t>　　</w:t>
      </w:r>
      <w:r>
        <w:rPr>
          <w:rFonts w:hint="eastAsia" w:ascii="Times New Roman" w:hAnsi="Times New Roman" w:eastAsia="方正仿宋_GBK" w:cs="方正仿宋_GBK"/>
          <w:color w:val="auto"/>
          <w:sz w:val="33"/>
          <w:szCs w:val="33"/>
          <w:lang w:val="en-US" w:eastAsia="zh-CN"/>
        </w:rPr>
        <w:t>2024年，我们将全面归纳我市财政投资评审改革好的经验作法，学习借鉴其他市州的优秀案例，下深水、求实效，力争全市财评工作走深走实、常态长效。</w:t>
      </w:r>
      <w:r>
        <w:rPr>
          <w:rFonts w:hint="eastAsia" w:ascii="Times New Roman" w:hAnsi="Times New Roman" w:eastAsia="方正仿宋_GBK" w:cs="方正仿宋_GBK"/>
          <w:b/>
          <w:bCs/>
          <w:color w:val="auto"/>
          <w:kern w:val="2"/>
          <w:sz w:val="33"/>
          <w:szCs w:val="33"/>
          <w:lang w:val="en-US" w:eastAsia="zh-CN" w:bidi="ar-SA"/>
        </w:rPr>
        <w:t>一是</w:t>
      </w:r>
      <w:r>
        <w:rPr>
          <w:rFonts w:hint="eastAsia" w:ascii="Times New Roman" w:hAnsi="Times New Roman" w:eastAsia="方正仿宋_GBK" w:cs="方正仿宋_GBK"/>
          <w:b w:val="0"/>
          <w:bCs w:val="0"/>
          <w:color w:val="auto"/>
          <w:spacing w:val="0"/>
          <w:sz w:val="33"/>
          <w:szCs w:val="33"/>
          <w:u w:val="none" w:color="auto"/>
          <w:lang w:val="en-US" w:eastAsia="zh-CN"/>
        </w:rPr>
        <w:t>坚持全市财评“一盘棋”，在市本级有效探索的基础上，向县（市、区）全面推广财评系统和微信公众号，变各自为政为整体推进，</w:t>
      </w:r>
      <w:r>
        <w:rPr>
          <w:rFonts w:hint="eastAsia" w:ascii="Times New Roman" w:hAnsi="Times New Roman" w:eastAsia="方正仿宋_GBK" w:cs="方正仿宋_GBK"/>
          <w:b w:val="0"/>
          <w:bCs w:val="0"/>
          <w:color w:val="auto"/>
          <w:spacing w:val="0"/>
          <w:sz w:val="33"/>
          <w:szCs w:val="33"/>
          <w:u w:val="none" w:color="auto"/>
          <w:lang w:val="en" w:eastAsia="zh-CN"/>
        </w:rPr>
        <w:t>实现对全市的财评项目在线运行和管控，提高项目评审的便捷度和透明度。</w:t>
      </w:r>
      <w:r>
        <w:rPr>
          <w:rFonts w:hint="eastAsia" w:ascii="Times New Roman" w:hAnsi="Times New Roman" w:eastAsia="方正仿宋_GBK" w:cs="方正仿宋_GBK"/>
          <w:b/>
          <w:bCs/>
          <w:color w:val="auto"/>
          <w:kern w:val="2"/>
          <w:sz w:val="33"/>
          <w:szCs w:val="33"/>
          <w:lang w:val="en-US" w:eastAsia="zh-CN" w:bidi="ar-SA"/>
        </w:rPr>
        <w:t>二是</w:t>
      </w:r>
      <w:r>
        <w:rPr>
          <w:rFonts w:hint="eastAsia" w:ascii="Times New Roman" w:hAnsi="Times New Roman" w:eastAsia="方正仿宋_GBK" w:cs="方正仿宋_GBK"/>
          <w:color w:val="auto"/>
          <w:kern w:val="2"/>
          <w:sz w:val="33"/>
          <w:szCs w:val="33"/>
          <w:lang w:val="en-US" w:eastAsia="zh-CN" w:bidi="ar-SA"/>
        </w:rPr>
        <w:t>针对“费用类上级政策性文件已失效，评审时无有效文件依据”的问题，加快拟定我市费用类评审标准，待讨论完善后出台。</w:t>
      </w:r>
      <w:r>
        <w:rPr>
          <w:rFonts w:hint="eastAsia" w:ascii="Times New Roman" w:hAnsi="Times New Roman" w:eastAsia="方正仿宋_GBK" w:cs="方正仿宋_GBK"/>
          <w:b/>
          <w:bCs/>
          <w:color w:val="auto"/>
          <w:kern w:val="2"/>
          <w:sz w:val="33"/>
          <w:szCs w:val="33"/>
          <w:lang w:val="en-US" w:eastAsia="zh-CN" w:bidi="ar-SA"/>
        </w:rPr>
        <w:t>三是</w:t>
      </w:r>
      <w:r>
        <w:rPr>
          <w:rFonts w:hint="eastAsia" w:ascii="Times New Roman" w:hAnsi="Times New Roman" w:eastAsia="方正仿宋_GBK" w:cs="方正仿宋_GBK"/>
          <w:color w:val="auto"/>
          <w:kern w:val="2"/>
          <w:sz w:val="33"/>
          <w:szCs w:val="33"/>
          <w:lang w:val="en-US" w:eastAsia="zh-CN" w:bidi="ar-SA"/>
        </w:rPr>
        <w:t>积极探索在评审管理信息系统建立材料价格库，对已评审项目的材料价格进行归类，形成大量常用材料的参考价，提升数据利用率，为审核提供依据，减少材料定价争议。</w:t>
      </w:r>
      <w:r>
        <w:rPr>
          <w:rFonts w:hint="eastAsia" w:ascii="Times New Roman" w:hAnsi="Times New Roman" w:eastAsia="方正仿宋_GBK" w:cs="方正仿宋_GBK"/>
          <w:b/>
          <w:bCs/>
          <w:color w:val="auto"/>
          <w:kern w:val="2"/>
          <w:sz w:val="33"/>
          <w:szCs w:val="33"/>
          <w:lang w:val="en" w:eastAsia="zh-CN" w:bidi="ar-SA"/>
        </w:rPr>
        <w:t>四是</w:t>
      </w:r>
      <w:r>
        <w:rPr>
          <w:rFonts w:hint="eastAsia" w:ascii="Times New Roman" w:hAnsi="Times New Roman" w:eastAsia="方正仿宋_GBK" w:cs="方正仿宋_GBK"/>
          <w:color w:val="auto"/>
          <w:sz w:val="33"/>
          <w:szCs w:val="33"/>
          <w:lang w:val="en" w:eastAsia="zh-CN"/>
        </w:rPr>
        <w:t>积极探索“财评</w:t>
      </w:r>
      <w:r>
        <w:rPr>
          <w:rFonts w:hint="eastAsia" w:ascii="Times New Roman" w:hAnsi="Times New Roman" w:eastAsia="方正仿宋_GBK" w:cs="方正仿宋_GBK"/>
          <w:color w:val="auto"/>
          <w:sz w:val="33"/>
          <w:szCs w:val="33"/>
          <w:lang w:val="en-US" w:eastAsia="zh-CN"/>
        </w:rPr>
        <w:t>+”的有效路径，推进财评与预算、绩效有机融合，将项目支出必要性、可行性、效益性引入财评，针对财评中发现的问题项目，采取调整、压减、取消等手段优化项目资金投向，实现从定量工具向服务决策深化。</w:t>
      </w:r>
      <w:r>
        <w:rPr>
          <w:rFonts w:hint="eastAsia" w:ascii="Times New Roman" w:hAnsi="Times New Roman" w:eastAsia="方正仿宋_GBK" w:cs="方正仿宋_GBK"/>
          <w:b/>
          <w:bCs/>
          <w:color w:val="auto"/>
          <w:kern w:val="2"/>
          <w:sz w:val="33"/>
          <w:szCs w:val="33"/>
          <w:lang w:val="en-US" w:eastAsia="zh-CN" w:bidi="ar-SA"/>
        </w:rPr>
        <w:t>五是</w:t>
      </w:r>
      <w:r>
        <w:rPr>
          <w:rFonts w:hint="eastAsia" w:ascii="Times New Roman" w:hAnsi="Times New Roman" w:eastAsia="方正仿宋_GBK" w:cs="方正仿宋_GBK"/>
          <w:color w:val="auto"/>
          <w:kern w:val="2"/>
          <w:sz w:val="33"/>
          <w:szCs w:val="33"/>
          <w:lang w:val="en-US" w:eastAsia="zh-CN" w:bidi="ar-SA"/>
        </w:rPr>
        <w:t>建立内部激励约束机制，加强评审人员的管理，层层压实责任，保证评审质效。</w:t>
      </w:r>
      <w:r>
        <w:rPr>
          <w:rFonts w:hint="default" w:ascii="Times New Roman" w:hAnsi="Times New Roman" w:eastAsia="仿宋_GB2312" w:cs="Times New Roman"/>
          <w:sz w:val="32"/>
          <w:szCs w:val="32"/>
          <w:highlight w:val="none"/>
        </w:rPr>
        <w:t>　</w:t>
      </w:r>
    </w:p>
    <w:p>
      <w:pPr>
        <w:keepNext w:val="0"/>
        <w:keepLines w:val="0"/>
        <w:pageBreakBefore w:val="0"/>
        <w:widowControl w:val="0"/>
        <w:numPr>
          <w:ilvl w:val="0"/>
          <w:numId w:val="0"/>
        </w:numPr>
        <w:pBdr>
          <w:bottom w:val="none" w:color="FFFFFF" w:sz="0" w:space="23"/>
        </w:pBdr>
        <w:kinsoku/>
        <w:wordWrap/>
        <w:overflowPunct/>
        <w:topLinePunct w:val="0"/>
        <w:autoSpaceDE/>
        <w:autoSpaceDN/>
        <w:bidi w:val="0"/>
        <w:adjustRightInd/>
        <w:snapToGrid/>
        <w:spacing w:line="590" w:lineRule="exact"/>
        <w:ind w:left="0" w:leftChars="0" w:right="0" w:rightChars="0" w:firstLine="662"/>
        <w:jc w:val="both"/>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二、预算单位构成情况</w:t>
      </w:r>
    </w:p>
    <w:p>
      <w:pPr>
        <w:keepNext w:val="0"/>
        <w:keepLines w:val="0"/>
        <w:pageBreakBefore w:val="0"/>
        <w:widowControl w:val="0"/>
        <w:numPr>
          <w:ilvl w:val="0"/>
          <w:numId w:val="0"/>
        </w:numPr>
        <w:pBdr>
          <w:bottom w:val="none" w:color="FFFFFF" w:sz="0" w:space="23"/>
        </w:pBdr>
        <w:kinsoku/>
        <w:wordWrap/>
        <w:overflowPunct/>
        <w:topLinePunct w:val="0"/>
        <w:autoSpaceDE/>
        <w:autoSpaceDN/>
        <w:bidi w:val="0"/>
        <w:adjustRightInd/>
        <w:snapToGrid/>
        <w:spacing w:line="590" w:lineRule="exact"/>
        <w:ind w:left="0" w:leftChars="0" w:right="0" w:rightChars="0" w:firstLine="662"/>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22"/>
          <w:highlight w:val="none"/>
          <w:lang w:val="en-US" w:eastAsia="zh-CN" w:bidi="ar-SA"/>
        </w:rPr>
        <w:t>广安市财政投资评审中心</w:t>
      </w:r>
      <w:r>
        <w:rPr>
          <w:rFonts w:hint="default" w:ascii="Times New Roman" w:hAnsi="Times New Roman" w:eastAsia="仿宋_GB2312" w:cs="Times New Roman"/>
          <w:sz w:val="32"/>
          <w:szCs w:val="32"/>
          <w:highlight w:val="none"/>
        </w:rPr>
        <w:t>内设</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个科室，主要包括：</w:t>
      </w:r>
      <w:r>
        <w:rPr>
          <w:rFonts w:hint="eastAsia" w:ascii="Times New Roman" w:hAnsi="Times New Roman" w:eastAsia="仿宋_GB2312" w:cs="Times New Roman"/>
          <w:sz w:val="32"/>
          <w:szCs w:val="32"/>
          <w:highlight w:val="none"/>
          <w:lang w:eastAsia="zh-CN"/>
        </w:rPr>
        <w:t>评审一部、评审二部、复核部、综合部</w:t>
      </w:r>
      <w:r>
        <w:rPr>
          <w:rFonts w:hint="default" w:ascii="Times New Roman" w:hAnsi="Times New Roman" w:eastAsia="仿宋_GB2312" w:cs="Times New Roman"/>
          <w:sz w:val="32"/>
          <w:szCs w:val="32"/>
          <w:highlight w:val="none"/>
        </w:rPr>
        <w:t>。</w:t>
      </w:r>
    </w:p>
    <w:p>
      <w:pPr>
        <w:spacing w:line="240" w:lineRule="auto"/>
        <w:ind w:firstLine="0"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广安市财政投资评审中心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2024年单位预算情况说明</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eastAsia="zh-CN"/>
        </w:rPr>
        <w:t>评审</w:t>
      </w:r>
      <w:r>
        <w:rPr>
          <w:rFonts w:hint="eastAsia" w:ascii="Times New Roman" w:hAnsi="Times New Roman" w:eastAsia="仿宋_GB2312" w:cs="Times New Roman"/>
          <w:kern w:val="2"/>
          <w:sz w:val="32"/>
          <w:szCs w:val="32"/>
          <w:highlight w:val="none"/>
          <w:lang w:val="en-US" w:eastAsia="zh-CN" w:bidi="ar-SA"/>
        </w:rPr>
        <w:t>中心</w:t>
      </w:r>
      <w:r>
        <w:rPr>
          <w:rFonts w:hint="default" w:ascii="Times New Roman" w:hAnsi="Times New Roman" w:eastAsia="仿宋_GB2312" w:cs="Times New Roman"/>
          <w:sz w:val="32"/>
          <w:szCs w:val="32"/>
          <w:highlight w:val="none"/>
        </w:rPr>
        <w:t>所有收入和支出均纳入</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预算管理。收入包括：一般公共预算拨款收入；支出包括：一般公共服务支出、</w:t>
      </w:r>
      <w:r>
        <w:rPr>
          <w:rFonts w:hint="eastAsia" w:ascii="Times New Roman" w:hAnsi="Times New Roman" w:eastAsia="仿宋_GB2312" w:cs="Times New Roman"/>
          <w:sz w:val="32"/>
          <w:szCs w:val="32"/>
          <w:highlight w:val="none"/>
          <w:lang w:eastAsia="zh-CN"/>
        </w:rPr>
        <w:t>社会保障和就业支出、卫生健康支出</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评审</w:t>
      </w:r>
      <w:r>
        <w:rPr>
          <w:rFonts w:hint="eastAsia" w:ascii="Times New Roman" w:hAnsi="Times New Roman" w:eastAsia="仿宋_GB2312" w:cs="Times New Roman"/>
          <w:kern w:val="2"/>
          <w:sz w:val="32"/>
          <w:szCs w:val="32"/>
          <w:highlight w:val="none"/>
          <w:lang w:val="en-US" w:eastAsia="zh-CN" w:bidi="ar-SA"/>
        </w:rPr>
        <w:t>中心</w:t>
      </w: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609.57</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收支预算总数</w:t>
      </w:r>
      <w:r>
        <w:rPr>
          <w:rFonts w:hint="eastAsia" w:ascii="Times New Roman" w:hAnsi="Times New Roman" w:eastAsia="仿宋_GB2312" w:cs="Times New Roman"/>
          <w:sz w:val="32"/>
          <w:szCs w:val="32"/>
          <w:highlight w:val="none"/>
          <w:u w:val="none"/>
          <w:lang w:eastAsia="zh-CN"/>
        </w:rPr>
        <w:t>增加</w:t>
      </w:r>
      <w:r>
        <w:rPr>
          <w:rFonts w:hint="eastAsia" w:ascii="Times New Roman" w:hAnsi="Times New Roman" w:eastAsia="仿宋_GB2312" w:cs="Times New Roman"/>
          <w:sz w:val="32"/>
          <w:szCs w:val="32"/>
          <w:highlight w:val="none"/>
          <w:u w:val="none"/>
          <w:lang w:val="en-US" w:eastAsia="zh-CN"/>
        </w:rPr>
        <w:t>26.02</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eastAsia="zh-CN"/>
        </w:rPr>
        <w:t>人员增加，公用经费预算相应增加</w:t>
      </w:r>
      <w:r>
        <w:rPr>
          <w:rFonts w:hint="default" w:ascii="Times New Roman" w:hAnsi="Times New Roman" w:eastAsia="仿宋_GB2312" w:cs="Times New Roman"/>
          <w:sz w:val="32"/>
          <w:szCs w:val="32"/>
          <w:highlight w:val="none"/>
        </w:rPr>
        <w:t>。</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评审</w:t>
      </w:r>
      <w:r>
        <w:rPr>
          <w:rFonts w:hint="eastAsia" w:ascii="Times New Roman" w:hAnsi="Times New Roman" w:eastAsia="仿宋_GB2312" w:cs="Times New Roman"/>
          <w:kern w:val="2"/>
          <w:sz w:val="32"/>
          <w:szCs w:val="32"/>
          <w:highlight w:val="none"/>
          <w:lang w:val="en-US" w:eastAsia="zh-CN" w:bidi="ar-SA"/>
        </w:rPr>
        <w:t>中心</w:t>
      </w: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609.57</w:t>
      </w:r>
      <w:r>
        <w:rPr>
          <w:rFonts w:hint="default" w:ascii="Times New Roman" w:hAnsi="Times New Roman" w:eastAsia="仿宋_GB2312" w:cs="Times New Roman"/>
          <w:sz w:val="32"/>
          <w:szCs w:val="32"/>
          <w:highlight w:val="none"/>
        </w:rPr>
        <w:t>万元，其中：一般公共预算拨款收入</w:t>
      </w:r>
      <w:r>
        <w:rPr>
          <w:rFonts w:hint="eastAsia" w:ascii="Times New Roman" w:hAnsi="Times New Roman" w:eastAsia="仿宋_GB2312" w:cs="Times New Roman"/>
          <w:sz w:val="32"/>
          <w:szCs w:val="32"/>
          <w:highlight w:val="none"/>
          <w:lang w:val="en-US" w:eastAsia="zh-CN"/>
        </w:rPr>
        <w:t>609.57</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eastAsia" w:ascii="Times New Roman" w:hAnsi="Times New Roman" w:eastAsia="仿宋_GB2312" w:cs="Times New Roman"/>
          <w:sz w:val="32"/>
          <w:szCs w:val="32"/>
          <w:highlight w:val="none"/>
          <w:lang w:eastAsia="zh-CN"/>
        </w:rPr>
        <w:t>评审</w:t>
      </w:r>
      <w:r>
        <w:rPr>
          <w:rFonts w:hint="eastAsia" w:ascii="Times New Roman" w:hAnsi="Times New Roman" w:eastAsia="仿宋_GB2312" w:cs="Times New Roman"/>
          <w:kern w:val="2"/>
          <w:sz w:val="32"/>
          <w:szCs w:val="32"/>
          <w:highlight w:val="none"/>
          <w:lang w:val="en-US" w:eastAsia="zh-CN" w:bidi="ar-SA"/>
        </w:rPr>
        <w:t>中心</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609.57</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109.57</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17.97</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500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82.03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评审中心2024年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609.57</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u w:val="none"/>
          <w:lang w:eastAsia="zh-CN"/>
        </w:rPr>
        <w:t>增加</w:t>
      </w:r>
      <w:r>
        <w:rPr>
          <w:rFonts w:hint="eastAsia" w:ascii="Times New Roman" w:hAnsi="Times New Roman" w:eastAsia="仿宋_GB2312" w:cs="Times New Roman"/>
          <w:sz w:val="32"/>
          <w:szCs w:val="32"/>
          <w:highlight w:val="none"/>
          <w:u w:val="none"/>
          <w:lang w:val="en-US" w:eastAsia="zh-CN"/>
        </w:rPr>
        <w:t>26.02</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eastAsia="zh-CN"/>
        </w:rPr>
        <w:t>人员增加，公用经费预算相应增加</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609.57</w:t>
      </w:r>
      <w:r>
        <w:rPr>
          <w:rFonts w:hint="default" w:ascii="Times New Roman" w:hAnsi="Times New Roman" w:eastAsia="仿宋_GB2312" w:cs="Times New Roman"/>
          <w:sz w:val="32"/>
          <w:szCs w:val="32"/>
          <w:highlight w:val="none"/>
        </w:rPr>
        <w:t>万元；支出包括：一般公共服务支出</w:t>
      </w:r>
      <w:r>
        <w:rPr>
          <w:rFonts w:hint="eastAsia" w:ascii="Times New Roman" w:hAnsi="Times New Roman" w:eastAsia="仿宋_GB2312" w:cs="Times New Roman"/>
          <w:sz w:val="32"/>
          <w:szCs w:val="32"/>
          <w:highlight w:val="none"/>
          <w:lang w:val="en-US" w:eastAsia="zh-CN"/>
        </w:rPr>
        <w:t>593.82</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社会保障和就业支出</w:t>
      </w:r>
      <w:r>
        <w:rPr>
          <w:rFonts w:hint="eastAsia" w:ascii="Times New Roman" w:hAnsi="Times New Roman" w:eastAsia="仿宋_GB2312" w:cs="Times New Roman"/>
          <w:sz w:val="32"/>
          <w:szCs w:val="32"/>
          <w:highlight w:val="none"/>
          <w:lang w:val="en-US" w:eastAsia="zh-CN"/>
        </w:rPr>
        <w:t>11.60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卫生健康支出</w:t>
      </w:r>
      <w:r>
        <w:rPr>
          <w:rFonts w:hint="eastAsia" w:ascii="Times New Roman" w:hAnsi="Times New Roman" w:eastAsia="仿宋_GB2312" w:cs="Times New Roman"/>
          <w:sz w:val="32"/>
          <w:szCs w:val="32"/>
          <w:highlight w:val="none"/>
          <w:lang w:val="en-US" w:eastAsia="zh-CN"/>
        </w:rPr>
        <w:t>4.15</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评审中心2024年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609.57</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预算数</w:t>
      </w:r>
      <w:r>
        <w:rPr>
          <w:rFonts w:hint="eastAsia" w:ascii="Times New Roman" w:hAnsi="Times New Roman" w:eastAsia="仿宋_GB2312" w:cs="Times New Roman"/>
          <w:sz w:val="32"/>
          <w:szCs w:val="32"/>
          <w:highlight w:val="none"/>
          <w:u w:val="none"/>
          <w:lang w:eastAsia="zh-CN"/>
        </w:rPr>
        <w:t>增加</w:t>
      </w:r>
      <w:r>
        <w:rPr>
          <w:rFonts w:hint="eastAsia" w:ascii="Times New Roman" w:hAnsi="Times New Roman" w:eastAsia="仿宋_GB2312" w:cs="Times New Roman"/>
          <w:sz w:val="32"/>
          <w:szCs w:val="32"/>
          <w:highlight w:val="none"/>
          <w:u w:val="none"/>
          <w:lang w:val="en-US" w:eastAsia="zh-CN"/>
        </w:rPr>
        <w:t>26.02</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eastAsia="zh-CN"/>
        </w:rPr>
        <w:t>人员增加，公用经费预算相应增加</w:t>
      </w:r>
      <w:r>
        <w:rPr>
          <w:rFonts w:hint="default" w:ascii="Times New Roman" w:hAnsi="Times New Roman" w:eastAsia="仿宋_GB2312" w:cs="Times New Roman"/>
          <w:sz w:val="32"/>
          <w:szCs w:val="32"/>
          <w:highlight w:val="none"/>
        </w:rPr>
        <w:t>。</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一般公共服务支出</w:t>
      </w:r>
      <w:r>
        <w:rPr>
          <w:rFonts w:hint="eastAsia" w:ascii="Times New Roman" w:hAnsi="Times New Roman" w:eastAsia="仿宋_GB2312" w:cs="Times New Roman"/>
          <w:sz w:val="32"/>
          <w:szCs w:val="32"/>
          <w:highlight w:val="none"/>
          <w:lang w:val="en-US" w:eastAsia="zh-CN"/>
        </w:rPr>
        <w:t>593.82</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97.42</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社会保障和就业支出</w:t>
      </w:r>
      <w:r>
        <w:rPr>
          <w:rFonts w:hint="eastAsia" w:ascii="Times New Roman" w:hAnsi="Times New Roman" w:eastAsia="仿宋_GB2312" w:cs="Times New Roman"/>
          <w:sz w:val="32"/>
          <w:szCs w:val="32"/>
          <w:highlight w:val="none"/>
          <w:lang w:val="en-US" w:eastAsia="zh-CN"/>
        </w:rPr>
        <w:t>11.60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1.90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卫生健康支出</w:t>
      </w:r>
      <w:r>
        <w:rPr>
          <w:rFonts w:hint="eastAsia" w:ascii="Times New Roman" w:hAnsi="Times New Roman" w:eastAsia="仿宋_GB2312" w:cs="Times New Roman"/>
          <w:sz w:val="32"/>
          <w:szCs w:val="32"/>
          <w:highlight w:val="none"/>
          <w:lang w:val="en-US" w:eastAsia="zh-CN"/>
        </w:rPr>
        <w:t>4.15</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0.68</w:t>
      </w:r>
      <w:r>
        <w:rPr>
          <w:rFonts w:hint="default" w:ascii="Times New Roman" w:hAnsi="Times New Roman" w:eastAsia="仿宋_GB2312" w:cs="Times New Roman"/>
          <w:sz w:val="32"/>
          <w:szCs w:val="32"/>
          <w:highlight w:val="none"/>
        </w:rPr>
        <w:t>%。</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pPr>
        <w:suppressAutoHyphens/>
        <w:bidi w:val="0"/>
        <w:spacing w:line="58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1.一般公共服务支出(类)财政事务(款)财政委托业务费(项):2024年预算数为500万元,主要用于保障评审中心工作正常运转的项目支出。</w:t>
      </w:r>
    </w:p>
    <w:p>
      <w:pPr>
        <w:suppressAutoHyphens/>
        <w:bidi w:val="0"/>
        <w:spacing w:line="58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2.一般公共服务支出(类)财政事务(款)事业运行(项):2024年预算数为93.82万元,主要用于保障评审中心正常运转的日常支出,包括基本工资、津贴补贴等人员经费以及办公费、印刷费、水电费、差旅费等日常公用经费。</w:t>
      </w:r>
    </w:p>
    <w:p>
      <w:pPr>
        <w:suppressAutoHyphens/>
        <w:bidi w:val="0"/>
        <w:spacing w:line="58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3.社会保障和就业支出(类)行政事业单位养老支出(款)机关事业单位基本养老保险缴费支出(项):2024年预算数为11.60万元,主要用于保障职工养老保险缴费。</w:t>
      </w:r>
    </w:p>
    <w:p>
      <w:pPr>
        <w:suppressAutoHyphens/>
        <w:bidi w:val="0"/>
        <w:spacing w:line="58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4.卫生健康支出(类)行政事业单位医疗(款)事业单位医疗(项):2024年预算数为3.10万元,主要用于保障职工医疗保险缴费。</w:t>
      </w:r>
    </w:p>
    <w:p>
      <w:pPr>
        <w:suppressAutoHyphens/>
        <w:bidi w:val="0"/>
        <w:spacing w:line="58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5.卫生健康支出(类)行政事业单位医疗(款)公务员医疗补助(项):2024年预算数为1.05万元,主要用于保障职工公务员医疗补助缴费。</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评审中心2024年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109.57</w:t>
      </w:r>
      <w:r>
        <w:rPr>
          <w:rFonts w:hint="default" w:ascii="Times New Roman" w:hAnsi="Times New Roman" w:eastAsia="仿宋_GB2312" w:cs="Times New Roman"/>
          <w:sz w:val="32"/>
          <w:szCs w:val="32"/>
          <w:highlight w:val="none"/>
        </w:rPr>
        <w:t>万元，其中：</w:t>
      </w:r>
    </w:p>
    <w:p>
      <w:pPr>
        <w:suppressAutoHyphens/>
        <w:bidi w:val="0"/>
        <w:spacing w:line="58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val="en-US" w:eastAsia="zh-CN"/>
        </w:rPr>
        <w:t>89.06</w:t>
      </w:r>
      <w:r>
        <w:rPr>
          <w:rFonts w:hint="default" w:ascii="Times New Roman" w:hAnsi="Times New Roman" w:eastAsia="仿宋_GB2312" w:cs="Times New Roman"/>
          <w:sz w:val="32"/>
          <w:szCs w:val="32"/>
          <w:highlight w:val="none"/>
        </w:rPr>
        <w:t>万元，主要包括：基本工资、津贴补贴、奖金、</w:t>
      </w:r>
      <w:r>
        <w:rPr>
          <w:rFonts w:hint="eastAsia" w:ascii="Times New Roman" w:hAnsi="Times New Roman" w:eastAsia="仿宋_GB2312" w:cs="Times New Roman"/>
          <w:sz w:val="32"/>
          <w:szCs w:val="32"/>
          <w:highlight w:val="none"/>
          <w:lang w:eastAsia="zh-CN"/>
        </w:rPr>
        <w:t>绩效工资、</w:t>
      </w:r>
      <w:r>
        <w:rPr>
          <w:rFonts w:hint="eastAsia" w:ascii="Times New Roman" w:hAnsi="Times New Roman" w:eastAsia="仿宋_GB2312" w:cs="Times New Roman"/>
          <w:kern w:val="2"/>
          <w:sz w:val="32"/>
          <w:szCs w:val="32"/>
          <w:highlight w:val="none"/>
          <w:lang w:val="en-US" w:eastAsia="zh-CN" w:bidi="ar-SA"/>
        </w:rPr>
        <w:t>机关事业单位基本养老保险缴费、职工基本医疗保险缴费、公务员医疗补助缴费、其他社会保障缴费。</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20.51</w:t>
      </w:r>
      <w:r>
        <w:rPr>
          <w:rFonts w:hint="default" w:ascii="Times New Roman" w:hAnsi="Times New Roman" w:eastAsia="仿宋_GB2312" w:cs="Times New Roman"/>
          <w:sz w:val="32"/>
          <w:szCs w:val="32"/>
          <w:highlight w:val="none"/>
        </w:rPr>
        <w:t>万元，主要包括：</w:t>
      </w:r>
      <w:r>
        <w:rPr>
          <w:rFonts w:hint="eastAsia" w:ascii="Times New Roman" w:hAnsi="Times New Roman" w:eastAsia="仿宋_GB2312" w:cs="Times New Roman"/>
          <w:kern w:val="2"/>
          <w:sz w:val="32"/>
          <w:szCs w:val="32"/>
          <w:highlight w:val="none"/>
          <w:lang w:val="en-US" w:eastAsia="zh-CN" w:bidi="ar-SA"/>
        </w:rPr>
        <w:t>办公费、印刷费、水费、邮电费、物业管理费、差旅费、维修(护)费、会议费、培训费、公务接待费、工会经费、福利费、其他交通费用、其他商品和服务支出。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“三公”经费财政拨款预算安排情况说明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评审中心</w:t>
      </w: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“三公”经费财政拨款预算数</w:t>
      </w:r>
      <w:r>
        <w:rPr>
          <w:rFonts w:hint="eastAsia" w:ascii="Times New Roman" w:hAnsi="Times New Roman" w:eastAsia="仿宋_GB2312" w:cs="Times New Roman"/>
          <w:sz w:val="32"/>
          <w:szCs w:val="32"/>
          <w:highlight w:val="none"/>
          <w:lang w:val="en-US" w:eastAsia="zh-CN"/>
        </w:rPr>
        <w:t>2.87</w:t>
      </w:r>
      <w:r>
        <w:rPr>
          <w:rFonts w:hint="default"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2.87</w:t>
      </w:r>
      <w:r>
        <w:rPr>
          <w:rFonts w:hint="default"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，因公出国（境）经费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pPr>
        <w:suppressAutoHyphens/>
        <w:bidi w:val="0"/>
        <w:spacing w:line="580" w:lineRule="exact"/>
        <w:ind w:firstLine="642" w:firstLineChars="200"/>
        <w:rPr>
          <w:rFonts w:hint="eastAsia" w:ascii="Times New Roman" w:hAnsi="Times New Roman" w:eastAsia="楷体_GB2312" w:cs="Times New Roman"/>
          <w:sz w:val="32"/>
          <w:szCs w:val="32"/>
          <w:highlight w:val="none"/>
          <w:u w:val="none"/>
          <w:lang w:eastAsia="zh-CN"/>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）因公出国（境）经费较</w:t>
      </w:r>
      <w:r>
        <w:rPr>
          <w:rFonts w:hint="eastAsia" w:ascii="Times New Roman" w:hAnsi="Times New Roman" w:eastAsia="楷体_GB2312" w:cs="Times New Roman"/>
          <w:b/>
          <w:sz w:val="32"/>
          <w:szCs w:val="32"/>
          <w:highlight w:val="none"/>
          <w:lang w:eastAsia="zh-CN"/>
        </w:rPr>
        <w:t>2023年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持平</w:t>
      </w:r>
      <w:r>
        <w:rPr>
          <w:rFonts w:hint="eastAsia" w:ascii="Times New Roman" w:hAnsi="Times New Roman" w:eastAsia="楷体_GB2312" w:cs="Times New Roman"/>
          <w:b/>
          <w:sz w:val="32"/>
          <w:szCs w:val="32"/>
          <w:highlight w:val="none"/>
          <w:u w:val="none"/>
          <w:lang w:eastAsia="zh-CN"/>
        </w:rPr>
        <w:t>。</w:t>
      </w:r>
    </w:p>
    <w:p>
      <w:pPr>
        <w:suppressAutoHyphens/>
        <w:bidi w:val="0"/>
        <w:spacing w:line="580" w:lineRule="exact"/>
        <w:ind w:firstLine="640"/>
        <w:rPr>
          <w:rFonts w:hint="eastAsia" w:ascii="Times New Roman" w:hAnsi="Times New Roman" w:eastAsia="楷体_GB2312" w:cs="Times New Roman"/>
          <w:b/>
          <w:sz w:val="32"/>
          <w:szCs w:val="32"/>
          <w:highlight w:val="none"/>
          <w:u w:val="none"/>
          <w:lang w:eastAsia="zh-CN"/>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2023年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持平</w:t>
      </w:r>
      <w:r>
        <w:rPr>
          <w:rFonts w:hint="eastAsia" w:ascii="Times New Roman" w:hAnsi="Times New Roman" w:eastAsia="楷体_GB2312" w:cs="Times New Roman"/>
          <w:b/>
          <w:sz w:val="32"/>
          <w:szCs w:val="32"/>
          <w:highlight w:val="none"/>
          <w:u w:val="none"/>
          <w:lang w:eastAsia="zh-CN"/>
        </w:rPr>
        <w:t>。</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公务接待费计划用于</w:t>
      </w:r>
      <w:r>
        <w:rPr>
          <w:rFonts w:hint="eastAsia" w:ascii="Times New Roman" w:hAnsi="Times New Roman" w:eastAsia="仿宋_GB2312" w:cs="Times New Roman"/>
          <w:kern w:val="2"/>
          <w:sz w:val="32"/>
          <w:szCs w:val="32"/>
          <w:highlight w:val="none"/>
          <w:lang w:val="en-US" w:eastAsia="zh-CN" w:bidi="ar-SA"/>
        </w:rPr>
        <w:t>执行接待考察调研、检查指导、等公务活动开支的交通费、住宿费、餐费等。</w:t>
      </w:r>
    </w:p>
    <w:p>
      <w:pPr>
        <w:suppressAutoHyphens/>
        <w:bidi w:val="0"/>
        <w:spacing w:line="580" w:lineRule="exact"/>
        <w:ind w:firstLine="64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三</w:t>
      </w:r>
      <w:r>
        <w:rPr>
          <w:rFonts w:hint="default" w:ascii="Times New Roman" w:hAnsi="Times New Roman" w:eastAsia="楷体_GB2312" w:cs="Times New Roman"/>
          <w:b/>
          <w:sz w:val="32"/>
          <w:szCs w:val="32"/>
          <w:highlight w:val="none"/>
        </w:rPr>
        <w:t>）公务用车购置及运行维护费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2023年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rPr>
        <w:t>。</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单位现有公务用车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辆，旅行车（含商务车）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辆，大型客、货车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安排公务用车购置费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拟</w:t>
      </w:r>
      <w:r>
        <w:rPr>
          <w:rFonts w:hint="default" w:ascii="Times New Roman" w:hAnsi="Times New Roman" w:eastAsia="仿宋_GB2312" w:cs="Times New Roman"/>
          <w:sz w:val="32"/>
          <w:szCs w:val="32"/>
          <w:highlight w:val="none"/>
        </w:rPr>
        <w:t>购置公务用车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辆，旅行车（含商务车）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辆，大型客、货车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安排公务用车运行维护费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highlight w:val="none"/>
          <w:lang w:val="en-US" w:eastAsia="zh-CN" w:bidi="ar-SA"/>
        </w:rPr>
        <w:t>评审中心</w:t>
      </w: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没有使用政府性基金预算拨款安排的支出。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highlight w:val="none"/>
          <w:lang w:val="en-US" w:eastAsia="zh-CN" w:bidi="ar-SA"/>
        </w:rPr>
        <w:t>评审中心</w:t>
      </w: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没有使用国有资本经营预算拨款安排的支出。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为事业单位，按规定未使用机关运行的相关科目。</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pPr>
        <w:suppressAutoHyphens/>
        <w:bidi w:val="0"/>
        <w:spacing w:line="580" w:lineRule="exact"/>
        <w:ind w:firstLine="640" w:firstLineChars="200"/>
        <w:rPr>
          <w:rFonts w:hint="default" w:ascii="Times New Roman" w:hAnsi="Times New Roman" w:eastAsia="楷体_GB2312" w:cs="Times New Roman"/>
          <w:b/>
          <w:sz w:val="32"/>
          <w:szCs w:val="32"/>
          <w:highlight w:val="none"/>
        </w:rPr>
      </w:pPr>
      <w:r>
        <w:rPr>
          <w:rFonts w:hint="eastAsia" w:ascii="Times New Roman" w:hAnsi="Times New Roman" w:eastAsia="仿宋_GB2312" w:cs="Times New Roman"/>
          <w:kern w:val="2"/>
          <w:sz w:val="32"/>
          <w:szCs w:val="32"/>
          <w:highlight w:val="none"/>
          <w:lang w:val="en-US" w:eastAsia="zh-CN" w:bidi="ar-SA"/>
        </w:rPr>
        <w:t>评审中心</w:t>
      </w: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无政府采购项目，未安排政府采购预算。</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底，</w:t>
      </w:r>
      <w:r>
        <w:rPr>
          <w:rFonts w:hint="eastAsia" w:ascii="Times New Roman" w:hAnsi="Times New Roman" w:eastAsia="仿宋_GB2312" w:cs="Times New Roman"/>
          <w:kern w:val="2"/>
          <w:sz w:val="32"/>
          <w:szCs w:val="32"/>
          <w:highlight w:val="none"/>
          <w:lang w:val="en-US" w:eastAsia="zh-CN" w:bidi="ar-SA"/>
        </w:rPr>
        <w:t>评审中心</w:t>
      </w:r>
      <w:r>
        <w:rPr>
          <w:rFonts w:hint="default" w:ascii="Times New Roman" w:hAnsi="Times New Roman" w:eastAsia="仿宋_GB2312" w:cs="Times New Roman"/>
          <w:sz w:val="32"/>
          <w:szCs w:val="32"/>
          <w:highlight w:val="none"/>
        </w:rPr>
        <w:t>共有车辆</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辆，其中，定向保障用车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辆。单位价值200万元以上大型设备</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台</w:t>
      </w:r>
      <w:r>
        <w:rPr>
          <w:rFonts w:hint="default" w:ascii="Times New Roman" w:hAnsi="Times New Roman" w:eastAsia="仿宋_GB2312" w:cs="Times New Roman"/>
          <w:sz w:val="32"/>
          <w:szCs w:val="32"/>
          <w:highlight w:val="none"/>
          <w:u w:val="none"/>
        </w:rPr>
        <w:t>（套）</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预算未安排购置车辆及单位价值200万元以上大型设备。</w:t>
      </w:r>
    </w:p>
    <w:p>
      <w:pPr>
        <w:suppressAutoHyphens/>
        <w:bidi w:val="0"/>
        <w:spacing w:line="580" w:lineRule="exact"/>
        <w:ind w:firstLine="642"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2024年</w:t>
      </w:r>
      <w:r>
        <w:rPr>
          <w:rFonts w:hint="eastAsia" w:ascii="Times New Roman" w:hAnsi="Times New Roman" w:eastAsia="仿宋_GB2312" w:cs="Times New Roman"/>
          <w:kern w:val="2"/>
          <w:sz w:val="32"/>
          <w:szCs w:val="32"/>
          <w:highlight w:val="none"/>
          <w:lang w:val="en-US" w:eastAsia="zh-CN" w:bidi="ar-SA"/>
        </w:rPr>
        <w:t>评审中心</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609.57</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89.06</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20.51</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500</w:t>
      </w:r>
      <w:r>
        <w:rPr>
          <w:rFonts w:hint="default" w:ascii="Times New Roman" w:hAnsi="Times New Roman" w:eastAsia="仿宋_GB2312" w:cs="Times New Roman"/>
          <w:sz w:val="32"/>
          <w:szCs w:val="32"/>
          <w:highlight w:val="none"/>
          <w:lang w:eastAsia="zh-CN"/>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2.一般公共服务支出(类)财政事务(款)财政委托业务支出(项):反映财政委托机构进行财政投资评审代理业务发生的支出。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3.一般公共服务支出(类)财政事务(款)事业运行(项):指用于保障机构正常运行、开展日常工作的基本支出。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4.社会保障和就业支出(类)行政事业单位养老支出(款)机关事业单位基本养老保险缴费支出(项):用于单位缴纳的养老保险支出。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5.卫生健康支出(类)行政事业单位医疗(款)事业单位医疗(项):用于单位缴纳的医疗保险支出。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6.卫生健康支出(类)行政事业单位医疗(款)公务员医疗补助缴费(项):用于单位缴纳的公务员医疗补助支出。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7.基本支出:指为保证机构正常运转,完成日常工作任务而发生的人员支出和公用经费支出。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三公”经费:纳入评审中心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广安市财政投资评审中心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2024年单位预算表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7"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spacing w:line="600" w:lineRule="exact"/>
        <w:rPr>
          <w:rFonts w:hint="default" w:ascii="Times New Roman" w:hAnsi="Times New Roman" w:eastAsia="仿宋_GB2312" w:cs="Times New Roman"/>
          <w:sz w:val="32"/>
          <w:szCs w:val="32"/>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附件：表1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收支总表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收入总表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表1-2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支出总表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eastAsia"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1600" w:firstLineChars="5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 xml:space="preserve">表6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预算项目绩效目标</w:t>
      </w:r>
      <w:r>
        <w:rPr>
          <w:rFonts w:hint="default" w:ascii="Times New Roman" w:hAnsi="Times New Roman" w:eastAsia="仿宋_GB2312" w:cs="Times New Roman"/>
          <w:sz w:val="32"/>
          <w:szCs w:val="32"/>
          <w:highlight w:val="none"/>
          <w:lang w:eastAsia="zh-CN"/>
        </w:rPr>
        <w:t>表</w:t>
      </w:r>
    </w:p>
    <w:p>
      <w:pPr>
        <w:spacing w:line="600" w:lineRule="exact"/>
        <w:ind w:firstLine="562" w:firstLineChars="200"/>
        <w:rPr>
          <w:rFonts w:hint="default" w:ascii="Times New Roman" w:hAnsi="Times New Roman" w:eastAsia="楷体" w:cs="Times New Roman"/>
          <w:b/>
          <w:color w:val="FF0000"/>
          <w:sz w:val="28"/>
          <w:szCs w:val="32"/>
          <w:highlight w:val="none"/>
          <w:lang w:val="en-US" w:eastAsia="zh-CN"/>
        </w:rPr>
      </w:pPr>
    </w:p>
    <w:sectPr>
      <w:foot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ECFE1"/>
    <w:multiLevelType w:val="singleLevel"/>
    <w:tmpl w:val="7A6ECFE1"/>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4AF02D8"/>
    <w:rsid w:val="1DC76EF2"/>
    <w:rsid w:val="1DE9F11D"/>
    <w:rsid w:val="1DFEF48B"/>
    <w:rsid w:val="1E9F4C3A"/>
    <w:rsid w:val="25DE61D9"/>
    <w:rsid w:val="2FFB707B"/>
    <w:rsid w:val="3F3F488F"/>
    <w:rsid w:val="3F791594"/>
    <w:rsid w:val="3F7FAA5D"/>
    <w:rsid w:val="3FEF825B"/>
    <w:rsid w:val="3FEFE3D5"/>
    <w:rsid w:val="45FD8A71"/>
    <w:rsid w:val="4ECEA1FA"/>
    <w:rsid w:val="4F37A3C3"/>
    <w:rsid w:val="51E90711"/>
    <w:rsid w:val="57FFFCA8"/>
    <w:rsid w:val="5B5F0CC9"/>
    <w:rsid w:val="5CB7BA99"/>
    <w:rsid w:val="5D2F3D34"/>
    <w:rsid w:val="5DDB791A"/>
    <w:rsid w:val="5E234ABD"/>
    <w:rsid w:val="5F2F86E9"/>
    <w:rsid w:val="5F6F3C3F"/>
    <w:rsid w:val="5FEBC0AE"/>
    <w:rsid w:val="5FFC71C1"/>
    <w:rsid w:val="64D916AD"/>
    <w:rsid w:val="65FDF4C4"/>
    <w:rsid w:val="66E20F29"/>
    <w:rsid w:val="67EB96A3"/>
    <w:rsid w:val="67FB5502"/>
    <w:rsid w:val="697FDAD1"/>
    <w:rsid w:val="6DD7B53C"/>
    <w:rsid w:val="6FEF4AB2"/>
    <w:rsid w:val="6FF4F0DA"/>
    <w:rsid w:val="716FA034"/>
    <w:rsid w:val="72DE59CC"/>
    <w:rsid w:val="7375DF5E"/>
    <w:rsid w:val="739F2F70"/>
    <w:rsid w:val="759F38F3"/>
    <w:rsid w:val="75F8824E"/>
    <w:rsid w:val="76BF7359"/>
    <w:rsid w:val="77F541BA"/>
    <w:rsid w:val="77FF051E"/>
    <w:rsid w:val="78FD9C9E"/>
    <w:rsid w:val="7B1743EB"/>
    <w:rsid w:val="7BFAD181"/>
    <w:rsid w:val="7CDD5CC0"/>
    <w:rsid w:val="7D7E018B"/>
    <w:rsid w:val="7DDF1AF8"/>
    <w:rsid w:val="7DFA9A20"/>
    <w:rsid w:val="7DFB24B8"/>
    <w:rsid w:val="7E3E0B3C"/>
    <w:rsid w:val="7EB5E646"/>
    <w:rsid w:val="7ED76C44"/>
    <w:rsid w:val="7F3A4C55"/>
    <w:rsid w:val="7F7B7310"/>
    <w:rsid w:val="7F7F8A8C"/>
    <w:rsid w:val="7F7FEEAD"/>
    <w:rsid w:val="7F9EA7B0"/>
    <w:rsid w:val="7FB59192"/>
    <w:rsid w:val="7FB7C30D"/>
    <w:rsid w:val="7FBB9175"/>
    <w:rsid w:val="7FD8BAE2"/>
    <w:rsid w:val="7FDF8BCB"/>
    <w:rsid w:val="7FE71B81"/>
    <w:rsid w:val="7FF4C365"/>
    <w:rsid w:val="7FFB4321"/>
    <w:rsid w:val="7FFF95F4"/>
    <w:rsid w:val="9AFF949E"/>
    <w:rsid w:val="9B83DEA0"/>
    <w:rsid w:val="9D570E8E"/>
    <w:rsid w:val="9FA77763"/>
    <w:rsid w:val="A7F82082"/>
    <w:rsid w:val="AF9718FB"/>
    <w:rsid w:val="AFC71340"/>
    <w:rsid w:val="AFFFE2DF"/>
    <w:rsid w:val="B3FFDEA0"/>
    <w:rsid w:val="B5BF2B77"/>
    <w:rsid w:val="B7B98E97"/>
    <w:rsid w:val="BBED1DFC"/>
    <w:rsid w:val="BEE35A71"/>
    <w:rsid w:val="BFCD2B58"/>
    <w:rsid w:val="C3DF9D47"/>
    <w:rsid w:val="D4FD4202"/>
    <w:rsid w:val="D5FDBD33"/>
    <w:rsid w:val="D63DCC41"/>
    <w:rsid w:val="D72DFD28"/>
    <w:rsid w:val="DB73C688"/>
    <w:rsid w:val="DBCA0C73"/>
    <w:rsid w:val="DBED9FD1"/>
    <w:rsid w:val="DBF84648"/>
    <w:rsid w:val="DD6FFD71"/>
    <w:rsid w:val="DDFEF735"/>
    <w:rsid w:val="DF562D51"/>
    <w:rsid w:val="DF7FE03E"/>
    <w:rsid w:val="DFF30D5D"/>
    <w:rsid w:val="DFF7F1CE"/>
    <w:rsid w:val="DFFF7864"/>
    <w:rsid w:val="E3FFCDB0"/>
    <w:rsid w:val="E7EFF9EE"/>
    <w:rsid w:val="ECF74D3C"/>
    <w:rsid w:val="ECFB6ADD"/>
    <w:rsid w:val="EFDC6108"/>
    <w:rsid w:val="EFEF5E52"/>
    <w:rsid w:val="EFF9A1F4"/>
    <w:rsid w:val="F3E62AB3"/>
    <w:rsid w:val="F3E75C08"/>
    <w:rsid w:val="F4F76BA5"/>
    <w:rsid w:val="F5DD9CA7"/>
    <w:rsid w:val="F6FFC38C"/>
    <w:rsid w:val="F7BFCCB3"/>
    <w:rsid w:val="F9F9D835"/>
    <w:rsid w:val="FA7F3EDC"/>
    <w:rsid w:val="FA8E0CE9"/>
    <w:rsid w:val="FAD26073"/>
    <w:rsid w:val="FBE72CAC"/>
    <w:rsid w:val="FBFF3712"/>
    <w:rsid w:val="FBFFDDF7"/>
    <w:rsid w:val="FD2ECB09"/>
    <w:rsid w:val="FDEED3ED"/>
    <w:rsid w:val="FDFCB934"/>
    <w:rsid w:val="FDFF94D0"/>
    <w:rsid w:val="FE7B838E"/>
    <w:rsid w:val="FE7FE7EF"/>
    <w:rsid w:val="FEF3D7D9"/>
    <w:rsid w:val="FEFBAE56"/>
    <w:rsid w:val="FF1F93AC"/>
    <w:rsid w:val="FF5D72AE"/>
    <w:rsid w:val="FFADD35B"/>
    <w:rsid w:val="FFE16792"/>
    <w:rsid w:val="FFE7A7D0"/>
    <w:rsid w:val="FFF7CA75"/>
    <w:rsid w:val="FFFB8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qFormat/>
    <w:uiPriority w:val="0"/>
    <w:pPr>
      <w:spacing w:before="0" w:after="140" w:line="276" w:lineRule="auto"/>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bCs/>
    </w:rPr>
  </w:style>
  <w:style w:type="character" w:customStyle="1" w:styleId="8">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456</Words>
  <Characters>2600</Characters>
  <Lines>21</Lines>
  <Paragraphs>6</Paragraphs>
  <TotalTime>2</TotalTime>
  <ScaleCrop>false</ScaleCrop>
  <LinksUpToDate>false</LinksUpToDate>
  <CharactersWithSpaces>3050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2018-03-02T15:32:00Z</dcterms:created>
  <dc:creator>微软用户</dc:creator>
  <cp:lastModifiedBy>kylin</cp:lastModifiedBy>
  <cp:lastPrinted>2023-05-12T18:35:00Z</cp:lastPrinted>
  <dcterms:modified xsi:type="dcterms:W3CDTF">2024-02-27T16:40:40Z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