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t>中国共产主义青年团广安市委员会</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2024年</w:t>
      </w:r>
      <w:r>
        <w:rPr>
          <w:rFonts w:hint="eastAsia" w:ascii="Times New Roman" w:hAnsi="Times New Roman" w:eastAsia="方正小标宋_GBK" w:cs="Times New Roman"/>
          <w:sz w:val="44"/>
          <w:szCs w:val="44"/>
          <w:highlight w:val="none"/>
        </w:rPr>
        <w:t>部门预算编制说明</w:t>
      </w:r>
    </w:p>
    <w:p>
      <w:pPr>
        <w:rPr>
          <w:rFonts w:hint="eastAsia"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br w:type="page"/>
      </w:r>
    </w:p>
    <w:sdt>
      <w:sdtPr>
        <w:rPr>
          <w:rFonts w:hint="default" w:ascii="Times New Roman" w:hAnsi="Times New Roman" w:eastAsia="方正小标宋_GBK" w:cs="Times New Roman"/>
          <w:sz w:val="44"/>
          <w:szCs w:val="44"/>
          <w:highlight w:val="none"/>
          <w:lang w:val="en-US" w:eastAsia="zh-CN"/>
        </w:rPr>
        <w:id w:val="147483335"/>
        <w15:color w:val="DBDBDB"/>
        <w:docPartObj>
          <w:docPartGallery w:val="Table of Contents"/>
          <w:docPartUnique/>
        </w:docPartObj>
      </w:sdtPr>
      <w:sdtEndPr>
        <w:rPr>
          <w:rFonts w:hint="default" w:ascii="Times New Roman" w:hAnsi="Times New Roman" w:eastAsia="仿宋_GB2312" w:cs="Times New Roman"/>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目录</w:t>
          </w:r>
        </w:p>
        <w:p>
          <w:pPr>
            <w:pStyle w:val="4"/>
            <w:tabs>
              <w:tab w:val="right" w:leader="dot" w:pos="8844"/>
            </w:tabs>
          </w:pPr>
          <w:r>
            <w:fldChar w:fldCharType="begin"/>
          </w:r>
          <w:r>
            <w:instrText xml:space="preserve">TOC \o "1-3" \h \u </w:instrText>
          </w:r>
          <w:r>
            <w:fldChar w:fldCharType="separate"/>
          </w:r>
          <w:r>
            <w:fldChar w:fldCharType="begin"/>
          </w:r>
          <w:r>
            <w:instrText xml:space="preserve"> HYPERLINK \l _Toc8007 </w:instrText>
          </w:r>
          <w: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第一部分  中国共产主义青年团广安市委员会概况</w:t>
          </w:r>
          <w:r>
            <w:tab/>
          </w:r>
          <w:r>
            <w:fldChar w:fldCharType="begin"/>
          </w:r>
          <w:r>
            <w:instrText xml:space="preserve"> PAGEREF _Toc8007 </w:instrText>
          </w:r>
          <w:r>
            <w:fldChar w:fldCharType="separate"/>
          </w:r>
          <w:r>
            <w:t>4</w:t>
          </w:r>
          <w:r>
            <w:fldChar w:fldCharType="end"/>
          </w:r>
          <w:r>
            <w:fldChar w:fldCharType="end"/>
          </w:r>
        </w:p>
        <w:p>
          <w:pPr>
            <w:pStyle w:val="4"/>
            <w:tabs>
              <w:tab w:val="right" w:leader="dot" w:pos="8844"/>
            </w:tabs>
          </w:pPr>
          <w:r>
            <w:fldChar w:fldCharType="begin"/>
          </w:r>
          <w:r>
            <w:instrText xml:space="preserve"> HYPERLINK \l _Toc17953 </w:instrText>
          </w:r>
          <w:r>
            <w:fldChar w:fldCharType="separate"/>
          </w:r>
          <w:r>
            <w:rPr>
              <w:rFonts w:hint="eastAsia" w:ascii="Times New Roman" w:hAnsi="Times New Roman" w:eastAsia="黑体" w:cs="Times New Roman"/>
              <w:kern w:val="0"/>
              <w:szCs w:val="32"/>
              <w:highlight w:val="none"/>
              <w:lang w:val="en-US" w:eastAsia="zh-CN" w:bidi="ar"/>
            </w:rPr>
            <w:t>一、基本职能及主要工作</w:t>
          </w:r>
          <w:r>
            <w:tab/>
          </w:r>
          <w:r>
            <w:fldChar w:fldCharType="begin"/>
          </w:r>
          <w:r>
            <w:instrText xml:space="preserve"> PAGEREF _Toc17953 </w:instrText>
          </w:r>
          <w:r>
            <w:fldChar w:fldCharType="separate"/>
          </w:r>
          <w:r>
            <w:t>5</w:t>
          </w:r>
          <w:r>
            <w:fldChar w:fldCharType="end"/>
          </w:r>
          <w:r>
            <w:fldChar w:fldCharType="end"/>
          </w:r>
        </w:p>
        <w:p>
          <w:pPr>
            <w:pStyle w:val="5"/>
            <w:tabs>
              <w:tab w:val="right" w:leader="dot" w:pos="8844"/>
            </w:tabs>
          </w:pPr>
          <w:r>
            <w:fldChar w:fldCharType="begin"/>
          </w:r>
          <w:r>
            <w:instrText xml:space="preserve"> HYPERLINK \l _Toc5060 </w:instrText>
          </w:r>
          <w:r>
            <w:fldChar w:fldCharType="separate"/>
          </w:r>
          <w:r>
            <w:rPr>
              <w:rFonts w:hint="eastAsia" w:ascii="Times New Roman" w:hAnsi="Times New Roman" w:eastAsia="楷体_GB2312" w:cs="Times New Roman"/>
              <w:szCs w:val="32"/>
              <w:highlight w:val="none"/>
            </w:rPr>
            <w:t>（一）共青团广安市委职能简介</w:t>
          </w:r>
          <w:r>
            <w:tab/>
          </w:r>
          <w:r>
            <w:fldChar w:fldCharType="begin"/>
          </w:r>
          <w:r>
            <w:instrText xml:space="preserve"> PAGEREF _Toc5060 </w:instrText>
          </w:r>
          <w:r>
            <w:fldChar w:fldCharType="separate"/>
          </w:r>
          <w:r>
            <w:t>5</w:t>
          </w:r>
          <w:r>
            <w:fldChar w:fldCharType="end"/>
          </w:r>
          <w:r>
            <w:fldChar w:fldCharType="end"/>
          </w:r>
        </w:p>
        <w:p>
          <w:pPr>
            <w:pStyle w:val="5"/>
            <w:tabs>
              <w:tab w:val="right" w:leader="dot" w:pos="8844"/>
            </w:tabs>
          </w:pPr>
          <w:r>
            <w:fldChar w:fldCharType="begin"/>
          </w:r>
          <w:r>
            <w:instrText xml:space="preserve"> HYPERLINK \l _Toc631 </w:instrText>
          </w:r>
          <w:r>
            <w:fldChar w:fldCharType="separate"/>
          </w:r>
          <w:r>
            <w:rPr>
              <w:rFonts w:hint="eastAsia" w:ascii="Times New Roman" w:hAnsi="Times New Roman" w:eastAsia="楷体_GB2312" w:cs="Times New Roman"/>
              <w:szCs w:val="32"/>
              <w:highlight w:val="none"/>
            </w:rPr>
            <w:t>（二）共青团广安市委</w:t>
          </w:r>
          <w:r>
            <w:rPr>
              <w:rFonts w:hint="eastAsia" w:ascii="Times New Roman" w:hAnsi="Times New Roman" w:eastAsia="楷体_GB2312" w:cs="Times New Roman"/>
              <w:szCs w:val="32"/>
              <w:highlight w:val="none"/>
              <w:lang w:eastAsia="zh-CN"/>
            </w:rPr>
            <w:t>2024年</w:t>
          </w:r>
          <w:r>
            <w:rPr>
              <w:rFonts w:hint="eastAsia" w:ascii="Times New Roman" w:hAnsi="Times New Roman" w:eastAsia="楷体_GB2312" w:cs="Times New Roman"/>
              <w:szCs w:val="32"/>
              <w:highlight w:val="none"/>
            </w:rPr>
            <w:t>重点工作</w:t>
          </w:r>
          <w:r>
            <w:tab/>
          </w:r>
          <w:r>
            <w:fldChar w:fldCharType="begin"/>
          </w:r>
          <w:r>
            <w:instrText xml:space="preserve"> PAGEREF _Toc631 </w:instrText>
          </w:r>
          <w:r>
            <w:fldChar w:fldCharType="separate"/>
          </w:r>
          <w:r>
            <w:t>5</w:t>
          </w:r>
          <w:r>
            <w:fldChar w:fldCharType="end"/>
          </w:r>
          <w:r>
            <w:fldChar w:fldCharType="end"/>
          </w:r>
        </w:p>
        <w:p>
          <w:pPr>
            <w:pStyle w:val="4"/>
            <w:tabs>
              <w:tab w:val="right" w:leader="dot" w:pos="8844"/>
            </w:tabs>
          </w:pPr>
          <w:r>
            <w:fldChar w:fldCharType="begin"/>
          </w:r>
          <w:r>
            <w:instrText xml:space="preserve"> HYPERLINK \l _Toc5374 </w:instrText>
          </w:r>
          <w:r>
            <w:fldChar w:fldCharType="separate"/>
          </w:r>
          <w:r>
            <w:rPr>
              <w:rFonts w:hint="eastAsia" w:ascii="Times New Roman" w:hAnsi="Times New Roman" w:eastAsia="黑体" w:cs="Times New Roman"/>
              <w:kern w:val="0"/>
              <w:szCs w:val="32"/>
              <w:highlight w:val="none"/>
              <w:lang w:val="en-US" w:eastAsia="zh-CN" w:bidi="ar"/>
            </w:rPr>
            <w:t>二、部门预算单位构成</w:t>
          </w:r>
          <w:r>
            <w:tab/>
          </w:r>
          <w:r>
            <w:fldChar w:fldCharType="begin"/>
          </w:r>
          <w:r>
            <w:instrText xml:space="preserve"> PAGEREF _Toc5374 </w:instrText>
          </w:r>
          <w:r>
            <w:fldChar w:fldCharType="separate"/>
          </w:r>
          <w:r>
            <w:t>6</w:t>
          </w:r>
          <w:r>
            <w:fldChar w:fldCharType="end"/>
          </w:r>
          <w:r>
            <w:fldChar w:fldCharType="end"/>
          </w:r>
        </w:p>
        <w:p>
          <w:pPr>
            <w:pStyle w:val="4"/>
            <w:tabs>
              <w:tab w:val="right" w:leader="dot" w:pos="8844"/>
            </w:tabs>
          </w:pPr>
          <w:r>
            <w:fldChar w:fldCharType="begin"/>
          </w:r>
          <w:r>
            <w:instrText xml:space="preserve"> HYPERLINK \l _Toc20791 </w:instrText>
          </w:r>
          <w:r>
            <w:fldChar w:fldCharType="separate"/>
          </w:r>
          <w:r>
            <w:rPr>
              <w:rFonts w:hint="eastAsia" w:ascii="Times New Roman" w:hAnsi="Times New Roman" w:eastAsia="黑体" w:cs="Times New Roman"/>
              <w:kern w:val="0"/>
              <w:szCs w:val="32"/>
              <w:highlight w:val="none"/>
              <w:lang w:val="en-US" w:eastAsia="zh-CN" w:bidi="ar"/>
            </w:rPr>
            <w:t>一、收支预算情况说明</w:t>
          </w:r>
          <w:r>
            <w:tab/>
          </w:r>
          <w:r>
            <w:fldChar w:fldCharType="begin"/>
          </w:r>
          <w:r>
            <w:instrText xml:space="preserve"> PAGEREF _Toc20791 </w:instrText>
          </w:r>
          <w:r>
            <w:fldChar w:fldCharType="separate"/>
          </w:r>
          <w:r>
            <w:t>8</w:t>
          </w:r>
          <w:r>
            <w:fldChar w:fldCharType="end"/>
          </w:r>
          <w:r>
            <w:fldChar w:fldCharType="end"/>
          </w:r>
        </w:p>
        <w:p>
          <w:pPr>
            <w:pStyle w:val="5"/>
            <w:tabs>
              <w:tab w:val="right" w:leader="dot" w:pos="8844"/>
            </w:tabs>
          </w:pPr>
          <w:r>
            <w:fldChar w:fldCharType="begin"/>
          </w:r>
          <w:r>
            <w:instrText xml:space="preserve"> HYPERLINK \l _Toc21005 </w:instrText>
          </w:r>
          <w:r>
            <w:fldChar w:fldCharType="separate"/>
          </w:r>
          <w:r>
            <w:rPr>
              <w:rFonts w:hint="eastAsia" w:ascii="Times New Roman" w:hAnsi="Times New Roman" w:eastAsia="楷体_GB2312" w:cs="Times New Roman"/>
              <w:szCs w:val="32"/>
              <w:highlight w:val="none"/>
            </w:rPr>
            <w:t>（一）收入预算情况</w:t>
          </w:r>
          <w:r>
            <w:tab/>
          </w:r>
          <w:r>
            <w:fldChar w:fldCharType="begin"/>
          </w:r>
          <w:r>
            <w:instrText xml:space="preserve"> PAGEREF _Toc21005 </w:instrText>
          </w:r>
          <w:r>
            <w:fldChar w:fldCharType="separate"/>
          </w:r>
          <w:r>
            <w:t>8</w:t>
          </w:r>
          <w:r>
            <w:fldChar w:fldCharType="end"/>
          </w:r>
          <w:r>
            <w:fldChar w:fldCharType="end"/>
          </w:r>
        </w:p>
        <w:p>
          <w:pPr>
            <w:pStyle w:val="5"/>
            <w:tabs>
              <w:tab w:val="right" w:leader="dot" w:pos="8844"/>
            </w:tabs>
          </w:pPr>
          <w:r>
            <w:fldChar w:fldCharType="begin"/>
          </w:r>
          <w:r>
            <w:instrText xml:space="preserve"> HYPERLINK \l _Toc15417 </w:instrText>
          </w:r>
          <w:r>
            <w:fldChar w:fldCharType="separate"/>
          </w:r>
          <w:r>
            <w:rPr>
              <w:rFonts w:hint="eastAsia" w:ascii="Times New Roman" w:hAnsi="Times New Roman" w:eastAsia="楷体_GB2312" w:cs="Times New Roman"/>
              <w:szCs w:val="32"/>
              <w:highlight w:val="none"/>
            </w:rPr>
            <w:t>（二）支出预算情况</w:t>
          </w:r>
          <w:r>
            <w:tab/>
          </w:r>
          <w:r>
            <w:fldChar w:fldCharType="begin"/>
          </w:r>
          <w:r>
            <w:instrText xml:space="preserve"> PAGEREF _Toc15417 </w:instrText>
          </w:r>
          <w:r>
            <w:fldChar w:fldCharType="separate"/>
          </w:r>
          <w:r>
            <w:t>8</w:t>
          </w:r>
          <w:r>
            <w:fldChar w:fldCharType="end"/>
          </w:r>
          <w:r>
            <w:fldChar w:fldCharType="end"/>
          </w:r>
        </w:p>
        <w:p>
          <w:pPr>
            <w:pStyle w:val="4"/>
            <w:tabs>
              <w:tab w:val="right" w:leader="dot" w:pos="8844"/>
            </w:tabs>
          </w:pPr>
          <w:r>
            <w:fldChar w:fldCharType="begin"/>
          </w:r>
          <w:r>
            <w:instrText xml:space="preserve"> HYPERLINK \l _Toc20514 </w:instrText>
          </w:r>
          <w:r>
            <w:fldChar w:fldCharType="separate"/>
          </w:r>
          <w:r>
            <w:rPr>
              <w:rFonts w:hint="eastAsia" w:ascii="Times New Roman" w:hAnsi="Times New Roman" w:eastAsia="黑体" w:cs="Times New Roman"/>
              <w:kern w:val="0"/>
              <w:szCs w:val="32"/>
              <w:highlight w:val="none"/>
              <w:lang w:val="en-US" w:eastAsia="zh-CN" w:bidi="ar"/>
            </w:rPr>
            <w:t>二、财政拨款收支预算情况说明</w:t>
          </w:r>
          <w:r>
            <w:tab/>
          </w:r>
          <w:r>
            <w:fldChar w:fldCharType="begin"/>
          </w:r>
          <w:r>
            <w:instrText xml:space="preserve"> PAGEREF _Toc20514 </w:instrText>
          </w:r>
          <w:r>
            <w:fldChar w:fldCharType="separate"/>
          </w:r>
          <w:r>
            <w:t>8</w:t>
          </w:r>
          <w:r>
            <w:fldChar w:fldCharType="end"/>
          </w:r>
          <w:r>
            <w:fldChar w:fldCharType="end"/>
          </w:r>
        </w:p>
        <w:p>
          <w:pPr>
            <w:pStyle w:val="4"/>
            <w:tabs>
              <w:tab w:val="right" w:leader="dot" w:pos="8844"/>
            </w:tabs>
          </w:pPr>
          <w:r>
            <w:fldChar w:fldCharType="begin"/>
          </w:r>
          <w:r>
            <w:instrText xml:space="preserve"> HYPERLINK \l _Toc5067 </w:instrText>
          </w:r>
          <w:r>
            <w:fldChar w:fldCharType="separate"/>
          </w:r>
          <w:r>
            <w:rPr>
              <w:rFonts w:hint="eastAsia" w:ascii="Times New Roman" w:hAnsi="Times New Roman" w:eastAsia="黑体" w:cs="Times New Roman"/>
              <w:kern w:val="0"/>
              <w:szCs w:val="32"/>
              <w:highlight w:val="none"/>
              <w:lang w:val="en-US" w:eastAsia="zh-CN" w:bidi="ar"/>
            </w:rPr>
            <w:t>三、一般公共预算当年财政拨款情况</w:t>
          </w:r>
          <w:r>
            <w:tab/>
          </w:r>
          <w:r>
            <w:fldChar w:fldCharType="begin"/>
          </w:r>
          <w:r>
            <w:instrText xml:space="preserve"> PAGEREF _Toc5067 </w:instrText>
          </w:r>
          <w:r>
            <w:fldChar w:fldCharType="separate"/>
          </w:r>
          <w:r>
            <w:t>9</w:t>
          </w:r>
          <w:r>
            <w:fldChar w:fldCharType="end"/>
          </w:r>
          <w:r>
            <w:fldChar w:fldCharType="end"/>
          </w:r>
        </w:p>
        <w:p>
          <w:pPr>
            <w:pStyle w:val="5"/>
            <w:tabs>
              <w:tab w:val="right" w:leader="dot" w:pos="8844"/>
            </w:tabs>
          </w:pPr>
          <w:r>
            <w:fldChar w:fldCharType="begin"/>
          </w:r>
          <w:r>
            <w:instrText xml:space="preserve"> HYPERLINK \l _Toc9870 </w:instrText>
          </w:r>
          <w:r>
            <w:fldChar w:fldCharType="separate"/>
          </w:r>
          <w:r>
            <w:rPr>
              <w:rFonts w:hint="eastAsia" w:ascii="Times New Roman" w:hAnsi="Times New Roman" w:eastAsia="楷体_GB2312" w:cs="Times New Roman"/>
              <w:szCs w:val="32"/>
              <w:highlight w:val="none"/>
            </w:rPr>
            <w:t>（一）一般公共预算当年财政拨款规模变化情况</w:t>
          </w:r>
          <w:r>
            <w:tab/>
          </w:r>
          <w:r>
            <w:fldChar w:fldCharType="begin"/>
          </w:r>
          <w:r>
            <w:instrText xml:space="preserve"> PAGEREF _Toc9870 </w:instrText>
          </w:r>
          <w:r>
            <w:fldChar w:fldCharType="separate"/>
          </w:r>
          <w:r>
            <w:t>9</w:t>
          </w:r>
          <w:r>
            <w:fldChar w:fldCharType="end"/>
          </w:r>
          <w:r>
            <w:fldChar w:fldCharType="end"/>
          </w:r>
        </w:p>
        <w:p>
          <w:pPr>
            <w:pStyle w:val="5"/>
            <w:tabs>
              <w:tab w:val="right" w:leader="dot" w:pos="8844"/>
            </w:tabs>
          </w:pPr>
          <w:r>
            <w:fldChar w:fldCharType="begin"/>
          </w:r>
          <w:r>
            <w:instrText xml:space="preserve"> HYPERLINK \l _Toc318 </w:instrText>
          </w:r>
          <w:r>
            <w:fldChar w:fldCharType="separate"/>
          </w:r>
          <w:r>
            <w:rPr>
              <w:rFonts w:hint="eastAsia" w:ascii="Times New Roman" w:hAnsi="Times New Roman" w:eastAsia="楷体_GB2312" w:cs="Times New Roman"/>
              <w:szCs w:val="32"/>
              <w:highlight w:val="none"/>
            </w:rPr>
            <w:t>（二）一般公共预算当年财政拨款支出结构情况</w:t>
          </w:r>
          <w:r>
            <w:tab/>
          </w:r>
          <w:r>
            <w:fldChar w:fldCharType="begin"/>
          </w:r>
          <w:r>
            <w:instrText xml:space="preserve"> PAGEREF _Toc318 </w:instrText>
          </w:r>
          <w:r>
            <w:fldChar w:fldCharType="separate"/>
          </w:r>
          <w:r>
            <w:t>9</w:t>
          </w:r>
          <w:r>
            <w:fldChar w:fldCharType="end"/>
          </w:r>
          <w:r>
            <w:fldChar w:fldCharType="end"/>
          </w:r>
        </w:p>
        <w:p>
          <w:pPr>
            <w:pStyle w:val="5"/>
            <w:tabs>
              <w:tab w:val="right" w:leader="dot" w:pos="8844"/>
            </w:tabs>
          </w:pPr>
          <w:r>
            <w:fldChar w:fldCharType="begin"/>
          </w:r>
          <w:r>
            <w:instrText xml:space="preserve"> HYPERLINK \l _Toc29622 </w:instrText>
          </w:r>
          <w:r>
            <w:fldChar w:fldCharType="separate"/>
          </w:r>
          <w:r>
            <w:rPr>
              <w:rFonts w:hint="eastAsia" w:ascii="Times New Roman" w:hAnsi="Times New Roman" w:eastAsia="楷体_GB2312" w:cs="Times New Roman"/>
              <w:szCs w:val="32"/>
              <w:highlight w:val="none"/>
            </w:rPr>
            <w:t>（三）一般公共预算当年财政拨款具体使用情况</w:t>
          </w:r>
          <w:r>
            <w:tab/>
          </w:r>
          <w:r>
            <w:fldChar w:fldCharType="begin"/>
          </w:r>
          <w:r>
            <w:instrText xml:space="preserve"> PAGEREF _Toc29622 </w:instrText>
          </w:r>
          <w:r>
            <w:fldChar w:fldCharType="separate"/>
          </w:r>
          <w:r>
            <w:t>9</w:t>
          </w:r>
          <w:r>
            <w:fldChar w:fldCharType="end"/>
          </w:r>
          <w:r>
            <w:fldChar w:fldCharType="end"/>
          </w:r>
        </w:p>
        <w:p>
          <w:pPr>
            <w:pStyle w:val="4"/>
            <w:tabs>
              <w:tab w:val="right" w:leader="dot" w:pos="8844"/>
            </w:tabs>
          </w:pPr>
          <w:r>
            <w:fldChar w:fldCharType="begin"/>
          </w:r>
          <w:r>
            <w:instrText xml:space="preserve"> HYPERLINK \l _Toc8806 </w:instrText>
          </w:r>
          <w:r>
            <w:fldChar w:fldCharType="separate"/>
          </w:r>
          <w:r>
            <w:rPr>
              <w:rFonts w:hint="eastAsia" w:ascii="Times New Roman" w:hAnsi="Times New Roman" w:eastAsia="黑体" w:cs="Times New Roman"/>
              <w:kern w:val="0"/>
              <w:szCs w:val="32"/>
              <w:highlight w:val="none"/>
              <w:lang w:val="en-US" w:eastAsia="zh-CN" w:bidi="ar"/>
            </w:rPr>
            <w:t>四、一般公共预算基本支出情况说明</w:t>
          </w:r>
          <w:r>
            <w:tab/>
          </w:r>
          <w:r>
            <w:fldChar w:fldCharType="begin"/>
          </w:r>
          <w:r>
            <w:instrText xml:space="preserve"> PAGEREF _Toc8806 </w:instrText>
          </w:r>
          <w:r>
            <w:fldChar w:fldCharType="separate"/>
          </w:r>
          <w:r>
            <w:t>10</w:t>
          </w:r>
          <w:r>
            <w:fldChar w:fldCharType="end"/>
          </w:r>
          <w:r>
            <w:fldChar w:fldCharType="end"/>
          </w:r>
        </w:p>
        <w:p>
          <w:pPr>
            <w:pStyle w:val="4"/>
            <w:tabs>
              <w:tab w:val="right" w:leader="dot" w:pos="8844"/>
            </w:tabs>
          </w:pPr>
          <w:r>
            <w:fldChar w:fldCharType="begin"/>
          </w:r>
          <w:r>
            <w:instrText xml:space="preserve"> HYPERLINK \l _Toc6907 </w:instrText>
          </w:r>
          <w:r>
            <w:fldChar w:fldCharType="separate"/>
          </w:r>
          <w:r>
            <w:rPr>
              <w:rFonts w:hint="eastAsia" w:ascii="Times New Roman" w:hAnsi="Times New Roman" w:eastAsia="黑体" w:cs="Times New Roman"/>
              <w:kern w:val="0"/>
              <w:szCs w:val="32"/>
              <w:highlight w:val="none"/>
              <w:lang w:val="en-US" w:eastAsia="zh-CN" w:bidi="ar"/>
            </w:rPr>
            <w:t>五、“三公”经费财政拨款预算安排情况说明</w:t>
          </w:r>
          <w:r>
            <w:tab/>
          </w:r>
          <w:r>
            <w:fldChar w:fldCharType="begin"/>
          </w:r>
          <w:r>
            <w:instrText xml:space="preserve"> PAGEREF _Toc6907 </w:instrText>
          </w:r>
          <w:r>
            <w:fldChar w:fldCharType="separate"/>
          </w:r>
          <w:r>
            <w:t>11</w:t>
          </w:r>
          <w:r>
            <w:fldChar w:fldCharType="end"/>
          </w:r>
          <w:r>
            <w:fldChar w:fldCharType="end"/>
          </w:r>
        </w:p>
        <w:p>
          <w:pPr>
            <w:pStyle w:val="4"/>
            <w:tabs>
              <w:tab w:val="right" w:leader="dot" w:pos="8844"/>
            </w:tabs>
          </w:pPr>
          <w:r>
            <w:fldChar w:fldCharType="begin"/>
          </w:r>
          <w:r>
            <w:instrText xml:space="preserve"> HYPERLINK \l _Toc7804 </w:instrText>
          </w:r>
          <w:r>
            <w:fldChar w:fldCharType="separate"/>
          </w:r>
          <w:r>
            <w:rPr>
              <w:rFonts w:hint="eastAsia" w:ascii="Times New Roman" w:hAnsi="Times New Roman" w:eastAsia="黑体" w:cs="Times New Roman"/>
              <w:kern w:val="0"/>
              <w:szCs w:val="32"/>
              <w:highlight w:val="none"/>
              <w:lang w:val="en-US" w:eastAsia="zh-CN" w:bidi="ar"/>
            </w:rPr>
            <w:t>六、政府性基金预算支出情况说明</w:t>
          </w:r>
          <w:r>
            <w:tab/>
          </w:r>
          <w:r>
            <w:fldChar w:fldCharType="begin"/>
          </w:r>
          <w:r>
            <w:instrText xml:space="preserve"> PAGEREF _Toc7804 </w:instrText>
          </w:r>
          <w:r>
            <w:fldChar w:fldCharType="separate"/>
          </w:r>
          <w:r>
            <w:t>11</w:t>
          </w:r>
          <w:r>
            <w:fldChar w:fldCharType="end"/>
          </w:r>
          <w:r>
            <w:fldChar w:fldCharType="end"/>
          </w:r>
        </w:p>
        <w:p>
          <w:pPr>
            <w:pStyle w:val="4"/>
            <w:tabs>
              <w:tab w:val="right" w:leader="dot" w:pos="8844"/>
            </w:tabs>
          </w:pPr>
          <w:r>
            <w:fldChar w:fldCharType="begin"/>
          </w:r>
          <w:r>
            <w:instrText xml:space="preserve"> HYPERLINK \l _Toc6823 </w:instrText>
          </w:r>
          <w:r>
            <w:fldChar w:fldCharType="separate"/>
          </w:r>
          <w:r>
            <w:rPr>
              <w:rFonts w:hint="eastAsia" w:ascii="Times New Roman" w:hAnsi="Times New Roman" w:eastAsia="黑体" w:cs="Times New Roman"/>
              <w:kern w:val="0"/>
              <w:szCs w:val="32"/>
              <w:highlight w:val="none"/>
              <w:lang w:val="en-US" w:eastAsia="zh-CN" w:bidi="ar"/>
            </w:rPr>
            <w:t>七、国有资本经营预算情况说明</w:t>
          </w:r>
          <w:r>
            <w:tab/>
          </w:r>
          <w:r>
            <w:fldChar w:fldCharType="begin"/>
          </w:r>
          <w:r>
            <w:instrText xml:space="preserve"> PAGEREF _Toc6823 </w:instrText>
          </w:r>
          <w:r>
            <w:fldChar w:fldCharType="separate"/>
          </w:r>
          <w:r>
            <w:t>12</w:t>
          </w:r>
          <w:r>
            <w:fldChar w:fldCharType="end"/>
          </w:r>
          <w:r>
            <w:fldChar w:fldCharType="end"/>
          </w:r>
        </w:p>
        <w:p>
          <w:pPr>
            <w:pStyle w:val="4"/>
            <w:tabs>
              <w:tab w:val="right" w:leader="dot" w:pos="8844"/>
            </w:tabs>
          </w:pPr>
          <w:r>
            <w:fldChar w:fldCharType="begin"/>
          </w:r>
          <w:r>
            <w:instrText xml:space="preserve"> HYPERLINK \l _Toc26320 </w:instrText>
          </w:r>
          <w:r>
            <w:fldChar w:fldCharType="separate"/>
          </w:r>
          <w:r>
            <w:rPr>
              <w:rFonts w:hint="eastAsia" w:ascii="Times New Roman" w:hAnsi="Times New Roman" w:eastAsia="黑体" w:cs="Times New Roman"/>
              <w:kern w:val="0"/>
              <w:szCs w:val="32"/>
              <w:highlight w:val="none"/>
              <w:lang w:val="en-US" w:eastAsia="zh-CN" w:bidi="ar"/>
            </w:rPr>
            <w:t>八、其他重要事项的情况说明</w:t>
          </w:r>
          <w:r>
            <w:tab/>
          </w:r>
          <w:r>
            <w:fldChar w:fldCharType="begin"/>
          </w:r>
          <w:r>
            <w:instrText xml:space="preserve"> PAGEREF _Toc26320 </w:instrText>
          </w:r>
          <w:r>
            <w:fldChar w:fldCharType="separate"/>
          </w:r>
          <w:r>
            <w:t>12</w:t>
          </w:r>
          <w:r>
            <w:fldChar w:fldCharType="end"/>
          </w:r>
          <w:r>
            <w:fldChar w:fldCharType="end"/>
          </w:r>
        </w:p>
        <w:p>
          <w:pPr>
            <w:pStyle w:val="5"/>
            <w:tabs>
              <w:tab w:val="right" w:leader="dot" w:pos="8844"/>
            </w:tabs>
          </w:pPr>
          <w:r>
            <w:fldChar w:fldCharType="begin"/>
          </w:r>
          <w:r>
            <w:instrText xml:space="preserve"> HYPERLINK \l _Toc589 </w:instrText>
          </w:r>
          <w:r>
            <w:fldChar w:fldCharType="separate"/>
          </w:r>
          <w:r>
            <w:rPr>
              <w:rFonts w:hint="eastAsia" w:ascii="Times New Roman" w:hAnsi="Times New Roman" w:eastAsia="楷体_GB2312" w:cs="Times New Roman"/>
              <w:szCs w:val="32"/>
              <w:highlight w:val="none"/>
            </w:rPr>
            <w:t>（一）机关运行经费安排情况</w:t>
          </w:r>
          <w:r>
            <w:tab/>
          </w:r>
          <w:r>
            <w:fldChar w:fldCharType="begin"/>
          </w:r>
          <w:r>
            <w:instrText xml:space="preserve"> PAGEREF _Toc589 </w:instrText>
          </w:r>
          <w:r>
            <w:fldChar w:fldCharType="separate"/>
          </w:r>
          <w:r>
            <w:t>12</w:t>
          </w:r>
          <w:r>
            <w:fldChar w:fldCharType="end"/>
          </w:r>
          <w:r>
            <w:fldChar w:fldCharType="end"/>
          </w:r>
        </w:p>
        <w:p>
          <w:pPr>
            <w:pStyle w:val="5"/>
            <w:tabs>
              <w:tab w:val="right" w:leader="dot" w:pos="8844"/>
            </w:tabs>
          </w:pPr>
          <w:r>
            <w:fldChar w:fldCharType="begin"/>
          </w:r>
          <w:r>
            <w:instrText xml:space="preserve"> HYPERLINK \l _Toc10779 </w:instrText>
          </w:r>
          <w:r>
            <w:fldChar w:fldCharType="separate"/>
          </w:r>
          <w:r>
            <w:rPr>
              <w:rFonts w:hint="eastAsia" w:ascii="Times New Roman" w:hAnsi="Times New Roman" w:eastAsia="楷体_GB2312" w:cs="Times New Roman"/>
              <w:szCs w:val="32"/>
              <w:highlight w:val="none"/>
            </w:rPr>
            <w:t>（二）政府采购情况</w:t>
          </w:r>
          <w:r>
            <w:tab/>
          </w:r>
          <w:r>
            <w:fldChar w:fldCharType="begin"/>
          </w:r>
          <w:r>
            <w:instrText xml:space="preserve"> PAGEREF _Toc10779 </w:instrText>
          </w:r>
          <w:r>
            <w:fldChar w:fldCharType="separate"/>
          </w:r>
          <w:r>
            <w:t>12</w:t>
          </w:r>
          <w:r>
            <w:fldChar w:fldCharType="end"/>
          </w:r>
          <w:r>
            <w:fldChar w:fldCharType="end"/>
          </w:r>
        </w:p>
        <w:p>
          <w:pPr>
            <w:pStyle w:val="5"/>
            <w:tabs>
              <w:tab w:val="right" w:leader="dot" w:pos="8844"/>
            </w:tabs>
          </w:pPr>
          <w:r>
            <w:fldChar w:fldCharType="begin"/>
          </w:r>
          <w:r>
            <w:instrText xml:space="preserve"> HYPERLINK \l _Toc5456 </w:instrText>
          </w:r>
          <w:r>
            <w:fldChar w:fldCharType="separate"/>
          </w:r>
          <w:r>
            <w:rPr>
              <w:rFonts w:hint="eastAsia" w:ascii="Times New Roman" w:hAnsi="Times New Roman" w:eastAsia="楷体_GB2312" w:cs="Times New Roman"/>
              <w:szCs w:val="32"/>
              <w:highlight w:val="none"/>
            </w:rPr>
            <w:t>（三）国有资产占有使用情况</w:t>
          </w:r>
          <w:r>
            <w:tab/>
          </w:r>
          <w:r>
            <w:fldChar w:fldCharType="begin"/>
          </w:r>
          <w:r>
            <w:instrText xml:space="preserve"> PAGEREF _Toc5456 </w:instrText>
          </w:r>
          <w:r>
            <w:fldChar w:fldCharType="separate"/>
          </w:r>
          <w:r>
            <w:t>12</w:t>
          </w:r>
          <w:r>
            <w:fldChar w:fldCharType="end"/>
          </w:r>
          <w:r>
            <w:fldChar w:fldCharType="end"/>
          </w:r>
        </w:p>
        <w:p>
          <w:pPr>
            <w:pStyle w:val="5"/>
            <w:tabs>
              <w:tab w:val="right" w:leader="dot" w:pos="8844"/>
            </w:tabs>
          </w:pPr>
          <w:r>
            <w:fldChar w:fldCharType="begin"/>
          </w:r>
          <w:r>
            <w:instrText xml:space="preserve"> HYPERLINK \l _Toc30594 </w:instrText>
          </w:r>
          <w:r>
            <w:fldChar w:fldCharType="separate"/>
          </w:r>
          <w:r>
            <w:rPr>
              <w:rFonts w:hint="eastAsia" w:ascii="Times New Roman" w:hAnsi="Times New Roman" w:eastAsia="楷体_GB2312" w:cs="Times New Roman"/>
              <w:szCs w:val="32"/>
              <w:highlight w:val="none"/>
            </w:rPr>
            <w:t>（四）绩效目标设置情况</w:t>
          </w:r>
          <w:r>
            <w:tab/>
          </w:r>
          <w:r>
            <w:fldChar w:fldCharType="begin"/>
          </w:r>
          <w:r>
            <w:instrText xml:space="preserve"> PAGEREF _Toc30594 </w:instrText>
          </w:r>
          <w:r>
            <w:fldChar w:fldCharType="separate"/>
          </w:r>
          <w:r>
            <w:t>12</w:t>
          </w:r>
          <w:r>
            <w:fldChar w:fldCharType="end"/>
          </w:r>
          <w:r>
            <w:fldChar w:fldCharType="end"/>
          </w:r>
        </w:p>
        <w:p>
          <w:pPr>
            <w:pStyle w:val="4"/>
            <w:tabs>
              <w:tab w:val="right" w:leader="dot" w:pos="8844"/>
            </w:tabs>
          </w:pPr>
          <w:r>
            <w:fldChar w:fldCharType="begin"/>
          </w:r>
          <w:r>
            <w:instrText xml:space="preserve"> HYPERLINK \l _Toc16997 </w:instrText>
          </w:r>
          <w: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kern w:val="0"/>
              <w:szCs w:val="52"/>
              <w:highlight w:val="none"/>
              <w:shd w:val="clear" w:color="auto" w:fill="auto"/>
              <w:lang w:val="en-US" w:eastAsia="zh-CN" w:bidi="ar"/>
            </w:rPr>
            <w:t>名词解释</w:t>
          </w:r>
          <w:r>
            <w:tab/>
          </w:r>
          <w:r>
            <w:fldChar w:fldCharType="begin"/>
          </w:r>
          <w:r>
            <w:instrText xml:space="preserve"> PAGEREF _Toc16997 </w:instrText>
          </w:r>
          <w:r>
            <w:fldChar w:fldCharType="separate"/>
          </w:r>
          <w:r>
            <w:t>14</w:t>
          </w:r>
          <w:r>
            <w:fldChar w:fldCharType="end"/>
          </w:r>
          <w:r>
            <w:fldChar w:fldCharType="end"/>
          </w:r>
        </w:p>
        <w:p>
          <w:pPr>
            <w:pStyle w:val="4"/>
            <w:tabs>
              <w:tab w:val="right" w:leader="dot" w:pos="8844"/>
            </w:tabs>
          </w:pPr>
          <w:r>
            <w:fldChar w:fldCharType="begin"/>
          </w:r>
          <w:r>
            <w:instrText xml:space="preserve"> HYPERLINK \l _Toc13956 </w:instrText>
          </w:r>
          <w:r>
            <w:fldChar w:fldCharType="separate"/>
          </w:r>
          <w:r>
            <w:rPr>
              <w:rFonts w:hint="eastAsia" w:ascii="Times New Roman" w:hAnsi="Times New Roman" w:eastAsia="方正小标宋简体" w:cs="方正小标宋简体"/>
              <w:kern w:val="0"/>
              <w:szCs w:val="52"/>
              <w:highlight w:val="none"/>
              <w:shd w:val="clear" w:color="auto" w:fill="auto"/>
              <w:lang w:val="en-US" w:eastAsia="zh-CN" w:bidi="ar"/>
            </w:rPr>
            <w:t>第四部分  中国共产主义青年团广安市委员会2024年部门预算表</w:t>
          </w:r>
          <w:r>
            <w:tab/>
          </w:r>
          <w:r>
            <w:fldChar w:fldCharType="begin"/>
          </w:r>
          <w:r>
            <w:instrText xml:space="preserve"> PAGEREF _Toc13956 </w:instrText>
          </w:r>
          <w:r>
            <w:fldChar w:fldCharType="separate"/>
          </w:r>
          <w:r>
            <w:t>17</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rPr>
              <w:rFonts w:hint="default" w:ascii="Times New Roman" w:hAnsi="Times New Roman" w:eastAsia="仿宋_GB2312" w:cs="Times New Roman"/>
              <w:sz w:val="32"/>
              <w:szCs w:val="32"/>
              <w:highlight w:val="none"/>
            </w:rPr>
          </w:pPr>
          <w:r>
            <w:fldChar w:fldCharType="end"/>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sdtContent>
    </w:sdt>
    <w:p>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黑体" w:cs="Times New Roman"/>
          <w:kern w:val="0"/>
          <w:sz w:val="32"/>
          <w:szCs w:val="32"/>
          <w:highlight w:val="none"/>
          <w:lang w:val="en-US" w:eastAsia="zh-CN" w:bidi="ar"/>
        </w:rPr>
      </w:pPr>
      <w:bookmarkStart w:id="0" w:name="_Toc8007"/>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中国共产主义青年团广安市委员会概况</w:t>
      </w:r>
      <w:bookmarkEnd w:id="0"/>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1" w:name="_Toc17953"/>
      <w:r>
        <w:rPr>
          <w:rFonts w:hint="eastAsia" w:ascii="Times New Roman" w:hAnsi="Times New Roman" w:eastAsia="黑体" w:cs="Times New Roman"/>
          <w:kern w:val="0"/>
          <w:sz w:val="32"/>
          <w:szCs w:val="32"/>
          <w:highlight w:val="none"/>
          <w:lang w:val="en-US" w:eastAsia="zh-CN" w:bidi="ar"/>
        </w:rPr>
        <w:t>一、基本职能及主要工作</w:t>
      </w:r>
      <w:bookmarkEnd w:id="1"/>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2" w:name="_Toc5060"/>
      <w:r>
        <w:rPr>
          <w:rFonts w:hint="eastAsia" w:ascii="Times New Roman" w:hAnsi="Times New Roman" w:eastAsia="楷体_GB2312" w:cs="Times New Roman"/>
          <w:b/>
          <w:sz w:val="32"/>
          <w:szCs w:val="32"/>
          <w:highlight w:val="none"/>
        </w:rPr>
        <w:t>（一）共青团广安市委职能简介</w:t>
      </w:r>
      <w:bookmarkEnd w:id="2"/>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1.指导全市共青团、青联、学联和少先队工作，推动共青团改革，对全市青年社团组织进行指导和管理；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2.参与制定全市青少年事业发展规划和青少年工作方针、政策；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3.调查青年思想动态和青年工作状态，提出相应对策；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4.协助做好大中小学生教育管理；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5.组织和带领青年在经济建设中发挥生力军和突击队作用；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6.参与制定有关青年统战工作的政策，维护和促进祖国统一和民族团结；</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7.承担市委、市政府交办的有关事项等。</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3" w:name="_Toc631"/>
      <w:r>
        <w:rPr>
          <w:rFonts w:hint="eastAsia" w:ascii="Times New Roman" w:hAnsi="Times New Roman" w:eastAsia="楷体_GB2312" w:cs="Times New Roman"/>
          <w:b/>
          <w:sz w:val="32"/>
          <w:szCs w:val="32"/>
          <w:highlight w:val="none"/>
        </w:rPr>
        <w:t>（二）共青团广安市委</w:t>
      </w:r>
      <w:r>
        <w:rPr>
          <w:rFonts w:hint="eastAsia" w:ascii="Times New Roman" w:hAnsi="Times New Roman" w:eastAsia="楷体_GB2312" w:cs="Times New Roman"/>
          <w:b/>
          <w:sz w:val="32"/>
          <w:szCs w:val="32"/>
          <w:highlight w:val="none"/>
          <w:lang w:eastAsia="zh-CN"/>
        </w:rPr>
        <w:t>2024年</w:t>
      </w:r>
      <w:r>
        <w:rPr>
          <w:rFonts w:hint="eastAsia" w:ascii="Times New Roman" w:hAnsi="Times New Roman" w:eastAsia="楷体_GB2312" w:cs="Times New Roman"/>
          <w:b/>
          <w:sz w:val="32"/>
          <w:szCs w:val="32"/>
          <w:highlight w:val="none"/>
        </w:rPr>
        <w:t>重点工作</w:t>
      </w:r>
      <w:bookmarkEnd w:id="3"/>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一是行政运行，主要包括：机关行政人员工资、津补贴、社保费及日常运行经费。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二是事业运行，主要包括：事业人员工资、津补贴、社保费及日常运行经费。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三是共青团业务工作，主要包括：坚定以习近平新时代中国特色社会主义思想为指导，以习近平总书记关于青年工作的重要思想为统领，全面落实市委、团省委部署要求，按照“三定方案”明确的职能职责，抓好各项工作落细落实。</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四是大学生志愿服务西部计划市级地方项目，主要包括：贯彻落实习近平总书记关于做好高校毕业生就业工作重要指示精神，每年招募（含新招和续签）、派遣西部计划市级地方项目志愿者40名，全力服务乡村振兴战略、积极助力人才强市战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4" w:name="_Toc5374"/>
      <w:r>
        <w:rPr>
          <w:rFonts w:hint="eastAsia" w:ascii="Times New Roman" w:hAnsi="Times New Roman" w:eastAsia="黑体" w:cs="Times New Roman"/>
          <w:kern w:val="0"/>
          <w:sz w:val="32"/>
          <w:szCs w:val="32"/>
          <w:highlight w:val="none"/>
          <w:lang w:val="en-US" w:eastAsia="zh-CN" w:bidi="ar"/>
        </w:rPr>
        <w:t>二、部门预算单位构成</w:t>
      </w:r>
      <w:bookmarkEnd w:id="4"/>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下属行政单位1个，为共青团广安市委机关，单位内设3个部室，主要包括：办公室、组宣部、社会联络部；下属其他事业单位1个，为广安市青少年宫，无内设机构，非独立核算单位，统一纳入共青团广安市委机关预算编报范围进行预算管理。</w:t>
      </w:r>
    </w:p>
    <w:p>
      <w:pPr>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br w:type="page"/>
      </w: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黑体" w:cs="Times New Roman"/>
          <w:kern w:val="0"/>
          <w:sz w:val="32"/>
          <w:szCs w:val="32"/>
          <w:highlight w:val="none"/>
          <w:lang w:val="en-US" w:eastAsia="zh-CN" w:bidi="ar"/>
        </w:rPr>
      </w:pPr>
    </w:p>
    <w:p>
      <w:pPr>
        <w:jc w:val="cente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中国共产主义青年团广安市委员会</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202</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4</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年部门预算情况说明</w:t>
      </w:r>
    </w:p>
    <w:p>
      <w:pPr>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br w:type="page"/>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黑体" w:cs="Times New Roman"/>
          <w:kern w:val="0"/>
          <w:sz w:val="32"/>
          <w:szCs w:val="32"/>
          <w:highlight w:val="none"/>
          <w:lang w:val="en-US" w:eastAsia="zh-CN" w:bidi="ar"/>
        </w:rPr>
      </w:pPr>
      <w:bookmarkStart w:id="5" w:name="_Toc20791"/>
      <w:r>
        <w:rPr>
          <w:rFonts w:hint="eastAsia" w:ascii="Times New Roman" w:hAnsi="Times New Roman" w:eastAsia="黑体" w:cs="Times New Roman"/>
          <w:kern w:val="0"/>
          <w:sz w:val="32"/>
          <w:szCs w:val="32"/>
          <w:highlight w:val="none"/>
          <w:lang w:val="en-US" w:eastAsia="zh-CN" w:bidi="ar"/>
        </w:rPr>
        <w:t>一、收支预算情况说明</w:t>
      </w:r>
      <w:bookmarkEnd w:id="5"/>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按照综合预算的原则，共青团广安市委所有收入和支出均纳入部门预算管理。收入包括：一般公共预算拨款收入438.19万元；支出包括：一般公共服务支出403.89万元、社会保障和就业支出25.25万元、卫生健康支出9.05万元。共青团广安市委2024年收支预算总数438.19万元，比2023年收支预算总数减少1.19万元，主要原因是压减日常公用经费支出。</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6" w:name="_Toc21005"/>
      <w:r>
        <w:rPr>
          <w:rFonts w:hint="eastAsia" w:ascii="Times New Roman" w:hAnsi="Times New Roman" w:eastAsia="楷体_GB2312" w:cs="Times New Roman"/>
          <w:b/>
          <w:sz w:val="32"/>
          <w:szCs w:val="32"/>
          <w:highlight w:val="none"/>
        </w:rPr>
        <w:t>（一）收入预算情况</w:t>
      </w:r>
      <w:bookmarkEnd w:id="6"/>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共青团广安市委2024年收入预算438.19万元，其中：一般公共预算拨款收入438.19万元，占100%。</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7" w:name="_Toc15417"/>
      <w:r>
        <w:rPr>
          <w:rFonts w:hint="eastAsia" w:ascii="Times New Roman" w:hAnsi="Times New Roman" w:eastAsia="楷体_GB2312" w:cs="Times New Roman"/>
          <w:b/>
          <w:sz w:val="32"/>
          <w:szCs w:val="32"/>
          <w:highlight w:val="none"/>
        </w:rPr>
        <w:t>（二）支出预算情况</w:t>
      </w:r>
      <w:bookmarkEnd w:id="7"/>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共青团广安市委2024年支出预算438.19万元，其中：基本支出254.19万元，占58.01%；项目支出184万元，占41.99%。</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黑体" w:cs="Times New Roman"/>
          <w:kern w:val="0"/>
          <w:sz w:val="32"/>
          <w:szCs w:val="32"/>
          <w:highlight w:val="none"/>
          <w:lang w:val="en-US" w:eastAsia="zh-CN" w:bidi="ar"/>
        </w:rPr>
      </w:pPr>
      <w:bookmarkStart w:id="8" w:name="_Toc20514"/>
      <w:r>
        <w:rPr>
          <w:rFonts w:hint="eastAsia" w:ascii="Times New Roman" w:hAnsi="Times New Roman" w:eastAsia="黑体" w:cs="Times New Roman"/>
          <w:kern w:val="0"/>
          <w:sz w:val="32"/>
          <w:szCs w:val="32"/>
          <w:highlight w:val="none"/>
          <w:lang w:val="en-US" w:eastAsia="zh-CN" w:bidi="ar"/>
        </w:rPr>
        <w:t>二、财政拨款收支预算情况说明</w:t>
      </w:r>
      <w:bookmarkEnd w:id="8"/>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共青团广安市委2024年财政拨款收支预算总数438.19万元，比2023年财政拨款收支预算总数减少1.19万元。主要原因是压减日常公用经费支出。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收入包括：本年一般公共预算拨款收入438.19万元，占100%；支出包括：一般公共服务支出403.89万元，占92.17%；社会保障和就业支出25.25万元，5.76%；卫生健康支出9.05万元，占2.07%。</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9" w:name="_Toc5067"/>
      <w:r>
        <w:rPr>
          <w:rFonts w:hint="eastAsia" w:ascii="Times New Roman" w:hAnsi="Times New Roman" w:eastAsia="黑体" w:cs="Times New Roman"/>
          <w:kern w:val="0"/>
          <w:sz w:val="32"/>
          <w:szCs w:val="32"/>
          <w:highlight w:val="none"/>
          <w:lang w:val="en-US" w:eastAsia="zh-CN" w:bidi="ar"/>
        </w:rPr>
        <w:t>三、一般公共预算当年财政拨款情况</w:t>
      </w:r>
      <w:bookmarkEnd w:id="9"/>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10" w:name="_Toc9870"/>
      <w:r>
        <w:rPr>
          <w:rFonts w:hint="eastAsia" w:ascii="Times New Roman" w:hAnsi="Times New Roman" w:eastAsia="楷体_GB2312" w:cs="Times New Roman"/>
          <w:b/>
          <w:sz w:val="32"/>
          <w:szCs w:val="32"/>
          <w:highlight w:val="none"/>
        </w:rPr>
        <w:t>（一）一般公共预算当年财政拨款规模变化情况</w:t>
      </w:r>
      <w:bookmarkEnd w:id="10"/>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共青团广安市委2024年一般公共预算当年财政拨款438.19万元，比2023年预算数减少1.19万元，降低0.27%。主要原因是压减日常公用经费支出。</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11" w:name="_Toc318"/>
      <w:r>
        <w:rPr>
          <w:rFonts w:hint="eastAsia" w:ascii="Times New Roman" w:hAnsi="Times New Roman" w:eastAsia="楷体_GB2312" w:cs="Times New Roman"/>
          <w:b/>
          <w:sz w:val="32"/>
          <w:szCs w:val="32"/>
          <w:highlight w:val="none"/>
        </w:rPr>
        <w:t>（二）一般公共预算当年财政拨款支出结构情况</w:t>
      </w:r>
      <w:bookmarkEnd w:id="11"/>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一般公共服务支出403.89万元，占92.17%；社会保障和就业支出25.25万元，5.76%；卫生健康支出9.05万元，占2.07%。</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12" w:name="_Toc29622"/>
      <w:r>
        <w:rPr>
          <w:rFonts w:hint="eastAsia" w:ascii="Times New Roman" w:hAnsi="Times New Roman" w:eastAsia="楷体_GB2312" w:cs="Times New Roman"/>
          <w:b/>
          <w:sz w:val="32"/>
          <w:szCs w:val="32"/>
          <w:highlight w:val="none"/>
        </w:rPr>
        <w:t>（三）一般公共预算当年财政拨款具体使用情况</w:t>
      </w:r>
      <w:bookmarkEnd w:id="12"/>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1.一般公共服务支出（类）群众团体事务支出（款）行政运行（项）：2024年预算数为139.39万元，主要用于共青团广安市委机关正常运转的基本支出，包括基本工资、津贴补贴等人员经费以及办公费、印刷费、水电费等日常公用经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一般公共服务支出（类）群众团体事务支出（款）事业运行（项）：2024年预算数为76.72万元，主要用于下属事业单位广安市青少年宫（非独立核算，下同）正常运转的基本支出，包括基本工资、绩效工资、津贴补贴等人员经费以及办公费、印刷费、水电费等日常公用经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3.一般公共服务支出（类）群众团体事务支出（款）其他群众团体事务支出（项）：2024年预算数为184万元，主要用于共青团组织建设、青年思想引领、青年志愿服务、青年创新创业等专项业务支出；下属事业单位广安市青少年宫开展公益培训、公益活动等专项业务支出以及市青少年活动中心装修尾款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4.社会保障和就业支出（类）行政事业单位养老支出（款）机关事业单位基本养老保险缴费支出（项）：2024年预算数为25.25万元，主要用于共青团广安市委机关及下属事业单位广安市青少年宫职工的基本养老保险单位部分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5.卫生健康支出（类）行政事业单位医疗（款）行政单位医疗（项）：2024年预算数为4.08万元，主要用于共青团广安市委机关职工的基本医疗保险单位部分缴费支出。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6.卫生健康支出（类）行政事业单位医疗（款）事业单位医疗（项）：2024年预算数为2.71万元，主要用于下属事业单位广安市青少年宫职工的基本医疗保险单位部分缴费支出。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7.卫生健康支出（类）行政事业单位医疗（款）公务员医疗补助（项）：2024年预算数为2.25万元，主要用于共青团广安市委机关及下属事业单位广安市青少年宫职工的公务员医疗补助缴费支出。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8.一般公共服务支出（类）群众团体事务支出（款）工会事务（项）：2024年预算数为3.78万元，主要用于共青团广安市委联合工会用于开展职工活动、慰问等支出。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13" w:name="_Toc8806"/>
      <w:r>
        <w:rPr>
          <w:rFonts w:hint="eastAsia" w:ascii="Times New Roman" w:hAnsi="Times New Roman" w:eastAsia="黑体" w:cs="Times New Roman"/>
          <w:kern w:val="0"/>
          <w:sz w:val="32"/>
          <w:szCs w:val="32"/>
          <w:highlight w:val="none"/>
          <w:lang w:val="en-US" w:eastAsia="zh-CN" w:bidi="ar"/>
        </w:rPr>
        <w:t>四、一般公共预算基本支出情况说明</w:t>
      </w:r>
      <w:bookmarkEnd w:id="13"/>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共青团广安市委2024年一般公共预算基本支出254.19万元，其中：</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人员经费200.62万元，主要包括：基本工资、津贴补贴、机关事业单位基本养老保险缴费、职工基本医疗保险缴费、其他社会保障缴费、公务员医疗补助、对个人和家庭的补助。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公用经费53.56万元，主要包括：党报党刊征订费、办公费、印刷费、水电费、邮电费、物业管理费、差旅费、维修（护）费、会议费、培训费、公务接待费、工会经费、福利费、其他交通费用、党建经费、其他商品和服务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14" w:name="_Toc6907"/>
      <w:r>
        <w:rPr>
          <w:rFonts w:hint="eastAsia" w:ascii="Times New Roman" w:hAnsi="Times New Roman" w:eastAsia="黑体" w:cs="Times New Roman"/>
          <w:kern w:val="0"/>
          <w:sz w:val="32"/>
          <w:szCs w:val="32"/>
          <w:highlight w:val="none"/>
          <w:lang w:val="en-US" w:eastAsia="zh-CN" w:bidi="ar"/>
        </w:rPr>
        <w:t>五、“三公”经费财政拨款预算安排情况说明</w:t>
      </w:r>
      <w:bookmarkEnd w:id="14"/>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共青团广安市委2024年“三公”经费财政拨款预算数1万元。其中：公务接待费1万元，公务用车购置及运行维护费0万元，因公出国（境）经费0万元。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（一）因公出国（境）经费与2023年预算持平。</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（二）公务接待费与2023年预算持平。</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2024年公务接待费计划用于来我委出席会议、考察调研、执行任务、学习交流、检查指导、请示汇报工作等公务活动。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（三）公务用车购置及运行费与2023年预算持平。</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单位现有公务用车0辆，其中：轿车0辆，旅行车（含商务车）0辆，越野车0辆，大型客、货车0辆。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2024年安排公务用车购置费0万元，拟购置公务用车0辆，其中：轿车0辆，旅行车（含商务车）0辆，越野车0辆，大型客、货车0辆。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2024年安排公务用车运行维护费0万元。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15" w:name="_Toc7804"/>
      <w:r>
        <w:rPr>
          <w:rFonts w:hint="eastAsia" w:ascii="Times New Roman" w:hAnsi="Times New Roman" w:eastAsia="黑体" w:cs="Times New Roman"/>
          <w:kern w:val="0"/>
          <w:sz w:val="32"/>
          <w:szCs w:val="32"/>
          <w:highlight w:val="none"/>
          <w:lang w:val="en-US" w:eastAsia="zh-CN" w:bidi="ar"/>
        </w:rPr>
        <w:t>六、政府性基金预算支出情况说明</w:t>
      </w:r>
      <w:bookmarkEnd w:id="15"/>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共青团广安市委2024年没有使用政府性基金预算拨款安排的支出。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16" w:name="_Toc6823"/>
      <w:r>
        <w:rPr>
          <w:rFonts w:hint="eastAsia" w:ascii="Times New Roman" w:hAnsi="Times New Roman" w:eastAsia="黑体" w:cs="Times New Roman"/>
          <w:kern w:val="0"/>
          <w:sz w:val="32"/>
          <w:szCs w:val="32"/>
          <w:highlight w:val="none"/>
          <w:lang w:val="en-US" w:eastAsia="zh-CN" w:bidi="ar"/>
        </w:rPr>
        <w:t>七、国有资本经营预算情况说明</w:t>
      </w:r>
      <w:bookmarkEnd w:id="16"/>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仿宋_GB2312" w:cs="Times New Roman"/>
          <w:kern w:val="2"/>
          <w:sz w:val="32"/>
          <w:szCs w:val="22"/>
          <w:highlight w:val="none"/>
          <w:lang w:val="en-US" w:eastAsia="zh-CN" w:bidi="ar-SA"/>
        </w:rPr>
        <w:t>共青团广安市委2024年没有使用国有资本经营预算拨款安排的支出。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黑体" w:cs="Times New Roman"/>
          <w:kern w:val="0"/>
          <w:sz w:val="32"/>
          <w:szCs w:val="32"/>
          <w:highlight w:val="none"/>
          <w:lang w:val="en-US" w:eastAsia="zh-CN" w:bidi="ar"/>
        </w:rPr>
      </w:pPr>
      <w:bookmarkStart w:id="17" w:name="_Toc26320"/>
      <w:r>
        <w:rPr>
          <w:rFonts w:hint="eastAsia" w:ascii="Times New Roman" w:hAnsi="Times New Roman" w:eastAsia="黑体" w:cs="Times New Roman"/>
          <w:kern w:val="0"/>
          <w:sz w:val="32"/>
          <w:szCs w:val="32"/>
          <w:highlight w:val="none"/>
          <w:lang w:val="en-US" w:eastAsia="zh-CN" w:bidi="ar"/>
        </w:rPr>
        <w:t>八、其他重要事项的情况说明</w:t>
      </w:r>
      <w:bookmarkEnd w:id="17"/>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18" w:name="_Toc589"/>
      <w:r>
        <w:rPr>
          <w:rFonts w:hint="eastAsia" w:ascii="Times New Roman" w:hAnsi="Times New Roman" w:eastAsia="楷体_GB2312" w:cs="Times New Roman"/>
          <w:b/>
          <w:sz w:val="32"/>
          <w:szCs w:val="32"/>
          <w:highlight w:val="none"/>
        </w:rPr>
        <w:t>（一）机关运行经费安排情况</w:t>
      </w:r>
      <w:bookmarkEnd w:id="18"/>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2024年，共青团广安市委下属共青团广安市委机关等1家行政单位的机关运行经费财政拨款预算为53.56万元，比2023年预算减少10.17万元，降低15.96%，主要原因是压减日常公用经费支出。</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19" w:name="_Toc10779"/>
      <w:r>
        <w:rPr>
          <w:rFonts w:hint="eastAsia" w:ascii="Times New Roman" w:hAnsi="Times New Roman" w:eastAsia="楷体_GB2312" w:cs="Times New Roman"/>
          <w:b/>
          <w:sz w:val="32"/>
          <w:szCs w:val="32"/>
          <w:highlight w:val="none"/>
        </w:rPr>
        <w:t>（二）政府采购情况</w:t>
      </w:r>
      <w:bookmarkEnd w:id="19"/>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2024年，共青团广安市委安排政府采购预算6万元，其中，政府采购货物预算6万元；政府采购工程预算0万元；政府采购服务预算0万元。</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20" w:name="_Toc5456"/>
      <w:r>
        <w:rPr>
          <w:rFonts w:hint="eastAsia" w:ascii="Times New Roman" w:hAnsi="Times New Roman" w:eastAsia="楷体_GB2312" w:cs="Times New Roman"/>
          <w:b/>
          <w:sz w:val="32"/>
          <w:szCs w:val="32"/>
          <w:highlight w:val="none"/>
        </w:rPr>
        <w:t>（三）国有资产占有使用情况</w:t>
      </w:r>
      <w:bookmarkEnd w:id="20"/>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截至2023年底，共青团广安市委所属各预算单位共有车辆0辆，其中，定向保障用车0辆、执法执勤用车0辆。单位价值200万元以上大型设备0台（套）。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2024年部门预算未安排购置车辆及单位价值200万元以上大型设备。</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outlineLvl w:val="1"/>
        <w:rPr>
          <w:rFonts w:hint="eastAsia" w:ascii="Times New Roman" w:hAnsi="Times New Roman" w:eastAsia="楷体_GB2312" w:cs="Times New Roman"/>
          <w:b/>
          <w:sz w:val="32"/>
          <w:szCs w:val="32"/>
          <w:highlight w:val="none"/>
          <w:lang w:eastAsia="zh-CN"/>
        </w:rPr>
      </w:pPr>
      <w:bookmarkStart w:id="21" w:name="_Toc30594"/>
      <w:r>
        <w:rPr>
          <w:rFonts w:hint="eastAsia" w:ascii="Times New Roman" w:hAnsi="Times New Roman" w:eastAsia="楷体_GB2312" w:cs="Times New Roman"/>
          <w:b/>
          <w:sz w:val="32"/>
          <w:szCs w:val="32"/>
          <w:highlight w:val="none"/>
        </w:rPr>
        <w:t>（四）绩效目标设置情况</w:t>
      </w:r>
      <w:bookmarkEnd w:id="21"/>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2024年共青团广安市委开展绩效目标管理的项目17个，涉及预算438.19万元。其中：人员类项目7个，涉及预算200.62万元；运转类项目9个，涉及预算53.56万元；特定目标类项目1个，涉及预算184万元。</w:t>
      </w:r>
      <w:bookmarkStart w:id="24" w:name="_GoBack"/>
      <w:bookmarkEnd w:id="24"/>
    </w:p>
    <w:p>
      <w:pPr>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br w:type="page"/>
      </w: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90" w:lineRule="exact"/>
        <w:ind w:firstLine="1040" w:firstLineChars="200"/>
        <w:jc w:val="center"/>
        <w:textAlignment w:val="auto"/>
        <w:outlineLvl w:val="0"/>
        <w:rPr>
          <w:rFonts w:hint="eastAsia" w:ascii="Times New Roman" w:hAnsi="Times New Roman" w:eastAsia="黑体" w:cs="Times New Roman"/>
          <w:kern w:val="0"/>
          <w:sz w:val="32"/>
          <w:szCs w:val="32"/>
          <w:highlight w:val="none"/>
          <w:lang w:val="en-US" w:eastAsia="zh-CN" w:bidi="ar"/>
        </w:rPr>
      </w:pPr>
      <w:bookmarkStart w:id="22" w:name="_Toc16997"/>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bookmarkEnd w:id="22"/>
    </w:p>
    <w:p>
      <w:pPr>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br w:type="page"/>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1.一般公共预算拨款收入：指市级财政当年拨付的资金。</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2.上年结转：指以前年度尚未完成，结转到本年仍按原规定用途继续使用的资金。</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3.一般公共服务（类）群众团体事务（款）行政运行（项）：指共青团广安市委机关及下属事业单位广安市青少年宫用于保障机构正常运行、开展日常工作的基本支出。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4.一般公共服务（类）群众团体事务（款）其他群众团体事务支出（项）：指共青团广安市委机关及下属事业单位广安市青少年宫专项业务费支出。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5.社会保障和就业（类）行政事业单位离退休（款）机关事业单位基本养老保险缴费支出（项）：指共青团广安市委机关及下属事业单位广安市青少年宫职工的基本养老保险费单位部分缴费支出。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6.卫生健康（类）行政事业单位医疗（款）行政单位医疗（项）：指共青团广安市委机关职工的基本医疗保险费单位部分缴费支出。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7.卫生健康（类）行政事业单位医疗（款）事业单位医疗（项）：指下属事业单位广安市青少年宫职工的基本医疗保险费单位部分缴费支出。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8.卫生健康（类）行政事业单位医疗（款）公务员医疗补助（项）：指共青团广安市委机关及下属事业单位广安市青少年宫职工的公务员医疗补助缴费支出。（注：此项为单位缴费，个人不缴纳）</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9.基本支出：指为保证机构正常运转，完成日常工作任务而发生的人员支出和公用支出。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10.项目支出：指在基本支出之外为完成特定行政任务和事业发展目标所发生的支出。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11.“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12.机关运行经费：为保障行政单位（包含参照公务员法管理的事业单位）运行用于购买货物和服务的各项资金。包括办公及印刷费、邮电费、差旅费、会议费、一般设备购置费等费用开支。</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仿宋_GB2312" w:cs="Times New Roman"/>
          <w:sz w:val="32"/>
          <w:szCs w:val="32"/>
          <w:highlight w:val="none"/>
        </w:rPr>
      </w:pPr>
      <w:bookmarkStart w:id="23" w:name="_Toc13956"/>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中国共产主义青年团广安市委员会2024年部门预算表</w:t>
      </w:r>
      <w:bookmarkEnd w:id="23"/>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附件：表1 部门收支总表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hint="eastAsia"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sectPr>
      <w:headerReference r:id="rId3" w:type="default"/>
      <w:footerReference r:id="rId4" w:type="default"/>
      <w:pgSz w:w="11906" w:h="16838"/>
      <w:pgMar w:top="2041"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36BA2"/>
    <w:rsid w:val="02252648"/>
    <w:rsid w:val="02BA466D"/>
    <w:rsid w:val="04FD077F"/>
    <w:rsid w:val="05745DE9"/>
    <w:rsid w:val="05CA5BFB"/>
    <w:rsid w:val="079A3D01"/>
    <w:rsid w:val="09E206E1"/>
    <w:rsid w:val="0A481D7D"/>
    <w:rsid w:val="10536BA2"/>
    <w:rsid w:val="108814B1"/>
    <w:rsid w:val="11374934"/>
    <w:rsid w:val="113D7A3A"/>
    <w:rsid w:val="126D79B8"/>
    <w:rsid w:val="13DC3779"/>
    <w:rsid w:val="17072C98"/>
    <w:rsid w:val="17277402"/>
    <w:rsid w:val="197928F5"/>
    <w:rsid w:val="1A8447AB"/>
    <w:rsid w:val="1F47585A"/>
    <w:rsid w:val="1FDD68B3"/>
    <w:rsid w:val="21965A03"/>
    <w:rsid w:val="23765FDB"/>
    <w:rsid w:val="263B673C"/>
    <w:rsid w:val="279A7329"/>
    <w:rsid w:val="27AD5A4C"/>
    <w:rsid w:val="29D5056C"/>
    <w:rsid w:val="2A9F4105"/>
    <w:rsid w:val="2B4347C7"/>
    <w:rsid w:val="2C3F6E02"/>
    <w:rsid w:val="31A24DB6"/>
    <w:rsid w:val="326F7A7F"/>
    <w:rsid w:val="36602C86"/>
    <w:rsid w:val="36C27F17"/>
    <w:rsid w:val="37622978"/>
    <w:rsid w:val="38FD4D6A"/>
    <w:rsid w:val="392C2A1B"/>
    <w:rsid w:val="3AD66E92"/>
    <w:rsid w:val="3E7317AF"/>
    <w:rsid w:val="40F0268D"/>
    <w:rsid w:val="416A06B5"/>
    <w:rsid w:val="420D1D2C"/>
    <w:rsid w:val="43E33CB5"/>
    <w:rsid w:val="44772627"/>
    <w:rsid w:val="49205F20"/>
    <w:rsid w:val="50E86414"/>
    <w:rsid w:val="57401DD0"/>
    <w:rsid w:val="57FD5CE7"/>
    <w:rsid w:val="5C864B31"/>
    <w:rsid w:val="5C8952CF"/>
    <w:rsid w:val="60652B70"/>
    <w:rsid w:val="634839E6"/>
    <w:rsid w:val="679937DB"/>
    <w:rsid w:val="684973AD"/>
    <w:rsid w:val="6A2F5A87"/>
    <w:rsid w:val="6A687AC4"/>
    <w:rsid w:val="6A950F53"/>
    <w:rsid w:val="6DAE61EF"/>
    <w:rsid w:val="70E2166D"/>
    <w:rsid w:val="72744B4F"/>
    <w:rsid w:val="753E4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toc 2"/>
    <w:basedOn w:val="1"/>
    <w:next w:val="1"/>
    <w:uiPriority w:val="0"/>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WPSOffice手动目录 1"/>
    <w:uiPriority w:val="0"/>
    <w:pPr>
      <w:ind w:leftChars="0"/>
    </w:pPr>
    <w:rPr>
      <w:rFonts w:asciiTheme="minorHAnsi" w:hAnsiTheme="minorHAnsi" w:eastAsiaTheme="minorEastAsia" w:cstheme="minorBidi"/>
      <w:sz w:val="20"/>
      <w:szCs w:val="20"/>
    </w:rPr>
  </w:style>
  <w:style w:type="paragraph" w:customStyle="1" w:styleId="10">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2023-05-24T02:39:00Z</dcterms:created>
  <dc:creator>gyu</dc:creator>
  <cp:lastModifiedBy>大脸猫</cp:lastModifiedBy>
  <dcterms:modified xsi:type="dcterms:W3CDTF">2024-02-27T09:14:58Z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491826505_btnclosed</vt:lpwstr>
  </property>
</Properties>
</file>