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92" w:lineRule="exact"/>
        <w:jc w:val="left"/>
        <w:textAlignment w:val="auto"/>
        <w:outlineLvl w:val="0"/>
        <w:rPr>
          <w:rFonts w:ascii="Times New Roman" w:hAnsi="Times New Roman" w:eastAsia="方正小标宋简体"/>
          <w:szCs w:val="21"/>
        </w:rPr>
      </w:pPr>
      <w:bookmarkStart w:id="0" w:name="_Toc15306267"/>
    </w:p>
    <w:p>
      <w:pPr>
        <w:pStyle w:val="6"/>
        <w:pageBreakBefore w:val="0"/>
        <w:kinsoku/>
        <w:wordWrap/>
        <w:overflowPunct/>
        <w:topLinePunct w:val="0"/>
        <w:bidi w:val="0"/>
        <w:spacing w:before="93" w:line="592" w:lineRule="exact"/>
        <w:textAlignment w:val="auto"/>
        <w:rPr>
          <w:rFonts w:ascii="Times New Roman" w:hAnsi="Times New Roman"/>
        </w:rPr>
      </w:pPr>
    </w:p>
    <w:p>
      <w:pPr>
        <w:pageBreakBefore w:val="0"/>
        <w:kinsoku/>
        <w:wordWrap/>
        <w:overflowPunct/>
        <w:topLinePunct w:val="0"/>
        <w:bidi w:val="0"/>
        <w:spacing w:line="592" w:lineRule="exact"/>
        <w:jc w:val="center"/>
        <w:textAlignment w:val="auto"/>
        <w:outlineLvl w:val="0"/>
        <w:rPr>
          <w:rFonts w:ascii="Times New Roman" w:hAnsi="Times New Roman" w:eastAsia="方正小标宋简体"/>
          <w:sz w:val="72"/>
          <w:szCs w:val="72"/>
        </w:rPr>
      </w:pPr>
    </w:p>
    <w:p>
      <w:pPr>
        <w:keepNext w:val="0"/>
        <w:keepLines w:val="0"/>
        <w:pageBreakBefore w:val="0"/>
        <w:widowControl w:val="0"/>
        <w:kinsoku/>
        <w:wordWrap/>
        <w:overflowPunct/>
        <w:topLinePunct w:val="0"/>
        <w:autoSpaceDE/>
        <w:autoSpaceDN/>
        <w:bidi w:val="0"/>
        <w:snapToGrid/>
        <w:spacing w:line="360" w:lineRule="auto"/>
        <w:jc w:val="center"/>
        <w:textAlignment w:val="auto"/>
        <w:outlineLvl w:val="0"/>
        <w:rPr>
          <w:rFonts w:ascii="Times New Roman" w:hAnsi="Times New Roman" w:eastAsia="方正小标宋简体"/>
          <w:sz w:val="72"/>
          <w:szCs w:val="72"/>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ascii="Times New Roman" w:hAnsi="Times New Roman" w:eastAsia="方正小标宋简体" w:cs="方正小标宋简体"/>
          <w:sz w:val="72"/>
          <w:szCs w:val="72"/>
        </w:rPr>
      </w:pPr>
      <w:bookmarkStart w:id="1" w:name="_Toc15377193"/>
      <w:bookmarkStart w:id="2" w:name="_Toc15396475"/>
      <w:bookmarkStart w:id="3" w:name="_Toc15378441"/>
      <w:bookmarkStart w:id="4" w:name="_Toc15377425"/>
      <w:bookmarkStart w:id="5" w:name="_Toc15396597"/>
      <w:r>
        <w:rPr>
          <w:rFonts w:hint="eastAsia" w:ascii="Times New Roman" w:hAnsi="Times New Roman" w:eastAsia="方正小标宋简体" w:cs="方正小标宋简体"/>
          <w:sz w:val="72"/>
          <w:szCs w:val="72"/>
        </w:rPr>
        <w:t>2023年度</w:t>
      </w:r>
      <w:bookmarkEnd w:id="1"/>
      <w:bookmarkEnd w:id="2"/>
      <w:bookmarkEnd w:id="3"/>
      <w:bookmarkEnd w:id="4"/>
      <w:bookmarkEnd w:id="5"/>
    </w:p>
    <w:bookmarkEnd w:id="0"/>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Times New Roman" w:hAnsi="Times New Roman" w:eastAsia="方正小标宋简体" w:cs="方正小标宋简体"/>
          <w:sz w:val="72"/>
          <w:szCs w:val="72"/>
        </w:rPr>
      </w:pPr>
      <w:bookmarkStart w:id="6" w:name="_Toc15396476"/>
      <w:bookmarkStart w:id="7" w:name="_Toc15306268"/>
      <w:bookmarkStart w:id="8" w:name="_Toc15378442"/>
      <w:bookmarkStart w:id="9" w:name="_Toc15377194"/>
      <w:bookmarkStart w:id="10" w:name="_Toc15396598"/>
      <w:bookmarkStart w:id="11" w:name="_Toc15377426"/>
      <w:r>
        <w:rPr>
          <w:rFonts w:hint="eastAsia" w:ascii="Times New Roman" w:hAnsi="Times New Roman" w:eastAsia="方正小标宋简体" w:cs="方正小标宋简体"/>
          <w:sz w:val="72"/>
          <w:szCs w:val="72"/>
          <w:lang w:eastAsia="zh-CN"/>
        </w:rPr>
        <w:t>广安市金融工作局</w:t>
      </w:r>
      <w:r>
        <w:rPr>
          <w:rFonts w:hint="eastAsia" w:ascii="Times New Roman" w:hAnsi="Times New Roman" w:eastAsia="方正小标宋简体" w:cs="方正小标宋简体"/>
          <w:sz w:val="72"/>
          <w:szCs w:val="72"/>
        </w:rPr>
        <w:t>单位</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ascii="Times New Roman" w:hAnsi="Times New Roman" w:eastAsia="方正小标宋简体" w:cs="方正小标宋简体"/>
          <w:sz w:val="72"/>
          <w:szCs w:val="72"/>
        </w:rPr>
      </w:pPr>
      <w:r>
        <w:rPr>
          <w:rFonts w:hint="eastAsia" w:ascii="Times New Roman" w:hAnsi="Times New Roman" w:eastAsia="方正小标宋简体" w:cs="方正小标宋简体"/>
          <w:sz w:val="72"/>
          <w:szCs w:val="72"/>
        </w:rPr>
        <w:t>决</w:t>
      </w:r>
      <w:r>
        <w:rPr>
          <w:rFonts w:hint="eastAsia" w:eastAsia="方正小标宋简体" w:cs="方正小标宋简体"/>
          <w:sz w:val="72"/>
          <w:szCs w:val="72"/>
          <w:lang w:val="en-US" w:eastAsia="zh-CN"/>
        </w:rPr>
        <w:t xml:space="preserve"> </w:t>
      </w:r>
      <w:r>
        <w:rPr>
          <w:rFonts w:hint="eastAsia" w:ascii="Times New Roman" w:hAnsi="Times New Roman" w:eastAsia="方正小标宋简体" w:cs="方正小标宋简体"/>
          <w:sz w:val="72"/>
          <w:szCs w:val="72"/>
        </w:rPr>
        <w:t>算</w:t>
      </w:r>
      <w:bookmarkEnd w:id="6"/>
      <w:bookmarkEnd w:id="7"/>
      <w:bookmarkEnd w:id="8"/>
      <w:bookmarkEnd w:id="9"/>
      <w:bookmarkEnd w:id="10"/>
      <w:bookmarkEnd w:id="11"/>
    </w:p>
    <w:p>
      <w:pPr>
        <w:pageBreakBefore w:val="0"/>
        <w:widowControl/>
        <w:kinsoku/>
        <w:wordWrap/>
        <w:overflowPunct/>
        <w:topLinePunct w:val="0"/>
        <w:bidi w:val="0"/>
        <w:spacing w:line="592" w:lineRule="exact"/>
        <w:jc w:val="center"/>
        <w:textAlignment w:val="auto"/>
        <w:rPr>
          <w:rFonts w:ascii="Times New Roman" w:hAnsi="Times New Roman" w:eastAsia="黑体"/>
          <w:sz w:val="48"/>
          <w:szCs w:val="48"/>
        </w:rPr>
      </w:pPr>
      <w:r>
        <w:rPr>
          <w:rFonts w:ascii="Times New Roman" w:hAnsi="Times New Roman" w:eastAsia="方正小标宋简体"/>
          <w:sz w:val="36"/>
          <w:szCs w:val="36"/>
        </w:rPr>
        <w:br w:type="page"/>
      </w:r>
      <w:r>
        <w:rPr>
          <w:rFonts w:hint="eastAsia" w:ascii="Times New Roman" w:hAnsi="Times New Roman" w:eastAsia="黑体"/>
          <w:sz w:val="48"/>
          <w:szCs w:val="48"/>
        </w:rPr>
        <w:t>目录</w:t>
      </w:r>
    </w:p>
    <w:p>
      <w:pPr>
        <w:pageBreakBefore w:val="0"/>
        <w:widowControl/>
        <w:kinsoku/>
        <w:wordWrap/>
        <w:overflowPunct/>
        <w:topLinePunct w:val="0"/>
        <w:bidi w:val="0"/>
        <w:spacing w:line="592" w:lineRule="exact"/>
        <w:jc w:val="center"/>
        <w:textAlignment w:val="auto"/>
        <w:rPr>
          <w:rFonts w:ascii="Times New Roman" w:hAnsi="Times New Roman" w:eastAsia="黑体" w:cstheme="minorBidi"/>
          <w:sz w:val="28"/>
          <w:szCs w:val="28"/>
        </w:rPr>
      </w:pPr>
    </w:p>
    <w:p>
      <w:pPr>
        <w:pStyle w:val="11"/>
        <w:pageBreakBefore w:val="0"/>
        <w:kinsoku/>
        <w:wordWrap/>
        <w:overflowPunct/>
        <w:topLinePunct w:val="0"/>
        <w:bidi w:val="0"/>
        <w:spacing w:line="592" w:lineRule="exact"/>
        <w:textAlignment w:val="auto"/>
        <w:rPr>
          <w:rFonts w:ascii="Times New Roman" w:hAnsi="Times New Roman"/>
        </w:rPr>
      </w:pPr>
      <w:r>
        <w:rPr>
          <w:rFonts w:hint="eastAsia" w:ascii="Times New Roman" w:hAnsi="Times New Roman"/>
        </w:rPr>
        <w:t>公开时间：202</w:t>
      </w:r>
      <w:r>
        <w:rPr>
          <w:rFonts w:hint="eastAsia" w:ascii="Times New Roman" w:hAnsi="Times New Roman"/>
          <w:lang w:val="en-US" w:eastAsia="zh-CN"/>
        </w:rPr>
        <w:t>4</w:t>
      </w:r>
      <w:r>
        <w:rPr>
          <w:rFonts w:hint="eastAsia" w:ascii="Times New Roman" w:hAnsi="Times New Roman"/>
        </w:rPr>
        <w:t>年9月</w:t>
      </w:r>
      <w:r>
        <w:rPr>
          <w:rFonts w:hint="eastAsia" w:ascii="Times New Roman" w:hAnsi="Times New Roman"/>
          <w:lang w:val="en-US" w:eastAsia="zh-CN"/>
        </w:rPr>
        <w:t>9</w:t>
      </w:r>
      <w:r>
        <w:rPr>
          <w:rFonts w:hint="eastAsia" w:ascii="Times New Roman" w:hAnsi="Times New Roman"/>
        </w:rPr>
        <w:t>日</w:t>
      </w:r>
    </w:p>
    <w:p>
      <w:pPr>
        <w:pageBreakBefore w:val="0"/>
        <w:kinsoku/>
        <w:wordWrap/>
        <w:overflowPunct/>
        <w:topLinePunct w:val="0"/>
        <w:bidi w:val="0"/>
        <w:spacing w:line="592" w:lineRule="exact"/>
        <w:textAlignment w:val="auto"/>
        <w:rPr>
          <w:rFonts w:ascii="Times New Roman" w:hAnsi="Times New Roman"/>
        </w:rPr>
      </w:pPr>
    </w:p>
    <w:p>
      <w:pPr>
        <w:pStyle w:val="11"/>
        <w:keepNext w:val="0"/>
        <w:keepLines w:val="0"/>
        <w:pageBreakBefore w:val="0"/>
        <w:tabs>
          <w:tab w:val="right" w:leader="middleDot" w:pos="7980"/>
        </w:tabs>
        <w:kinsoku/>
        <w:wordWrap/>
        <w:overflowPunct/>
        <w:topLinePunct w:val="0"/>
        <w:autoSpaceDE/>
        <w:autoSpaceDN/>
        <w:bidi w:val="0"/>
        <w:adjustRightInd w:val="0"/>
        <w:snapToGrid w:val="0"/>
        <w:spacing w:before="0" w:line="592" w:lineRule="exact"/>
        <w:jc w:val="left"/>
        <w:textAlignment w:val="auto"/>
        <w:rPr>
          <w:rFonts w:hint="default" w:ascii="Times New Roman" w:hAnsi="Times New Roman" w:eastAsia="仿宋" w:cstheme="minorBidi"/>
          <w:sz w:val="24"/>
          <w:szCs w:val="24"/>
          <w:lang w:val="en-US" w:eastAsia="zh-CN"/>
        </w:rPr>
      </w:pPr>
      <w:r>
        <w:rPr>
          <w:rFonts w:hint="eastAsia" w:ascii="Times New Roman" w:hAnsi="Times New Roman"/>
          <w:sz w:val="24"/>
        </w:rPr>
        <w:t>第一部分</w:t>
      </w:r>
      <w:r>
        <w:rPr>
          <w:rFonts w:ascii="Times New Roman" w:hAnsi="Times New Roman"/>
          <w:sz w:val="24"/>
        </w:rPr>
        <w:t xml:space="preserve"> </w:t>
      </w:r>
      <w:r>
        <w:rPr>
          <w:rFonts w:hint="eastAsia" w:ascii="Times New Roman" w:hAnsi="Times New Roman"/>
          <w:sz w:val="24"/>
        </w:rPr>
        <w:t>单位概况</w:t>
      </w:r>
      <w:r>
        <w:rPr>
          <w:rFonts w:hint="eastAsia" w:ascii="Times New Roman" w:hAnsi="Times New Roman"/>
          <w:sz w:val="24"/>
          <w:lang w:val="en-US" w:eastAsia="zh-CN"/>
        </w:rPr>
        <w:tab/>
      </w:r>
      <w:r>
        <w:rPr>
          <w:rFonts w:hint="eastAsia" w:ascii="Times New Roman" w:hAnsi="Times New Roman"/>
          <w:sz w:val="24"/>
          <w:lang w:val="en-US" w:eastAsia="zh-CN"/>
        </w:rPr>
        <w:t>1</w:t>
      </w:r>
    </w:p>
    <w:p>
      <w:pPr>
        <w:pStyle w:val="12"/>
        <w:keepNext w:val="0"/>
        <w:keepLines w:val="0"/>
        <w:pageBreakBefore w:val="0"/>
        <w:tabs>
          <w:tab w:val="right" w:leader="middleDot" w:pos="7980"/>
        </w:tabs>
        <w:kinsoku/>
        <w:wordWrap/>
        <w:overflowPunct/>
        <w:topLinePunct w:val="0"/>
        <w:autoSpaceDE/>
        <w:autoSpaceDN/>
        <w:bidi w:val="0"/>
        <w:adjustRightInd w:val="0"/>
        <w:snapToGrid w:val="0"/>
        <w:spacing w:line="592" w:lineRule="exact"/>
        <w:jc w:val="left"/>
        <w:textAlignment w:val="auto"/>
        <w:rPr>
          <w:rFonts w:hint="default" w:ascii="Times New Roman" w:hAnsi="Times New Roman" w:eastAsia="宋体"/>
          <w:sz w:val="24"/>
          <w:lang w:val="en-US" w:eastAsia="zh-CN"/>
        </w:rPr>
      </w:pPr>
      <w:r>
        <w:rPr>
          <w:rFonts w:hint="eastAsia" w:ascii="Times New Roman" w:hAnsi="Times New Roman"/>
          <w:sz w:val="24"/>
        </w:rPr>
        <w:t>一、主要职责</w:t>
      </w:r>
      <w:r>
        <w:rPr>
          <w:rFonts w:hint="eastAsia"/>
          <w:sz w:val="24"/>
          <w:lang w:val="en-US" w:eastAsia="zh-CN"/>
        </w:rPr>
        <w:tab/>
      </w:r>
      <w:r>
        <w:rPr>
          <w:rFonts w:hint="eastAsia"/>
          <w:sz w:val="24"/>
          <w:lang w:val="en-US" w:eastAsia="zh-CN"/>
        </w:rPr>
        <w:t>1</w:t>
      </w:r>
    </w:p>
    <w:p>
      <w:pPr>
        <w:pStyle w:val="12"/>
        <w:keepNext w:val="0"/>
        <w:keepLines w:val="0"/>
        <w:pageBreakBefore w:val="0"/>
        <w:tabs>
          <w:tab w:val="right" w:leader="middleDot" w:pos="7980"/>
        </w:tabs>
        <w:kinsoku/>
        <w:wordWrap/>
        <w:overflowPunct/>
        <w:topLinePunct w:val="0"/>
        <w:autoSpaceDE/>
        <w:autoSpaceDN/>
        <w:bidi w:val="0"/>
        <w:adjustRightInd w:val="0"/>
        <w:snapToGrid w:val="0"/>
        <w:spacing w:line="592" w:lineRule="exact"/>
        <w:jc w:val="left"/>
        <w:textAlignment w:val="auto"/>
        <w:rPr>
          <w:rFonts w:hint="default" w:ascii="Times New Roman" w:hAnsi="Times New Roman" w:eastAsia="宋体"/>
          <w:lang w:val="en-US" w:eastAsia="zh-CN"/>
        </w:rPr>
      </w:pPr>
      <w:r>
        <w:rPr>
          <w:rFonts w:hint="eastAsia" w:ascii="Times New Roman" w:hAnsi="Times New Roman"/>
          <w:sz w:val="24"/>
        </w:rPr>
        <w:t>二、机构设置</w:t>
      </w:r>
      <w:r>
        <w:rPr>
          <w:rFonts w:hint="eastAsia"/>
          <w:sz w:val="24"/>
          <w:lang w:val="en-US" w:eastAsia="zh-CN"/>
        </w:rPr>
        <w:tab/>
      </w:r>
      <w:r>
        <w:rPr>
          <w:rFonts w:hint="eastAsia"/>
          <w:sz w:val="24"/>
          <w:lang w:val="en-US" w:eastAsia="zh-CN"/>
        </w:rPr>
        <w:t>3</w:t>
      </w:r>
    </w:p>
    <w:p>
      <w:pPr>
        <w:pStyle w:val="11"/>
        <w:keepNext w:val="0"/>
        <w:keepLines w:val="0"/>
        <w:pageBreakBefore w:val="0"/>
        <w:tabs>
          <w:tab w:val="right" w:leader="middleDot" w:pos="7980"/>
        </w:tabs>
        <w:kinsoku/>
        <w:wordWrap/>
        <w:overflowPunct/>
        <w:topLinePunct w:val="0"/>
        <w:autoSpaceDE/>
        <w:autoSpaceDN/>
        <w:bidi w:val="0"/>
        <w:adjustRightInd w:val="0"/>
        <w:snapToGrid w:val="0"/>
        <w:spacing w:before="0" w:line="592" w:lineRule="exact"/>
        <w:jc w:val="left"/>
        <w:textAlignment w:val="auto"/>
        <w:rPr>
          <w:rFonts w:hint="default" w:ascii="Times New Roman" w:hAnsi="Times New Roman" w:eastAsia="仿宋"/>
          <w:sz w:val="24"/>
          <w:szCs w:val="24"/>
          <w:lang w:val="en-US" w:eastAsia="zh-CN"/>
        </w:rPr>
      </w:pPr>
      <w:r>
        <w:rPr>
          <w:rFonts w:hint="eastAsia" w:ascii="Times New Roman" w:hAnsi="Times New Roman"/>
          <w:sz w:val="24"/>
        </w:rPr>
        <w:t>第二部分 2023年度单位决算情况说明</w:t>
      </w:r>
      <w:r>
        <w:rPr>
          <w:rFonts w:hint="eastAsia" w:ascii="Times New Roman" w:hAnsi="Times New Roman"/>
          <w:sz w:val="24"/>
          <w:lang w:val="en-US" w:eastAsia="zh-CN"/>
        </w:rPr>
        <w:tab/>
      </w:r>
      <w:r>
        <w:rPr>
          <w:rFonts w:hint="eastAsia" w:ascii="Times New Roman" w:hAnsi="Times New Roman"/>
          <w:sz w:val="24"/>
          <w:lang w:val="en-US" w:eastAsia="zh-CN"/>
        </w:rPr>
        <w:t>4</w:t>
      </w:r>
    </w:p>
    <w:p>
      <w:pPr>
        <w:pStyle w:val="12"/>
        <w:keepNext w:val="0"/>
        <w:keepLines w:val="0"/>
        <w:pageBreakBefore w:val="0"/>
        <w:tabs>
          <w:tab w:val="right" w:leader="middleDot" w:pos="7980"/>
        </w:tabs>
        <w:kinsoku/>
        <w:wordWrap/>
        <w:overflowPunct/>
        <w:topLinePunct w:val="0"/>
        <w:autoSpaceDE/>
        <w:autoSpaceDN/>
        <w:bidi w:val="0"/>
        <w:adjustRightInd w:val="0"/>
        <w:snapToGrid w:val="0"/>
        <w:spacing w:line="592" w:lineRule="exact"/>
        <w:jc w:val="left"/>
        <w:textAlignment w:val="auto"/>
        <w:rPr>
          <w:rFonts w:hint="default" w:ascii="Times New Roman" w:hAnsi="Times New Roman" w:eastAsia="宋体" w:cstheme="minorBidi"/>
          <w:sz w:val="24"/>
          <w:lang w:val="en-US" w:eastAsia="zh-CN"/>
        </w:rPr>
      </w:pPr>
      <w:r>
        <w:rPr>
          <w:rFonts w:hint="eastAsia" w:ascii="Times New Roman" w:hAnsi="Times New Roman"/>
          <w:sz w:val="24"/>
        </w:rPr>
        <w:t>一、收入支出决算总体情况说明</w:t>
      </w:r>
      <w:r>
        <w:rPr>
          <w:rFonts w:hint="eastAsia"/>
          <w:sz w:val="24"/>
          <w:lang w:val="en-US" w:eastAsia="zh-CN"/>
        </w:rPr>
        <w:tab/>
      </w:r>
      <w:r>
        <w:rPr>
          <w:rFonts w:hint="eastAsia"/>
          <w:sz w:val="24"/>
          <w:lang w:val="en-US" w:eastAsia="zh-CN"/>
        </w:rPr>
        <w:t>4</w:t>
      </w:r>
    </w:p>
    <w:p>
      <w:pPr>
        <w:pStyle w:val="12"/>
        <w:keepNext w:val="0"/>
        <w:keepLines w:val="0"/>
        <w:pageBreakBefore w:val="0"/>
        <w:tabs>
          <w:tab w:val="right" w:leader="middleDot" w:pos="7980"/>
        </w:tabs>
        <w:kinsoku/>
        <w:wordWrap/>
        <w:overflowPunct/>
        <w:topLinePunct w:val="0"/>
        <w:autoSpaceDE/>
        <w:autoSpaceDN/>
        <w:bidi w:val="0"/>
        <w:adjustRightInd w:val="0"/>
        <w:snapToGrid w:val="0"/>
        <w:spacing w:line="592" w:lineRule="exact"/>
        <w:jc w:val="left"/>
        <w:textAlignment w:val="auto"/>
        <w:rPr>
          <w:rFonts w:hint="default" w:ascii="Times New Roman" w:hAnsi="Times New Roman" w:eastAsia="宋体" w:cstheme="minorBidi"/>
          <w:sz w:val="24"/>
          <w:lang w:val="en-US" w:eastAsia="zh-CN"/>
        </w:rPr>
      </w:pPr>
      <w:r>
        <w:rPr>
          <w:rFonts w:hint="eastAsia" w:ascii="Times New Roman" w:hAnsi="Times New Roman"/>
          <w:sz w:val="24"/>
        </w:rPr>
        <w:t>二、收入决算情况说明</w:t>
      </w:r>
      <w:r>
        <w:rPr>
          <w:rFonts w:hint="eastAsia"/>
          <w:sz w:val="24"/>
          <w:lang w:val="en-US" w:eastAsia="zh-CN"/>
        </w:rPr>
        <w:tab/>
      </w:r>
      <w:r>
        <w:rPr>
          <w:rFonts w:hint="eastAsia"/>
          <w:sz w:val="24"/>
          <w:lang w:val="en-US" w:eastAsia="zh-CN"/>
        </w:rPr>
        <w:t>4</w:t>
      </w:r>
    </w:p>
    <w:p>
      <w:pPr>
        <w:pStyle w:val="12"/>
        <w:keepNext w:val="0"/>
        <w:keepLines w:val="0"/>
        <w:pageBreakBefore w:val="0"/>
        <w:tabs>
          <w:tab w:val="right" w:leader="middleDot" w:pos="7980"/>
        </w:tabs>
        <w:kinsoku/>
        <w:wordWrap/>
        <w:overflowPunct/>
        <w:topLinePunct w:val="0"/>
        <w:autoSpaceDE/>
        <w:autoSpaceDN/>
        <w:bidi w:val="0"/>
        <w:adjustRightInd w:val="0"/>
        <w:snapToGrid w:val="0"/>
        <w:spacing w:line="592" w:lineRule="exact"/>
        <w:jc w:val="left"/>
        <w:textAlignment w:val="auto"/>
        <w:rPr>
          <w:rFonts w:hint="default" w:ascii="Times New Roman" w:hAnsi="Times New Roman" w:eastAsia="宋体" w:cstheme="minorBidi"/>
          <w:sz w:val="24"/>
          <w:lang w:val="en-US" w:eastAsia="zh-CN"/>
        </w:rPr>
      </w:pPr>
      <w:r>
        <w:rPr>
          <w:rFonts w:hint="eastAsia" w:ascii="Times New Roman" w:hAnsi="Times New Roman"/>
          <w:sz w:val="24"/>
        </w:rPr>
        <w:t>三、支出决算情况说明</w:t>
      </w:r>
      <w:r>
        <w:rPr>
          <w:rFonts w:hint="eastAsia"/>
          <w:sz w:val="24"/>
          <w:lang w:val="en-US" w:eastAsia="zh-CN"/>
        </w:rPr>
        <w:tab/>
      </w:r>
      <w:r>
        <w:rPr>
          <w:rFonts w:hint="eastAsia"/>
          <w:sz w:val="24"/>
          <w:lang w:val="en-US" w:eastAsia="zh-CN"/>
        </w:rPr>
        <w:t>5</w:t>
      </w:r>
    </w:p>
    <w:p>
      <w:pPr>
        <w:pStyle w:val="12"/>
        <w:keepNext w:val="0"/>
        <w:keepLines w:val="0"/>
        <w:pageBreakBefore w:val="0"/>
        <w:tabs>
          <w:tab w:val="right" w:leader="middleDot" w:pos="7980"/>
        </w:tabs>
        <w:kinsoku/>
        <w:wordWrap/>
        <w:overflowPunct/>
        <w:topLinePunct w:val="0"/>
        <w:autoSpaceDE/>
        <w:autoSpaceDN/>
        <w:bidi w:val="0"/>
        <w:adjustRightInd w:val="0"/>
        <w:snapToGrid w:val="0"/>
        <w:spacing w:line="592" w:lineRule="exact"/>
        <w:jc w:val="left"/>
        <w:textAlignment w:val="auto"/>
        <w:rPr>
          <w:rFonts w:hint="default" w:ascii="Times New Roman" w:hAnsi="Times New Roman" w:eastAsia="宋体" w:cstheme="minorBidi"/>
          <w:sz w:val="24"/>
          <w:lang w:val="en-US" w:eastAsia="zh-CN"/>
        </w:rPr>
      </w:pPr>
      <w:r>
        <w:rPr>
          <w:rFonts w:hint="eastAsia" w:ascii="Times New Roman" w:hAnsi="Times New Roman"/>
          <w:sz w:val="24"/>
        </w:rPr>
        <w:t>四、财政拨款收入支出决算总体情况说明</w:t>
      </w:r>
      <w:r>
        <w:rPr>
          <w:rFonts w:hint="eastAsia"/>
          <w:sz w:val="24"/>
          <w:lang w:val="en-US" w:eastAsia="zh-CN"/>
        </w:rPr>
        <w:tab/>
      </w:r>
      <w:r>
        <w:rPr>
          <w:rFonts w:hint="eastAsia"/>
          <w:sz w:val="24"/>
          <w:lang w:val="en-US" w:eastAsia="zh-CN"/>
        </w:rPr>
        <w:t>6</w:t>
      </w:r>
    </w:p>
    <w:p>
      <w:pPr>
        <w:pStyle w:val="12"/>
        <w:keepNext w:val="0"/>
        <w:keepLines w:val="0"/>
        <w:pageBreakBefore w:val="0"/>
        <w:tabs>
          <w:tab w:val="right" w:leader="middleDot" w:pos="7980"/>
        </w:tabs>
        <w:kinsoku/>
        <w:wordWrap/>
        <w:overflowPunct/>
        <w:topLinePunct w:val="0"/>
        <w:autoSpaceDE/>
        <w:autoSpaceDN/>
        <w:bidi w:val="0"/>
        <w:adjustRightInd w:val="0"/>
        <w:snapToGrid w:val="0"/>
        <w:spacing w:line="592" w:lineRule="exact"/>
        <w:jc w:val="left"/>
        <w:textAlignment w:val="auto"/>
        <w:rPr>
          <w:rFonts w:hint="default" w:ascii="Times New Roman" w:hAnsi="Times New Roman" w:eastAsia="宋体" w:cstheme="minorBidi"/>
          <w:sz w:val="24"/>
          <w:lang w:val="en-US" w:eastAsia="zh-CN"/>
        </w:rPr>
      </w:pPr>
      <w:r>
        <w:rPr>
          <w:rFonts w:hint="eastAsia" w:ascii="Times New Roman" w:hAnsi="Times New Roman"/>
          <w:sz w:val="24"/>
        </w:rPr>
        <w:t>五、一般公共预算财政拨款支出决算情况说明</w:t>
      </w:r>
      <w:r>
        <w:rPr>
          <w:rFonts w:hint="eastAsia"/>
          <w:sz w:val="24"/>
          <w:lang w:val="en-US" w:eastAsia="zh-CN"/>
        </w:rPr>
        <w:tab/>
      </w:r>
      <w:r>
        <w:rPr>
          <w:rFonts w:hint="eastAsia"/>
          <w:sz w:val="24"/>
          <w:lang w:val="en-US" w:eastAsia="zh-CN"/>
        </w:rPr>
        <w:t>7</w:t>
      </w:r>
    </w:p>
    <w:p>
      <w:pPr>
        <w:pStyle w:val="12"/>
        <w:keepNext w:val="0"/>
        <w:keepLines w:val="0"/>
        <w:pageBreakBefore w:val="0"/>
        <w:tabs>
          <w:tab w:val="right" w:leader="middleDot" w:pos="7980"/>
        </w:tabs>
        <w:kinsoku/>
        <w:wordWrap/>
        <w:overflowPunct/>
        <w:topLinePunct w:val="0"/>
        <w:autoSpaceDE/>
        <w:autoSpaceDN/>
        <w:bidi w:val="0"/>
        <w:adjustRightInd w:val="0"/>
        <w:snapToGrid w:val="0"/>
        <w:spacing w:line="592" w:lineRule="exact"/>
        <w:jc w:val="left"/>
        <w:textAlignment w:val="auto"/>
        <w:rPr>
          <w:rFonts w:hint="default" w:ascii="Times New Roman" w:hAnsi="Times New Roman" w:eastAsia="宋体" w:cstheme="minorBidi"/>
          <w:sz w:val="24"/>
          <w:lang w:val="en-US" w:eastAsia="zh-CN"/>
        </w:rPr>
      </w:pPr>
      <w:r>
        <w:rPr>
          <w:rFonts w:hint="eastAsia" w:ascii="Times New Roman" w:hAnsi="Times New Roman"/>
          <w:sz w:val="24"/>
        </w:rPr>
        <w:t>六、一般公共预算财政拨款基本支出决算情况说明</w:t>
      </w:r>
      <w:r>
        <w:rPr>
          <w:rFonts w:hint="eastAsia"/>
          <w:sz w:val="24"/>
          <w:lang w:val="en-US" w:eastAsia="zh-CN"/>
        </w:rPr>
        <w:tab/>
      </w:r>
      <w:r>
        <w:rPr>
          <w:rFonts w:hint="eastAsia"/>
          <w:sz w:val="24"/>
          <w:lang w:val="en-US" w:eastAsia="zh-CN"/>
        </w:rPr>
        <w:t>9</w:t>
      </w:r>
    </w:p>
    <w:p>
      <w:pPr>
        <w:pStyle w:val="12"/>
        <w:keepNext w:val="0"/>
        <w:keepLines w:val="0"/>
        <w:pageBreakBefore w:val="0"/>
        <w:tabs>
          <w:tab w:val="right" w:leader="middleDot" w:pos="7980"/>
        </w:tabs>
        <w:kinsoku/>
        <w:wordWrap/>
        <w:overflowPunct/>
        <w:topLinePunct w:val="0"/>
        <w:autoSpaceDE/>
        <w:autoSpaceDN/>
        <w:bidi w:val="0"/>
        <w:adjustRightInd w:val="0"/>
        <w:snapToGrid w:val="0"/>
        <w:spacing w:line="592" w:lineRule="exact"/>
        <w:jc w:val="left"/>
        <w:textAlignment w:val="auto"/>
        <w:rPr>
          <w:rFonts w:hint="default" w:ascii="Times New Roman" w:hAnsi="Times New Roman" w:eastAsia="宋体" w:cstheme="minorBidi"/>
          <w:sz w:val="24"/>
          <w:lang w:val="en-US" w:eastAsia="zh-CN"/>
        </w:rPr>
      </w:pPr>
      <w:r>
        <w:rPr>
          <w:rFonts w:hint="eastAsia" w:ascii="Times New Roman" w:hAnsi="Times New Roman"/>
          <w:sz w:val="24"/>
        </w:rPr>
        <w:t>七、财政拨款“三公”经费支出决算情况说明</w:t>
      </w:r>
      <w:r>
        <w:rPr>
          <w:rFonts w:hint="eastAsia"/>
          <w:sz w:val="24"/>
          <w:lang w:val="en-US" w:eastAsia="zh-CN"/>
        </w:rPr>
        <w:tab/>
      </w:r>
      <w:r>
        <w:rPr>
          <w:rFonts w:hint="eastAsia"/>
          <w:sz w:val="24"/>
          <w:lang w:val="en-US" w:eastAsia="zh-CN"/>
        </w:rPr>
        <w:t>10</w:t>
      </w:r>
    </w:p>
    <w:p>
      <w:pPr>
        <w:pStyle w:val="12"/>
        <w:keepNext w:val="0"/>
        <w:keepLines w:val="0"/>
        <w:pageBreakBefore w:val="0"/>
        <w:tabs>
          <w:tab w:val="right" w:leader="middleDot" w:pos="7980"/>
        </w:tabs>
        <w:kinsoku/>
        <w:wordWrap/>
        <w:overflowPunct/>
        <w:topLinePunct w:val="0"/>
        <w:autoSpaceDE/>
        <w:autoSpaceDN/>
        <w:bidi w:val="0"/>
        <w:adjustRightInd w:val="0"/>
        <w:snapToGrid w:val="0"/>
        <w:spacing w:line="592" w:lineRule="exact"/>
        <w:jc w:val="left"/>
        <w:textAlignment w:val="auto"/>
        <w:rPr>
          <w:rFonts w:hint="default" w:ascii="Times New Roman" w:hAnsi="Times New Roman" w:eastAsia="宋体" w:cstheme="minorBidi"/>
          <w:sz w:val="24"/>
          <w:lang w:val="en-US" w:eastAsia="zh-CN"/>
        </w:rPr>
      </w:pPr>
      <w:r>
        <w:rPr>
          <w:rFonts w:hint="eastAsia" w:ascii="Times New Roman" w:hAnsi="Times New Roman"/>
          <w:sz w:val="24"/>
        </w:rPr>
        <w:t>八、政府性基金预算支出决算情况说明</w:t>
      </w:r>
      <w:r>
        <w:rPr>
          <w:rFonts w:hint="eastAsia"/>
          <w:sz w:val="24"/>
          <w:lang w:val="en-US" w:eastAsia="zh-CN"/>
        </w:rPr>
        <w:tab/>
      </w:r>
      <w:r>
        <w:rPr>
          <w:rFonts w:hint="eastAsia"/>
          <w:sz w:val="24"/>
          <w:lang w:val="en-US" w:eastAsia="zh-CN"/>
        </w:rPr>
        <w:t>11</w:t>
      </w:r>
    </w:p>
    <w:p>
      <w:pPr>
        <w:pStyle w:val="12"/>
        <w:keepNext w:val="0"/>
        <w:keepLines w:val="0"/>
        <w:pageBreakBefore w:val="0"/>
        <w:tabs>
          <w:tab w:val="right" w:leader="middleDot" w:pos="7980"/>
        </w:tabs>
        <w:kinsoku/>
        <w:wordWrap/>
        <w:overflowPunct/>
        <w:topLinePunct w:val="0"/>
        <w:autoSpaceDE/>
        <w:autoSpaceDN/>
        <w:bidi w:val="0"/>
        <w:adjustRightInd w:val="0"/>
        <w:snapToGrid w:val="0"/>
        <w:spacing w:line="592" w:lineRule="exact"/>
        <w:jc w:val="left"/>
        <w:textAlignment w:val="auto"/>
        <w:rPr>
          <w:rFonts w:hint="default" w:ascii="Times New Roman" w:hAnsi="Times New Roman" w:eastAsia="宋体"/>
          <w:sz w:val="24"/>
          <w:lang w:val="en-US" w:eastAsia="zh-CN"/>
        </w:rPr>
      </w:pPr>
      <w:r>
        <w:rPr>
          <w:rFonts w:hint="eastAsia" w:ascii="Times New Roman" w:hAnsi="Times New Roman"/>
          <w:sz w:val="24"/>
        </w:rPr>
        <w:t>九、国有资本经营预算支出决算情况说明</w:t>
      </w:r>
      <w:r>
        <w:rPr>
          <w:rFonts w:hint="eastAsia"/>
          <w:sz w:val="24"/>
          <w:lang w:val="en-US" w:eastAsia="zh-CN"/>
        </w:rPr>
        <w:tab/>
      </w:r>
      <w:r>
        <w:rPr>
          <w:rFonts w:hint="eastAsia"/>
          <w:sz w:val="24"/>
          <w:lang w:val="en-US" w:eastAsia="zh-CN"/>
        </w:rPr>
        <w:t>11</w:t>
      </w:r>
    </w:p>
    <w:p>
      <w:pPr>
        <w:pStyle w:val="12"/>
        <w:keepNext w:val="0"/>
        <w:keepLines w:val="0"/>
        <w:pageBreakBefore w:val="0"/>
        <w:tabs>
          <w:tab w:val="right" w:leader="middleDot" w:pos="7980"/>
        </w:tabs>
        <w:kinsoku/>
        <w:wordWrap/>
        <w:overflowPunct/>
        <w:topLinePunct w:val="0"/>
        <w:autoSpaceDE/>
        <w:autoSpaceDN/>
        <w:bidi w:val="0"/>
        <w:adjustRightInd w:val="0"/>
        <w:snapToGrid w:val="0"/>
        <w:spacing w:line="592" w:lineRule="exact"/>
        <w:jc w:val="left"/>
        <w:textAlignment w:val="auto"/>
        <w:rPr>
          <w:rFonts w:hint="default" w:ascii="Times New Roman" w:hAnsi="Times New Roman" w:eastAsia="宋体"/>
          <w:sz w:val="24"/>
          <w:lang w:val="en-US" w:eastAsia="zh-CN"/>
        </w:rPr>
      </w:pPr>
      <w:r>
        <w:rPr>
          <w:rFonts w:hint="eastAsia" w:ascii="Times New Roman" w:hAnsi="Times New Roman"/>
          <w:sz w:val="24"/>
        </w:rPr>
        <w:t>十、其他重要事项的情况说明</w:t>
      </w:r>
      <w:r>
        <w:rPr>
          <w:rFonts w:hint="eastAsia"/>
          <w:sz w:val="24"/>
          <w:lang w:val="en-US" w:eastAsia="zh-CN"/>
        </w:rPr>
        <w:tab/>
      </w:r>
      <w:r>
        <w:rPr>
          <w:rFonts w:hint="eastAsia"/>
          <w:sz w:val="24"/>
          <w:lang w:val="en-US" w:eastAsia="zh-CN"/>
        </w:rPr>
        <w:t>11</w:t>
      </w:r>
    </w:p>
    <w:p>
      <w:pPr>
        <w:pStyle w:val="11"/>
        <w:keepNext w:val="0"/>
        <w:keepLines w:val="0"/>
        <w:pageBreakBefore w:val="0"/>
        <w:tabs>
          <w:tab w:val="right" w:leader="middleDot" w:pos="7980"/>
        </w:tabs>
        <w:kinsoku/>
        <w:wordWrap/>
        <w:overflowPunct/>
        <w:topLinePunct w:val="0"/>
        <w:autoSpaceDE/>
        <w:autoSpaceDN/>
        <w:bidi w:val="0"/>
        <w:adjustRightInd w:val="0"/>
        <w:snapToGrid w:val="0"/>
        <w:spacing w:before="0" w:line="592" w:lineRule="exact"/>
        <w:jc w:val="left"/>
        <w:textAlignment w:val="auto"/>
        <w:rPr>
          <w:rFonts w:hint="default" w:ascii="Times New Roman" w:hAnsi="Times New Roman" w:eastAsia="仿宋" w:cstheme="minorBidi"/>
          <w:sz w:val="24"/>
          <w:szCs w:val="24"/>
          <w:lang w:val="en-US" w:eastAsia="zh-CN"/>
        </w:rPr>
      </w:pPr>
      <w:r>
        <w:rPr>
          <w:rFonts w:hint="eastAsia" w:ascii="Times New Roman" w:hAnsi="Times New Roman"/>
          <w:sz w:val="24"/>
        </w:rPr>
        <w:t>第三部分</w:t>
      </w:r>
      <w:r>
        <w:rPr>
          <w:rFonts w:ascii="Times New Roman" w:hAnsi="Times New Roman"/>
          <w:sz w:val="24"/>
        </w:rPr>
        <w:t xml:space="preserve"> </w:t>
      </w:r>
      <w:r>
        <w:rPr>
          <w:rFonts w:hint="eastAsia" w:ascii="Times New Roman" w:hAnsi="Times New Roman"/>
          <w:sz w:val="24"/>
        </w:rPr>
        <w:t>名词解释</w:t>
      </w:r>
      <w:r>
        <w:rPr>
          <w:rFonts w:hint="eastAsia" w:ascii="Times New Roman" w:hAnsi="Times New Roman"/>
          <w:sz w:val="24"/>
          <w:lang w:val="en-US" w:eastAsia="zh-CN"/>
        </w:rPr>
        <w:tab/>
      </w:r>
      <w:r>
        <w:rPr>
          <w:rFonts w:hint="eastAsia" w:ascii="Times New Roman" w:hAnsi="Times New Roman"/>
          <w:sz w:val="24"/>
          <w:lang w:val="en-US" w:eastAsia="zh-CN"/>
        </w:rPr>
        <w:t>13</w:t>
      </w:r>
    </w:p>
    <w:p>
      <w:pPr>
        <w:pStyle w:val="11"/>
        <w:keepNext w:val="0"/>
        <w:keepLines w:val="0"/>
        <w:pageBreakBefore w:val="0"/>
        <w:tabs>
          <w:tab w:val="right" w:leader="middleDot" w:pos="7980"/>
        </w:tabs>
        <w:kinsoku/>
        <w:wordWrap/>
        <w:overflowPunct/>
        <w:topLinePunct w:val="0"/>
        <w:autoSpaceDE/>
        <w:autoSpaceDN/>
        <w:bidi w:val="0"/>
        <w:adjustRightInd w:val="0"/>
        <w:snapToGrid w:val="0"/>
        <w:spacing w:before="0" w:line="592" w:lineRule="exact"/>
        <w:jc w:val="left"/>
        <w:textAlignment w:val="auto"/>
        <w:rPr>
          <w:rFonts w:hint="default" w:ascii="Times New Roman" w:hAnsi="Times New Roman" w:eastAsia="仿宋" w:cstheme="minorBidi"/>
          <w:sz w:val="24"/>
          <w:szCs w:val="24"/>
          <w:lang w:val="en-US" w:eastAsia="zh-CN"/>
        </w:rPr>
      </w:pPr>
      <w:r>
        <w:rPr>
          <w:rFonts w:hint="eastAsia" w:ascii="Times New Roman" w:hAnsi="Times New Roman"/>
          <w:sz w:val="24"/>
        </w:rPr>
        <w:t>第四部分</w:t>
      </w:r>
      <w:r>
        <w:rPr>
          <w:rFonts w:ascii="Times New Roman" w:hAnsi="Times New Roman"/>
          <w:sz w:val="24"/>
        </w:rPr>
        <w:t xml:space="preserve"> </w:t>
      </w:r>
      <w:r>
        <w:rPr>
          <w:rFonts w:hint="eastAsia" w:ascii="Times New Roman" w:hAnsi="Times New Roman"/>
          <w:sz w:val="24"/>
        </w:rPr>
        <w:t>附件</w:t>
      </w:r>
      <w:r>
        <w:rPr>
          <w:rFonts w:hint="eastAsia" w:ascii="Times New Roman" w:hAnsi="Times New Roman"/>
          <w:sz w:val="24"/>
          <w:lang w:val="en-US" w:eastAsia="zh-CN"/>
        </w:rPr>
        <w:tab/>
      </w:r>
      <w:r>
        <w:rPr>
          <w:rFonts w:hint="eastAsia" w:ascii="Times New Roman" w:hAnsi="Times New Roman"/>
          <w:sz w:val="24"/>
          <w:lang w:val="en-US" w:eastAsia="zh-CN"/>
        </w:rPr>
        <w:t>17</w:t>
      </w:r>
    </w:p>
    <w:p>
      <w:pPr>
        <w:pStyle w:val="11"/>
        <w:keepNext w:val="0"/>
        <w:keepLines w:val="0"/>
        <w:pageBreakBefore w:val="0"/>
        <w:tabs>
          <w:tab w:val="right" w:leader="middleDot" w:pos="7980"/>
        </w:tabs>
        <w:kinsoku/>
        <w:wordWrap/>
        <w:overflowPunct/>
        <w:topLinePunct w:val="0"/>
        <w:autoSpaceDE/>
        <w:autoSpaceDN/>
        <w:bidi w:val="0"/>
        <w:adjustRightInd w:val="0"/>
        <w:snapToGrid w:val="0"/>
        <w:spacing w:before="0" w:line="592" w:lineRule="exact"/>
        <w:jc w:val="left"/>
        <w:textAlignment w:val="auto"/>
        <w:rPr>
          <w:rFonts w:hint="default" w:ascii="Times New Roman" w:hAnsi="Times New Roman" w:eastAsia="仿宋" w:cstheme="minorBidi"/>
          <w:sz w:val="24"/>
          <w:szCs w:val="24"/>
          <w:lang w:val="en-US" w:eastAsia="zh-CN"/>
        </w:rPr>
      </w:pPr>
      <w:r>
        <w:rPr>
          <w:rFonts w:hint="eastAsia" w:ascii="Times New Roman" w:hAnsi="Times New Roman"/>
          <w:sz w:val="24"/>
        </w:rPr>
        <w:t>第五部分</w:t>
      </w:r>
      <w:r>
        <w:rPr>
          <w:rFonts w:ascii="Times New Roman" w:hAnsi="Times New Roman"/>
          <w:sz w:val="24"/>
        </w:rPr>
        <w:t xml:space="preserve"> </w:t>
      </w:r>
      <w:r>
        <w:rPr>
          <w:rFonts w:hint="eastAsia" w:ascii="Times New Roman" w:hAnsi="Times New Roman"/>
          <w:sz w:val="24"/>
        </w:rPr>
        <w:t>附表</w:t>
      </w:r>
      <w:r>
        <w:rPr>
          <w:rFonts w:hint="eastAsia" w:ascii="Times New Roman" w:hAnsi="Times New Roman"/>
          <w:sz w:val="24"/>
          <w:lang w:val="en-US" w:eastAsia="zh-CN"/>
        </w:rPr>
        <w:tab/>
      </w:r>
      <w:r>
        <w:rPr>
          <w:rFonts w:hint="eastAsia" w:ascii="Times New Roman" w:hAnsi="Times New Roman"/>
          <w:sz w:val="24"/>
          <w:lang w:val="en-US" w:eastAsia="zh-CN"/>
        </w:rPr>
        <w:t>29</w:t>
      </w:r>
    </w:p>
    <w:p>
      <w:pPr>
        <w:pStyle w:val="12"/>
        <w:keepNext w:val="0"/>
        <w:keepLines w:val="0"/>
        <w:pageBreakBefore w:val="0"/>
        <w:tabs>
          <w:tab w:val="right" w:leader="middleDot" w:pos="7980"/>
        </w:tabs>
        <w:kinsoku/>
        <w:wordWrap/>
        <w:overflowPunct/>
        <w:topLinePunct w:val="0"/>
        <w:autoSpaceDE/>
        <w:autoSpaceDN/>
        <w:bidi w:val="0"/>
        <w:adjustRightInd w:val="0"/>
        <w:snapToGrid w:val="0"/>
        <w:spacing w:line="592" w:lineRule="exact"/>
        <w:jc w:val="left"/>
        <w:textAlignment w:val="auto"/>
        <w:rPr>
          <w:rFonts w:ascii="Times New Roman" w:hAnsi="Times New Roman"/>
          <w:sz w:val="24"/>
        </w:rPr>
      </w:pPr>
      <w:r>
        <w:rPr>
          <w:rFonts w:hint="eastAsia" w:ascii="Times New Roman" w:hAnsi="Times New Roman"/>
          <w:sz w:val="24"/>
        </w:rPr>
        <w:t>一、收入支出决算总表</w:t>
      </w:r>
    </w:p>
    <w:p>
      <w:pPr>
        <w:pStyle w:val="12"/>
        <w:keepNext w:val="0"/>
        <w:keepLines w:val="0"/>
        <w:pageBreakBefore w:val="0"/>
        <w:tabs>
          <w:tab w:val="right" w:leader="middleDot" w:pos="7980"/>
        </w:tabs>
        <w:kinsoku/>
        <w:wordWrap/>
        <w:overflowPunct/>
        <w:topLinePunct w:val="0"/>
        <w:autoSpaceDE/>
        <w:autoSpaceDN/>
        <w:bidi w:val="0"/>
        <w:adjustRightInd w:val="0"/>
        <w:snapToGrid w:val="0"/>
        <w:spacing w:line="592" w:lineRule="exact"/>
        <w:jc w:val="left"/>
        <w:textAlignment w:val="auto"/>
        <w:rPr>
          <w:rFonts w:ascii="Times New Roman" w:hAnsi="Times New Roman"/>
          <w:sz w:val="24"/>
        </w:rPr>
      </w:pPr>
      <w:r>
        <w:rPr>
          <w:rFonts w:hint="eastAsia" w:ascii="Times New Roman" w:hAnsi="Times New Roman"/>
          <w:sz w:val="24"/>
        </w:rPr>
        <w:t>二、收入决算表</w:t>
      </w:r>
    </w:p>
    <w:p>
      <w:pPr>
        <w:pStyle w:val="12"/>
        <w:keepNext w:val="0"/>
        <w:keepLines w:val="0"/>
        <w:pageBreakBefore w:val="0"/>
        <w:tabs>
          <w:tab w:val="right" w:leader="middleDot" w:pos="7980"/>
        </w:tabs>
        <w:kinsoku/>
        <w:wordWrap/>
        <w:overflowPunct/>
        <w:topLinePunct w:val="0"/>
        <w:autoSpaceDE/>
        <w:autoSpaceDN/>
        <w:bidi w:val="0"/>
        <w:adjustRightInd w:val="0"/>
        <w:snapToGrid w:val="0"/>
        <w:spacing w:line="592" w:lineRule="exact"/>
        <w:jc w:val="left"/>
        <w:textAlignment w:val="auto"/>
        <w:rPr>
          <w:rFonts w:ascii="Times New Roman" w:hAnsi="Times New Roman"/>
          <w:sz w:val="24"/>
        </w:rPr>
      </w:pPr>
      <w:r>
        <w:rPr>
          <w:rFonts w:hint="eastAsia" w:ascii="Times New Roman" w:hAnsi="Times New Roman"/>
          <w:sz w:val="24"/>
        </w:rPr>
        <w:t>三、支出决算表</w:t>
      </w:r>
    </w:p>
    <w:p>
      <w:pPr>
        <w:pStyle w:val="12"/>
        <w:keepNext w:val="0"/>
        <w:keepLines w:val="0"/>
        <w:pageBreakBefore w:val="0"/>
        <w:tabs>
          <w:tab w:val="right" w:leader="middleDot" w:pos="7980"/>
        </w:tabs>
        <w:kinsoku/>
        <w:wordWrap/>
        <w:overflowPunct/>
        <w:topLinePunct w:val="0"/>
        <w:autoSpaceDE/>
        <w:autoSpaceDN/>
        <w:bidi w:val="0"/>
        <w:adjustRightInd w:val="0"/>
        <w:snapToGrid w:val="0"/>
        <w:spacing w:line="592" w:lineRule="exact"/>
        <w:jc w:val="left"/>
        <w:textAlignment w:val="auto"/>
        <w:rPr>
          <w:rFonts w:ascii="Times New Roman" w:hAnsi="Times New Roman"/>
          <w:sz w:val="24"/>
        </w:rPr>
      </w:pPr>
      <w:r>
        <w:rPr>
          <w:rFonts w:hint="eastAsia" w:ascii="Times New Roman" w:hAnsi="Times New Roman"/>
          <w:sz w:val="24"/>
        </w:rPr>
        <w:t>四、财政拨款收入支出决算总表</w:t>
      </w:r>
    </w:p>
    <w:p>
      <w:pPr>
        <w:pStyle w:val="12"/>
        <w:keepNext w:val="0"/>
        <w:keepLines w:val="0"/>
        <w:pageBreakBefore w:val="0"/>
        <w:tabs>
          <w:tab w:val="right" w:leader="middleDot" w:pos="7980"/>
        </w:tabs>
        <w:kinsoku/>
        <w:wordWrap/>
        <w:overflowPunct/>
        <w:topLinePunct w:val="0"/>
        <w:autoSpaceDE/>
        <w:autoSpaceDN/>
        <w:bidi w:val="0"/>
        <w:adjustRightInd w:val="0"/>
        <w:snapToGrid w:val="0"/>
        <w:spacing w:line="592" w:lineRule="exact"/>
        <w:jc w:val="left"/>
        <w:textAlignment w:val="auto"/>
        <w:rPr>
          <w:rFonts w:ascii="Times New Roman" w:hAnsi="Times New Roman"/>
          <w:sz w:val="24"/>
        </w:rPr>
      </w:pPr>
      <w:r>
        <w:rPr>
          <w:rFonts w:hint="eastAsia" w:ascii="Times New Roman" w:hAnsi="Times New Roman"/>
          <w:sz w:val="24"/>
        </w:rPr>
        <w:t>五、财政拨款支出决算明细表</w:t>
      </w:r>
    </w:p>
    <w:p>
      <w:pPr>
        <w:pStyle w:val="12"/>
        <w:keepNext w:val="0"/>
        <w:keepLines w:val="0"/>
        <w:pageBreakBefore w:val="0"/>
        <w:tabs>
          <w:tab w:val="right" w:leader="middleDot" w:pos="7980"/>
        </w:tabs>
        <w:kinsoku/>
        <w:wordWrap/>
        <w:overflowPunct/>
        <w:topLinePunct w:val="0"/>
        <w:autoSpaceDE/>
        <w:autoSpaceDN/>
        <w:bidi w:val="0"/>
        <w:adjustRightInd w:val="0"/>
        <w:snapToGrid w:val="0"/>
        <w:spacing w:line="592" w:lineRule="exact"/>
        <w:jc w:val="left"/>
        <w:textAlignment w:val="auto"/>
        <w:rPr>
          <w:rFonts w:ascii="Times New Roman" w:hAnsi="Times New Roman"/>
          <w:sz w:val="24"/>
        </w:rPr>
      </w:pPr>
      <w:r>
        <w:rPr>
          <w:rFonts w:hint="eastAsia" w:ascii="Times New Roman" w:hAnsi="Times New Roman"/>
          <w:sz w:val="24"/>
        </w:rPr>
        <w:t>六、一般公共预算财政拨款支出决算表</w:t>
      </w:r>
    </w:p>
    <w:p>
      <w:pPr>
        <w:pStyle w:val="12"/>
        <w:keepNext w:val="0"/>
        <w:keepLines w:val="0"/>
        <w:pageBreakBefore w:val="0"/>
        <w:tabs>
          <w:tab w:val="right" w:leader="middleDot" w:pos="7980"/>
        </w:tabs>
        <w:kinsoku/>
        <w:wordWrap/>
        <w:overflowPunct/>
        <w:topLinePunct w:val="0"/>
        <w:autoSpaceDE/>
        <w:autoSpaceDN/>
        <w:bidi w:val="0"/>
        <w:adjustRightInd w:val="0"/>
        <w:snapToGrid w:val="0"/>
        <w:spacing w:line="592" w:lineRule="exact"/>
        <w:jc w:val="left"/>
        <w:textAlignment w:val="auto"/>
        <w:rPr>
          <w:rFonts w:ascii="Times New Roman" w:hAnsi="Times New Roman"/>
          <w:sz w:val="24"/>
        </w:rPr>
      </w:pPr>
      <w:r>
        <w:rPr>
          <w:rFonts w:hint="eastAsia" w:ascii="Times New Roman" w:hAnsi="Times New Roman"/>
          <w:sz w:val="24"/>
        </w:rPr>
        <w:t>七、一般公共预算财政拨款支出决算明细表</w:t>
      </w:r>
    </w:p>
    <w:p>
      <w:pPr>
        <w:pStyle w:val="12"/>
        <w:keepNext w:val="0"/>
        <w:keepLines w:val="0"/>
        <w:pageBreakBefore w:val="0"/>
        <w:tabs>
          <w:tab w:val="right" w:leader="middleDot" w:pos="7980"/>
        </w:tabs>
        <w:kinsoku/>
        <w:wordWrap/>
        <w:overflowPunct/>
        <w:topLinePunct w:val="0"/>
        <w:autoSpaceDE/>
        <w:autoSpaceDN/>
        <w:bidi w:val="0"/>
        <w:adjustRightInd w:val="0"/>
        <w:snapToGrid w:val="0"/>
        <w:spacing w:line="592" w:lineRule="exact"/>
        <w:jc w:val="left"/>
        <w:textAlignment w:val="auto"/>
        <w:rPr>
          <w:rFonts w:ascii="Times New Roman" w:hAnsi="Times New Roman"/>
          <w:sz w:val="24"/>
        </w:rPr>
      </w:pPr>
      <w:r>
        <w:rPr>
          <w:rFonts w:hint="eastAsia" w:ascii="Times New Roman" w:hAnsi="Times New Roman"/>
          <w:sz w:val="24"/>
        </w:rPr>
        <w:t>八、一般公共预算财政拨款基本支出决算明细表</w:t>
      </w:r>
    </w:p>
    <w:p>
      <w:pPr>
        <w:pStyle w:val="12"/>
        <w:keepNext w:val="0"/>
        <w:keepLines w:val="0"/>
        <w:pageBreakBefore w:val="0"/>
        <w:tabs>
          <w:tab w:val="right" w:leader="middleDot" w:pos="7980"/>
        </w:tabs>
        <w:kinsoku/>
        <w:wordWrap/>
        <w:overflowPunct/>
        <w:topLinePunct w:val="0"/>
        <w:autoSpaceDE/>
        <w:autoSpaceDN/>
        <w:bidi w:val="0"/>
        <w:adjustRightInd w:val="0"/>
        <w:snapToGrid w:val="0"/>
        <w:spacing w:line="592" w:lineRule="exact"/>
        <w:jc w:val="left"/>
        <w:textAlignment w:val="auto"/>
        <w:rPr>
          <w:rFonts w:ascii="Times New Roman" w:hAnsi="Times New Roman"/>
          <w:sz w:val="24"/>
        </w:rPr>
      </w:pPr>
      <w:r>
        <w:rPr>
          <w:rFonts w:hint="eastAsia" w:ascii="Times New Roman" w:hAnsi="Times New Roman"/>
          <w:sz w:val="24"/>
        </w:rPr>
        <w:t>九、一般公共预算财政拨款项目支出决算表</w:t>
      </w:r>
    </w:p>
    <w:p>
      <w:pPr>
        <w:pStyle w:val="12"/>
        <w:keepNext w:val="0"/>
        <w:keepLines w:val="0"/>
        <w:pageBreakBefore w:val="0"/>
        <w:tabs>
          <w:tab w:val="right" w:leader="middleDot" w:pos="7980"/>
        </w:tabs>
        <w:kinsoku/>
        <w:wordWrap/>
        <w:overflowPunct/>
        <w:topLinePunct w:val="0"/>
        <w:autoSpaceDE/>
        <w:autoSpaceDN/>
        <w:bidi w:val="0"/>
        <w:adjustRightInd w:val="0"/>
        <w:snapToGrid w:val="0"/>
        <w:spacing w:line="592" w:lineRule="exact"/>
        <w:jc w:val="left"/>
        <w:textAlignment w:val="auto"/>
        <w:rPr>
          <w:rFonts w:ascii="Times New Roman" w:hAnsi="Times New Roman"/>
          <w:sz w:val="24"/>
        </w:rPr>
      </w:pPr>
      <w:r>
        <w:rPr>
          <w:rFonts w:hint="eastAsia" w:ascii="Times New Roman" w:hAnsi="Times New Roman"/>
          <w:sz w:val="24"/>
        </w:rPr>
        <w:t>十、政府性基金预算财政拨款收入支出决算表</w:t>
      </w:r>
    </w:p>
    <w:p>
      <w:pPr>
        <w:pStyle w:val="12"/>
        <w:keepNext w:val="0"/>
        <w:keepLines w:val="0"/>
        <w:pageBreakBefore w:val="0"/>
        <w:tabs>
          <w:tab w:val="right" w:leader="middleDot" w:pos="7980"/>
        </w:tabs>
        <w:kinsoku/>
        <w:wordWrap/>
        <w:overflowPunct/>
        <w:topLinePunct w:val="0"/>
        <w:autoSpaceDE/>
        <w:autoSpaceDN/>
        <w:bidi w:val="0"/>
        <w:adjustRightInd w:val="0"/>
        <w:snapToGrid w:val="0"/>
        <w:spacing w:line="592" w:lineRule="exact"/>
        <w:jc w:val="left"/>
        <w:textAlignment w:val="auto"/>
        <w:rPr>
          <w:rFonts w:ascii="Times New Roman" w:hAnsi="Times New Roman"/>
          <w:sz w:val="24"/>
        </w:rPr>
      </w:pPr>
      <w:r>
        <w:rPr>
          <w:rFonts w:hint="eastAsia" w:ascii="Times New Roman" w:hAnsi="Times New Roman"/>
          <w:sz w:val="24"/>
        </w:rPr>
        <w:t>十一、国有资本经营预算财政拨款收入支出决算表</w:t>
      </w:r>
    </w:p>
    <w:p>
      <w:pPr>
        <w:pStyle w:val="12"/>
        <w:keepNext w:val="0"/>
        <w:keepLines w:val="0"/>
        <w:pageBreakBefore w:val="0"/>
        <w:tabs>
          <w:tab w:val="right" w:leader="middleDot" w:pos="7980"/>
        </w:tabs>
        <w:kinsoku/>
        <w:wordWrap/>
        <w:overflowPunct/>
        <w:topLinePunct w:val="0"/>
        <w:autoSpaceDE/>
        <w:autoSpaceDN/>
        <w:bidi w:val="0"/>
        <w:adjustRightInd w:val="0"/>
        <w:snapToGrid w:val="0"/>
        <w:spacing w:line="592" w:lineRule="exact"/>
        <w:jc w:val="left"/>
        <w:textAlignment w:val="auto"/>
        <w:rPr>
          <w:rFonts w:ascii="Times New Roman" w:hAnsi="Times New Roman"/>
          <w:sz w:val="24"/>
        </w:rPr>
      </w:pPr>
      <w:r>
        <w:rPr>
          <w:rFonts w:hint="eastAsia" w:ascii="Times New Roman" w:hAnsi="Times New Roman"/>
          <w:sz w:val="24"/>
        </w:rPr>
        <w:t>十二、国有资本经营预算财政拨款支出决算表</w:t>
      </w:r>
    </w:p>
    <w:p>
      <w:pPr>
        <w:pStyle w:val="12"/>
        <w:keepNext w:val="0"/>
        <w:keepLines w:val="0"/>
        <w:pageBreakBefore w:val="0"/>
        <w:tabs>
          <w:tab w:val="right" w:leader="middleDot" w:pos="7980"/>
        </w:tabs>
        <w:kinsoku/>
        <w:wordWrap/>
        <w:overflowPunct/>
        <w:topLinePunct w:val="0"/>
        <w:autoSpaceDE/>
        <w:autoSpaceDN/>
        <w:bidi w:val="0"/>
        <w:adjustRightInd w:val="0"/>
        <w:snapToGrid w:val="0"/>
        <w:spacing w:line="592" w:lineRule="exact"/>
        <w:jc w:val="left"/>
        <w:textAlignment w:val="auto"/>
        <w:rPr>
          <w:rFonts w:ascii="Times New Roman" w:hAnsi="Times New Roman"/>
          <w:sz w:val="24"/>
        </w:rPr>
      </w:pPr>
      <w:r>
        <w:rPr>
          <w:rFonts w:hint="eastAsia" w:ascii="Times New Roman" w:hAnsi="Times New Roman"/>
          <w:sz w:val="24"/>
        </w:rPr>
        <w:t>十三、财政拨款“三公”经费支出决算表</w:t>
      </w:r>
    </w:p>
    <w:p>
      <w:pPr>
        <w:pStyle w:val="3"/>
        <w:pageBreakBefore w:val="0"/>
        <w:kinsoku/>
        <w:wordWrap/>
        <w:overflowPunct/>
        <w:topLinePunct w:val="0"/>
        <w:bidi w:val="0"/>
        <w:spacing w:line="592" w:lineRule="exact"/>
        <w:jc w:val="center"/>
        <w:textAlignment w:val="auto"/>
        <w:rPr>
          <w:rFonts w:hint="eastAsia" w:ascii="Times New Roman" w:hAnsi="Times New Roman" w:eastAsia="黑体"/>
          <w:b w:val="0"/>
        </w:rPr>
        <w:sectPr>
          <w:headerReference r:id="rId5" w:type="first"/>
          <w:headerReference r:id="rId3" w:type="default"/>
          <w:headerReference r:id="rId4" w:type="even"/>
          <w:footerReference r:id="rId6" w:type="even"/>
          <w:pgSz w:w="11906" w:h="16838"/>
          <w:pgMar w:top="1440" w:right="1746" w:bottom="1440" w:left="1746" w:header="851" w:footer="992" w:gutter="0"/>
          <w:pgNumType w:fmt="decimal"/>
          <w:cols w:space="0" w:num="1"/>
          <w:docGrid w:type="lines" w:linePitch="312" w:charSpace="0"/>
        </w:sectPr>
      </w:pPr>
      <w:bookmarkStart w:id="12" w:name="_Toc15377196"/>
      <w:bookmarkStart w:id="13" w:name="_Toc15396599"/>
    </w:p>
    <w:p>
      <w:pPr>
        <w:pStyle w:val="3"/>
        <w:pageBreakBefore w:val="0"/>
        <w:kinsoku/>
        <w:wordWrap/>
        <w:overflowPunct/>
        <w:topLinePunct w:val="0"/>
        <w:bidi w:val="0"/>
        <w:spacing w:line="592" w:lineRule="exact"/>
        <w:jc w:val="center"/>
        <w:textAlignment w:val="auto"/>
        <w:rPr>
          <w:rStyle w:val="28"/>
          <w:rFonts w:ascii="Times New Roman" w:hAnsi="Times New Roman" w:eastAsia="黑体"/>
          <w:b/>
          <w:bCs w:val="0"/>
        </w:rPr>
      </w:pPr>
      <w:r>
        <w:rPr>
          <w:rFonts w:hint="eastAsia" w:ascii="Times New Roman" w:hAnsi="Times New Roman" w:eastAsia="黑体"/>
          <w:b w:val="0"/>
        </w:rPr>
        <w:t>第一部分 单位</w:t>
      </w:r>
      <w:r>
        <w:rPr>
          <w:rStyle w:val="28"/>
          <w:rFonts w:hint="eastAsia" w:ascii="Times New Roman" w:hAnsi="Times New Roman" w:eastAsia="黑体"/>
          <w:b w:val="0"/>
          <w:bCs w:val="0"/>
        </w:rPr>
        <w:t>概况</w:t>
      </w:r>
      <w:bookmarkEnd w:id="12"/>
      <w:bookmarkEnd w:id="13"/>
    </w:p>
    <w:p>
      <w:pPr>
        <w:pageBreakBefore w:val="0"/>
        <w:widowControl/>
        <w:kinsoku/>
        <w:wordWrap/>
        <w:overflowPunct/>
        <w:topLinePunct w:val="0"/>
        <w:bidi w:val="0"/>
        <w:spacing w:line="592" w:lineRule="exact"/>
        <w:jc w:val="left"/>
        <w:textAlignment w:val="auto"/>
        <w:rPr>
          <w:rFonts w:ascii="Times New Roman" w:hAnsi="Times New Roman" w:eastAsia="黑体"/>
          <w:sz w:val="32"/>
          <w:szCs w:val="32"/>
        </w:rPr>
      </w:pPr>
    </w:p>
    <w:p>
      <w:pPr>
        <w:pStyle w:val="4"/>
        <w:pageBreakBefore w:val="0"/>
        <w:numPr>
          <w:ilvl w:val="0"/>
          <w:numId w:val="1"/>
        </w:numPr>
        <w:kinsoku/>
        <w:wordWrap/>
        <w:overflowPunct/>
        <w:topLinePunct w:val="0"/>
        <w:bidi w:val="0"/>
        <w:spacing w:line="592" w:lineRule="exact"/>
        <w:textAlignment w:val="auto"/>
        <w:rPr>
          <w:rStyle w:val="29"/>
          <w:rFonts w:ascii="Times New Roman" w:hAnsi="Times New Roman" w:eastAsia="黑体"/>
          <w:b w:val="0"/>
          <w:bCs w:val="0"/>
        </w:rPr>
      </w:pPr>
      <w:bookmarkStart w:id="14" w:name="_Toc15377197"/>
      <w:bookmarkStart w:id="15" w:name="_Toc15396600"/>
      <w:r>
        <w:rPr>
          <w:rStyle w:val="29"/>
          <w:rFonts w:hint="eastAsia" w:ascii="Times New Roman" w:hAnsi="Times New Roman" w:eastAsia="黑体"/>
          <w:b w:val="0"/>
          <w:bCs w:val="0"/>
        </w:rPr>
        <w:t>主要职责</w:t>
      </w:r>
    </w:p>
    <w:p>
      <w:pPr>
        <w:pageBreakBefore w:val="0"/>
        <w:widowControl w:val="0"/>
        <w:numPr>
          <w:ilvl w:val="0"/>
          <w:numId w:val="0"/>
        </w:numPr>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坚持和加强党对金融工作的集中统一领导，贯彻落实中、省关于金融工作的法律、法规、方针政策和决策部署。</w:t>
      </w:r>
    </w:p>
    <w:p>
      <w:pPr>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会同有关部门拟定地方金融政策措施和全市金融业发展中长期规划并组织实施。</w:t>
      </w:r>
    </w:p>
    <w:p>
      <w:pPr>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统筹、协调推进全市金融业服务实体经济、防控金融风险、深化金融改革。推动地方政府与金融机构合作。加强金融对外合作交流。</w:t>
      </w:r>
    </w:p>
    <w:p>
      <w:pPr>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会同有关部门推进地方金融业规范发展，组建、培育、壮大地方法人金融机构，引进市外金融机构，促进地方金融机构合理布局和金融资源优化配置，负责监管范围内的地方法人金融机构的改革发展和业务指导工作。</w:t>
      </w:r>
    </w:p>
    <w:p>
      <w:pPr>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统筹推进全市企业直接融资工作。负责全市企业上市改制、上市培育和上市协调工作。指导上市公司规范运作、并购重组。会同有关部门指导推动企业发行各种债券、开展资产证券化等工作（境外融资除外），推进多渠道直接融资。参与指导各类投资基金规范发展。</w:t>
      </w:r>
    </w:p>
    <w:p>
      <w:pPr>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rPr>
        <w:t>统筹全市地方金融要素市场体系建设。会同有关部门指导、推动全市地方金融要素市场建设，组织推进多层次资本市场发展。</w:t>
      </w:r>
    </w:p>
    <w:p>
      <w:pPr>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rPr>
        <w:t>配合中、省金融管理部门驻广机构做好金融监管工作，共享地方金融监管指标数据和金融业务发展情况，为中、省驻广金融管理部门和金融机构提供服务，协调解决地方金融业改革发展中的有关问题。</w:t>
      </w:r>
    </w:p>
    <w:p>
      <w:pPr>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rPr>
        <w:t>推动各类金融机构为全市经济社会发展服务，参与全市投融资体制改革工作。推动地方金融统计体系建设。研究制定引导社会融资发展的政策措施，参与研究拟订政府重大项目融资方案。引导金融机构创新服务产品，扩大服务范围，延伸服务领域，提升服务效率。</w:t>
      </w:r>
    </w:p>
    <w:p>
      <w:pPr>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sz w:val="32"/>
          <w:szCs w:val="32"/>
          <w:highlight w:val="none"/>
        </w:rPr>
        <w:t>依据国务院金融稳定发展委员会和中央金融管理部门制定的规则，负责全市小额贷款公司、融资担保公司、区域性股权市场、典当行、融资租赁公司、商业保理公司、地方资产管理公司的监管。加强对开展信用互助的农民专业合作社、地方权益类交易场所、大宗商品类交易场所的风险监测与行为监管。</w:t>
      </w:r>
    </w:p>
    <w:p>
      <w:pPr>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rPr>
        <w:t>按照中、省有关规定，负责地方金融机构和金融中介机构的行业管理和服务，促进金融中介服务业发展，参与拟定促进与金融业密切相关的中介服务机构发展的政策、规划并配合有关部门实施。加强对相关金融行业协会的工作指导和监督。</w:t>
      </w:r>
    </w:p>
    <w:p>
      <w:pPr>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11.</w:t>
      </w:r>
      <w:r>
        <w:rPr>
          <w:rFonts w:hint="default" w:ascii="Times New Roman" w:hAnsi="Times New Roman" w:eastAsia="方正仿宋_GBK" w:cs="Times New Roman"/>
          <w:color w:val="auto"/>
          <w:sz w:val="32"/>
          <w:szCs w:val="32"/>
          <w:highlight w:val="none"/>
        </w:rPr>
        <w:t>维护地方金融秩序。牵头会同有关部门防范、化解地方金融风险。牵头处置非法集资，协调配合有关部门打击其他非法金融活动，推进全市地方金融风险监测预警与应急处置机制建设。</w:t>
      </w:r>
    </w:p>
    <w:p>
      <w:pPr>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12.</w:t>
      </w:r>
      <w:r>
        <w:rPr>
          <w:rFonts w:hint="default" w:ascii="Times New Roman" w:hAnsi="Times New Roman" w:eastAsia="方正仿宋_GBK" w:cs="Times New Roman"/>
          <w:color w:val="auto"/>
          <w:sz w:val="32"/>
          <w:szCs w:val="32"/>
          <w:highlight w:val="none"/>
        </w:rPr>
        <w:t>按照国有资产管理有关规定，配合市级有关部门研究制定国有金融资本布局方案。</w:t>
      </w:r>
    </w:p>
    <w:p>
      <w:pPr>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13.</w:t>
      </w:r>
      <w:r>
        <w:rPr>
          <w:rFonts w:hint="default" w:ascii="Times New Roman" w:hAnsi="Times New Roman" w:eastAsia="方正仿宋_GBK" w:cs="Times New Roman"/>
          <w:color w:val="auto"/>
          <w:sz w:val="32"/>
          <w:szCs w:val="32"/>
          <w:highlight w:val="none"/>
        </w:rPr>
        <w:t>统筹对全市地方政府金融工作进行业务指导，推进市县协同联动机制建设，参与、指导全市金融人才资源培育和队伍建设工作。推进全市金融知识宣传普及工作。</w:t>
      </w:r>
    </w:p>
    <w:p>
      <w:pPr>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14.</w:t>
      </w:r>
      <w:r>
        <w:rPr>
          <w:rFonts w:hint="default" w:ascii="Times New Roman" w:hAnsi="Times New Roman" w:eastAsia="方正仿宋_GBK" w:cs="Times New Roman"/>
          <w:color w:val="auto"/>
          <w:sz w:val="32"/>
          <w:szCs w:val="32"/>
          <w:highlight w:val="none"/>
        </w:rPr>
        <w:t>督促监管范围内的地方法人金融机构建立健全并执行安全生产和职业健康相关制度、规定、标准；组织开展本行业系统安全生产工作检查，总结推广安全生产工作经验，督促整改安全隐患。</w:t>
      </w:r>
    </w:p>
    <w:p>
      <w:pPr>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15.</w:t>
      </w:r>
      <w:r>
        <w:rPr>
          <w:rFonts w:hint="default" w:ascii="Times New Roman" w:hAnsi="Times New Roman" w:eastAsia="方正仿宋_GBK" w:cs="Times New Roman"/>
          <w:color w:val="auto"/>
          <w:sz w:val="32"/>
          <w:szCs w:val="32"/>
          <w:highlight w:val="none"/>
        </w:rPr>
        <w:t>负责职责范围内的生态环境保护、审批服务便民化等工作。</w:t>
      </w:r>
    </w:p>
    <w:p>
      <w:pPr>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rPr>
      </w:pPr>
      <w:r>
        <w:rPr>
          <w:rFonts w:hint="default" w:ascii="Times New Roman" w:hAnsi="Times New Roman" w:eastAsia="方正仿宋_GBK" w:cs="Times New Roman"/>
          <w:color w:val="auto"/>
          <w:sz w:val="32"/>
          <w:szCs w:val="32"/>
          <w:highlight w:val="none"/>
          <w:lang w:val="en-US" w:eastAsia="zh-CN"/>
        </w:rPr>
        <w:t>16.</w:t>
      </w:r>
      <w:r>
        <w:rPr>
          <w:rFonts w:hint="default" w:ascii="Times New Roman" w:hAnsi="Times New Roman" w:eastAsia="方正仿宋_GBK" w:cs="Times New Roman"/>
          <w:color w:val="auto"/>
          <w:sz w:val="32"/>
          <w:szCs w:val="32"/>
          <w:highlight w:val="none"/>
        </w:rPr>
        <w:t>完成市委和市政府交办的其他任务。</w:t>
      </w:r>
    </w:p>
    <w:p>
      <w:pPr>
        <w:pStyle w:val="4"/>
        <w:pageBreakBefore w:val="0"/>
        <w:numPr>
          <w:ilvl w:val="0"/>
          <w:numId w:val="1"/>
        </w:numPr>
        <w:kinsoku/>
        <w:wordWrap/>
        <w:overflowPunct/>
        <w:topLinePunct w:val="0"/>
        <w:bidi w:val="0"/>
        <w:spacing w:line="592" w:lineRule="exact"/>
        <w:ind w:left="0" w:leftChars="0" w:firstLine="0" w:firstLineChars="0"/>
        <w:textAlignment w:val="auto"/>
        <w:rPr>
          <w:rFonts w:hint="eastAsia" w:ascii="Times New Roman" w:hAnsi="Times New Roman" w:eastAsia="黑体"/>
          <w:b w:val="0"/>
        </w:rPr>
      </w:pPr>
      <w:r>
        <w:rPr>
          <w:rFonts w:hint="eastAsia" w:ascii="Times New Roman" w:hAnsi="Times New Roman" w:eastAsia="黑体"/>
          <w:b w:val="0"/>
        </w:rPr>
        <w:t>机构设置</w:t>
      </w:r>
    </w:p>
    <w:p>
      <w:pPr>
        <w:pageBreakBefore w:val="0"/>
        <w:kinsoku/>
        <w:wordWrap/>
        <w:overflowPunct/>
        <w:topLinePunct w:val="0"/>
        <w:bidi w:val="0"/>
        <w:spacing w:line="592" w:lineRule="exact"/>
        <w:ind w:firstLine="800" w:firstLineChars="250"/>
        <w:textAlignment w:val="auto"/>
        <w:rPr>
          <w:rFonts w:hint="default" w:ascii="Times New Roman" w:hAnsi="Times New Roman" w:eastAsia="黑体" w:cs="Times New Roman"/>
          <w:b w:val="0"/>
          <w:color w:val="000000"/>
          <w:highlight w:val="none"/>
          <w:lang w:val="en-US"/>
        </w:rPr>
      </w:pPr>
      <w:r>
        <w:rPr>
          <w:rFonts w:hint="eastAsia" w:eastAsia="仿宋" w:cs="Times New Roman"/>
          <w:sz w:val="32"/>
          <w:szCs w:val="32"/>
          <w:lang w:val="en-US" w:eastAsia="zh-CN"/>
        </w:rPr>
        <w:t>广安市金融工作局</w:t>
      </w:r>
      <w:r>
        <w:rPr>
          <w:rFonts w:hint="default" w:ascii="Times New Roman" w:hAnsi="Times New Roman" w:eastAsia="仿宋" w:cs="Times New Roman"/>
          <w:sz w:val="32"/>
          <w:szCs w:val="32"/>
          <w:lang w:eastAsia="zh-CN"/>
        </w:rPr>
        <w:t>共有在职人员</w:t>
      </w:r>
      <w:r>
        <w:rPr>
          <w:rFonts w:hint="eastAsia" w:eastAsia="仿宋" w:cs="Times New Roman"/>
          <w:sz w:val="32"/>
          <w:szCs w:val="32"/>
          <w:lang w:val="en-US" w:eastAsia="zh-CN"/>
        </w:rPr>
        <w:t>10人</w:t>
      </w:r>
      <w:r>
        <w:rPr>
          <w:rFonts w:hint="default" w:ascii="Times New Roman" w:hAnsi="Times New Roman" w:eastAsia="仿宋" w:cs="Times New Roman"/>
          <w:sz w:val="32"/>
          <w:szCs w:val="32"/>
        </w:rPr>
        <w:t>，内设</w:t>
      </w:r>
      <w:r>
        <w:rPr>
          <w:rFonts w:hint="eastAsia" w:eastAsia="仿宋" w:cs="Times New Roman"/>
          <w:sz w:val="32"/>
          <w:szCs w:val="32"/>
          <w:lang w:val="en-US" w:eastAsia="zh-CN"/>
        </w:rPr>
        <w:t>3</w:t>
      </w:r>
      <w:r>
        <w:rPr>
          <w:rFonts w:hint="default" w:ascii="Times New Roman" w:hAnsi="Times New Roman" w:eastAsia="仿宋" w:cs="Times New Roman"/>
          <w:sz w:val="32"/>
          <w:szCs w:val="32"/>
        </w:rPr>
        <w:t>个科室</w:t>
      </w:r>
      <w:r>
        <w:rPr>
          <w:rFonts w:hint="eastAsia" w:eastAsia="仿宋" w:cs="Times New Roman"/>
          <w:sz w:val="32"/>
          <w:szCs w:val="32"/>
          <w:lang w:eastAsia="zh-CN"/>
        </w:rPr>
        <w:t>，</w:t>
      </w:r>
      <w:r>
        <w:rPr>
          <w:rFonts w:hint="default" w:ascii="Times New Roman" w:hAnsi="Times New Roman" w:eastAsia="仿宋" w:cs="Times New Roman"/>
          <w:sz w:val="32"/>
          <w:szCs w:val="32"/>
          <w:lang w:eastAsia="zh-CN"/>
        </w:rPr>
        <w:t>设有</w:t>
      </w:r>
      <w:r>
        <w:rPr>
          <w:rFonts w:ascii="Times New Roman" w:hAnsi="Times New Roman" w:eastAsia="方正仿宋_GBK" w:cs="Times New Roman"/>
          <w:color w:val="auto"/>
          <w:sz w:val="32"/>
          <w:szCs w:val="32"/>
          <w:highlight w:val="none"/>
        </w:rPr>
        <w:t>办公室</w:t>
      </w:r>
      <w:r>
        <w:rPr>
          <w:rFonts w:hint="eastAsia" w:eastAsia="方正仿宋_GBK" w:cs="Times New Roman"/>
          <w:color w:val="auto"/>
          <w:sz w:val="32"/>
          <w:szCs w:val="32"/>
          <w:highlight w:val="none"/>
          <w:lang w:eastAsia="zh-CN"/>
        </w:rPr>
        <w:t>、</w:t>
      </w:r>
      <w:r>
        <w:rPr>
          <w:rFonts w:hint="eastAsia" w:eastAsia="方正仿宋_GBK" w:cs="Times New Roman"/>
          <w:color w:val="auto"/>
          <w:sz w:val="32"/>
          <w:szCs w:val="32"/>
          <w:highlight w:val="none"/>
          <w:lang w:val="en-US" w:eastAsia="zh-CN"/>
        </w:rPr>
        <w:t>金融协调服务科、地方金融科。</w:t>
      </w:r>
      <w:r>
        <w:rPr>
          <w:rFonts w:hint="eastAsia" w:eastAsia="仿宋" w:cs="Times New Roman"/>
          <w:sz w:val="32"/>
          <w:szCs w:val="32"/>
          <w:lang w:val="en-US" w:eastAsia="zh-CN"/>
        </w:rPr>
        <w:t>广安市金融工作局</w:t>
      </w:r>
      <w:r>
        <w:rPr>
          <w:rFonts w:hint="eastAsia" w:ascii="Times New Roman" w:hAnsi="Times New Roman" w:eastAsia="方正仿宋_GBK" w:cs="Times New Roman"/>
          <w:color w:val="auto"/>
          <w:sz w:val="32"/>
          <w:szCs w:val="32"/>
          <w:highlight w:val="none"/>
          <w:lang w:eastAsia="zh-CN"/>
        </w:rPr>
        <w:t>下设事业单位</w:t>
      </w:r>
      <w:r>
        <w:rPr>
          <w:rFonts w:hint="eastAsia" w:ascii="Times New Roman" w:hAnsi="Times New Roman" w:eastAsia="方正仿宋_GBK" w:cs="Times New Roman"/>
          <w:color w:val="auto"/>
          <w:sz w:val="32"/>
          <w:szCs w:val="32"/>
          <w:highlight w:val="none"/>
          <w:lang w:val="en-US" w:eastAsia="zh-CN"/>
        </w:rPr>
        <w:t>1个，广安市金融服务中心</w:t>
      </w:r>
      <w:r>
        <w:rPr>
          <w:rFonts w:hint="eastAsia" w:eastAsia="方正仿宋_GBK" w:cs="Times New Roman"/>
          <w:color w:val="auto"/>
          <w:sz w:val="32"/>
          <w:szCs w:val="32"/>
          <w:highlight w:val="none"/>
          <w:lang w:val="en-US" w:eastAsia="zh-CN"/>
        </w:rPr>
        <w:t>，纳入广安市金融工作局统一核算。</w:t>
      </w:r>
    </w:p>
    <w:p>
      <w:pPr>
        <w:pageBreakBefore w:val="0"/>
        <w:numPr>
          <w:ilvl w:val="0"/>
          <w:numId w:val="0"/>
        </w:numPr>
        <w:kinsoku/>
        <w:wordWrap/>
        <w:overflowPunct/>
        <w:topLinePunct w:val="0"/>
        <w:bidi w:val="0"/>
        <w:spacing w:line="592" w:lineRule="exact"/>
        <w:ind w:leftChars="0"/>
        <w:textAlignment w:val="auto"/>
      </w:pPr>
    </w:p>
    <w:bookmarkEnd w:id="14"/>
    <w:bookmarkEnd w:id="15"/>
    <w:p>
      <w:pPr>
        <w:pageBreakBefore w:val="0"/>
        <w:widowControl/>
        <w:kinsoku/>
        <w:wordWrap/>
        <w:overflowPunct/>
        <w:topLinePunct w:val="0"/>
        <w:bidi w:val="0"/>
        <w:spacing w:line="592" w:lineRule="exact"/>
        <w:jc w:val="left"/>
        <w:textAlignment w:val="auto"/>
        <w:rPr>
          <w:rFonts w:ascii="Times New Roman" w:hAnsi="Times New Roman" w:eastAsia="仿宋"/>
          <w:kern w:val="0"/>
          <w:sz w:val="32"/>
          <w:szCs w:val="32"/>
        </w:rPr>
      </w:pPr>
      <w:r>
        <w:rPr>
          <w:rFonts w:ascii="Times New Roman" w:hAnsi="Times New Roman" w:eastAsia="仿宋"/>
          <w:sz w:val="32"/>
          <w:szCs w:val="32"/>
        </w:rPr>
        <w:br w:type="page"/>
      </w:r>
    </w:p>
    <w:p>
      <w:pPr>
        <w:pStyle w:val="3"/>
        <w:pageBreakBefore w:val="0"/>
        <w:kinsoku/>
        <w:wordWrap/>
        <w:overflowPunct/>
        <w:topLinePunct w:val="0"/>
        <w:bidi w:val="0"/>
        <w:spacing w:line="592" w:lineRule="exact"/>
        <w:ind w:right="440"/>
        <w:jc w:val="center"/>
        <w:textAlignment w:val="auto"/>
        <w:rPr>
          <w:rStyle w:val="28"/>
          <w:rFonts w:ascii="Times New Roman" w:hAnsi="Times New Roman" w:eastAsia="黑体"/>
          <w:b w:val="0"/>
          <w:bCs/>
        </w:rPr>
      </w:pPr>
      <w:bookmarkStart w:id="16" w:name="_Toc15377204"/>
      <w:bookmarkStart w:id="17" w:name="_Toc15396602"/>
      <w:r>
        <w:rPr>
          <w:rFonts w:hint="eastAsia" w:ascii="Times New Roman" w:hAnsi="Times New Roman" w:eastAsia="黑体"/>
          <w:b w:val="0"/>
        </w:rPr>
        <w:t>第二部分 2023年度</w:t>
      </w:r>
      <w:r>
        <w:rPr>
          <w:rStyle w:val="28"/>
          <w:rFonts w:hint="eastAsia" w:ascii="Times New Roman" w:hAnsi="Times New Roman" w:eastAsia="黑体"/>
          <w:b w:val="0"/>
          <w:bCs/>
        </w:rPr>
        <w:t>单位决算情况说明</w:t>
      </w:r>
      <w:bookmarkEnd w:id="16"/>
      <w:bookmarkEnd w:id="17"/>
    </w:p>
    <w:p>
      <w:pPr>
        <w:pageBreakBefore w:val="0"/>
        <w:kinsoku/>
        <w:wordWrap/>
        <w:overflowPunct/>
        <w:topLinePunct w:val="0"/>
        <w:bidi w:val="0"/>
        <w:spacing w:line="592" w:lineRule="exact"/>
        <w:textAlignment w:val="auto"/>
        <w:rPr>
          <w:rFonts w:ascii="Times New Roman" w:hAnsi="Times New Roman"/>
        </w:rPr>
      </w:pPr>
    </w:p>
    <w:p>
      <w:pPr>
        <w:pStyle w:val="27"/>
        <w:pageBreakBefore w:val="0"/>
        <w:numPr>
          <w:ilvl w:val="0"/>
          <w:numId w:val="2"/>
        </w:numPr>
        <w:kinsoku/>
        <w:wordWrap/>
        <w:overflowPunct/>
        <w:topLinePunct w:val="0"/>
        <w:bidi w:val="0"/>
        <w:spacing w:line="592" w:lineRule="exact"/>
        <w:ind w:firstLineChars="0"/>
        <w:textAlignment w:val="auto"/>
        <w:outlineLvl w:val="1"/>
        <w:rPr>
          <w:rStyle w:val="29"/>
          <w:rFonts w:ascii="Times New Roman" w:hAnsi="Times New Roman" w:eastAsia="黑体"/>
          <w:b w:val="0"/>
        </w:rPr>
      </w:pPr>
      <w:bookmarkStart w:id="18" w:name="_Toc15396603"/>
      <w:bookmarkStart w:id="19" w:name="_Toc15377205"/>
      <w:r>
        <w:rPr>
          <w:rFonts w:hint="eastAsia" w:ascii="Times New Roman" w:hAnsi="Times New Roman" w:eastAsia="黑体"/>
          <w:sz w:val="32"/>
          <w:szCs w:val="32"/>
        </w:rPr>
        <w:t>收</w:t>
      </w:r>
      <w:r>
        <w:rPr>
          <w:rStyle w:val="29"/>
          <w:rFonts w:hint="eastAsia" w:ascii="Times New Roman" w:hAnsi="Times New Roman" w:eastAsia="黑体"/>
          <w:b w:val="0"/>
        </w:rPr>
        <w:t>入支出决算总体情况说明</w:t>
      </w:r>
      <w:bookmarkEnd w:id="18"/>
      <w:bookmarkEnd w:id="19"/>
    </w:p>
    <w:p>
      <w:pPr>
        <w:pageBreakBefore w:val="0"/>
        <w:kinsoku/>
        <w:wordWrap/>
        <w:overflowPunct/>
        <w:topLinePunct w:val="0"/>
        <w:bidi w:val="0"/>
        <w:spacing w:line="592" w:lineRule="exact"/>
        <w:ind w:firstLine="640" w:firstLineChars="200"/>
        <w:textAlignment w:val="auto"/>
        <w:rPr>
          <w:rFonts w:ascii="Times New Roman" w:hAnsi="Times New Roman" w:eastAsia="仿宋"/>
          <w:sz w:val="32"/>
          <w:szCs w:val="32"/>
        </w:rPr>
      </w:pPr>
      <w:r>
        <w:rPr>
          <w:rFonts w:hint="eastAsia" w:ascii="Times New Roman" w:hAnsi="Times New Roman" w:eastAsia="仿宋"/>
          <w:sz w:val="32"/>
          <w:szCs w:val="32"/>
        </w:rPr>
        <w:t>2023年度收、支总计均为</w:t>
      </w:r>
      <w:r>
        <w:rPr>
          <w:rFonts w:hint="eastAsia" w:ascii="Times New Roman" w:hAnsi="Times New Roman" w:eastAsia="仿宋"/>
          <w:b/>
          <w:sz w:val="32"/>
          <w:szCs w:val="32"/>
        </w:rPr>
        <w:t>496.5</w:t>
      </w:r>
      <w:r>
        <w:rPr>
          <w:rFonts w:hint="eastAsia" w:ascii="Times New Roman" w:hAnsi="Times New Roman" w:eastAsia="仿宋"/>
          <w:sz w:val="32"/>
          <w:szCs w:val="32"/>
        </w:rPr>
        <w:t>万元。与2022年度相比，收、支总计各增加</w:t>
      </w:r>
      <w:r>
        <w:rPr>
          <w:rFonts w:hint="eastAsia" w:eastAsia="仿宋"/>
          <w:sz w:val="32"/>
          <w:szCs w:val="32"/>
          <w:lang w:val="en-US" w:eastAsia="zh-CN"/>
        </w:rPr>
        <w:t>66.63</w:t>
      </w:r>
      <w:r>
        <w:rPr>
          <w:rFonts w:hint="eastAsia" w:ascii="Times New Roman" w:hAnsi="Times New Roman" w:eastAsia="仿宋"/>
          <w:sz w:val="32"/>
          <w:szCs w:val="32"/>
        </w:rPr>
        <w:t>万元，增长</w:t>
      </w:r>
      <w:r>
        <w:rPr>
          <w:rFonts w:hint="eastAsia" w:eastAsia="仿宋"/>
          <w:sz w:val="32"/>
          <w:szCs w:val="32"/>
          <w:lang w:val="en-US" w:eastAsia="zh-CN"/>
        </w:rPr>
        <w:t>15.5</w:t>
      </w:r>
      <w:r>
        <w:rPr>
          <w:rFonts w:ascii="Times New Roman" w:hAnsi="Times New Roman" w:eastAsia="仿宋"/>
          <w:sz w:val="32"/>
          <w:szCs w:val="32"/>
        </w:rPr>
        <w:t>%</w:t>
      </w:r>
      <w:r>
        <w:rPr>
          <w:rFonts w:hint="eastAsia" w:ascii="Times New Roman" w:hAnsi="Times New Roman" w:eastAsia="仿宋"/>
          <w:sz w:val="32"/>
          <w:szCs w:val="32"/>
        </w:rPr>
        <w:t>。主要变动原</w:t>
      </w:r>
      <w:r>
        <w:rPr>
          <w:rFonts w:hint="eastAsia" w:ascii="Times New Roman" w:hAnsi="Times New Roman" w:eastAsia="仿宋"/>
          <w:sz w:val="32"/>
          <w:szCs w:val="32"/>
          <w:highlight w:val="none"/>
        </w:rPr>
        <w:t>因是</w:t>
      </w:r>
      <w:r>
        <w:rPr>
          <w:rFonts w:hint="eastAsia" w:eastAsia="仿宋"/>
          <w:sz w:val="32"/>
          <w:szCs w:val="32"/>
          <w:highlight w:val="none"/>
          <w:lang w:val="en-US" w:eastAsia="zh-CN"/>
        </w:rPr>
        <w:t>防控疫情期间多项工作开展受阻，随着疫情政策调整，为促进经济复苏，主动加大对银行业金融机构的信贷投放指导力度，积极为实体经济提供金融活水，各项费用较疫情防控期间，有所增加</w:t>
      </w:r>
      <w:r>
        <w:rPr>
          <w:rFonts w:hint="eastAsia" w:ascii="Times New Roman" w:hAnsi="Times New Roman" w:eastAsia="仿宋"/>
          <w:sz w:val="32"/>
          <w:szCs w:val="32"/>
        </w:rPr>
        <w:t>。</w:t>
      </w:r>
    </w:p>
    <w:p>
      <w:pPr>
        <w:pageBreakBefore w:val="0"/>
        <w:kinsoku/>
        <w:wordWrap/>
        <w:overflowPunct/>
        <w:topLinePunct w:val="0"/>
        <w:bidi w:val="0"/>
        <w:spacing w:line="592" w:lineRule="exact"/>
        <w:ind w:firstLine="640" w:firstLineChars="200"/>
        <w:textAlignment w:val="auto"/>
        <w:rPr>
          <w:rFonts w:ascii="Times New Roman" w:hAnsi="Times New Roman" w:eastAsia="仿宋"/>
          <w:sz w:val="32"/>
          <w:szCs w:val="32"/>
        </w:rPr>
      </w:pPr>
      <w:r>
        <w:rPr>
          <w:rFonts w:hint="eastAsia" w:ascii="Times New Roman" w:hAnsi="Times New Roman" w:eastAsia="仿宋"/>
          <w:sz w:val="32"/>
          <w:szCs w:val="32"/>
        </w:rPr>
        <w:t>（图</w:t>
      </w:r>
      <w:r>
        <w:rPr>
          <w:rFonts w:ascii="Times New Roman" w:hAnsi="Times New Roman" w:eastAsia="仿宋"/>
          <w:sz w:val="32"/>
          <w:szCs w:val="32"/>
        </w:rPr>
        <w:t>1</w:t>
      </w:r>
      <w:r>
        <w:rPr>
          <w:rFonts w:hint="eastAsia" w:ascii="Times New Roman" w:hAnsi="Times New Roman" w:eastAsia="仿宋"/>
          <w:sz w:val="32"/>
          <w:szCs w:val="32"/>
        </w:rPr>
        <w:t>：收、支决算总计变动情况图）（柱状图）</w:t>
      </w:r>
    </w:p>
    <w:p>
      <w:pPr>
        <w:pStyle w:val="2"/>
        <w:rPr>
          <w:rFonts w:ascii="Times New Roman" w:hAnsi="Times New Roman" w:eastAsia="仿宋_GB2312"/>
          <w:sz w:val="32"/>
          <w:szCs w:val="32"/>
        </w:rPr>
      </w:pPr>
      <w:r>
        <w:rPr>
          <w:rFonts w:hint="eastAsia" w:ascii="Times New Roman" w:hAnsi="Times New Roman" w:eastAsia="仿宋_GB2312"/>
          <w:sz w:val="32"/>
          <w:szCs w:val="32"/>
          <w:lang w:eastAsia="zh-CN"/>
        </w:rPr>
        <w:drawing>
          <wp:inline distT="0" distB="0" distL="114300" distR="114300">
            <wp:extent cx="5256530" cy="2988310"/>
            <wp:effectExtent l="5080" t="4445" r="1524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
      <w:pPr>
        <w:pStyle w:val="27"/>
        <w:pageBreakBefore w:val="0"/>
        <w:numPr>
          <w:ilvl w:val="0"/>
          <w:numId w:val="2"/>
        </w:numPr>
        <w:kinsoku/>
        <w:wordWrap/>
        <w:overflowPunct/>
        <w:topLinePunct w:val="0"/>
        <w:bidi w:val="0"/>
        <w:spacing w:line="592" w:lineRule="exact"/>
        <w:ind w:firstLineChars="0"/>
        <w:textAlignment w:val="auto"/>
        <w:outlineLvl w:val="1"/>
        <w:rPr>
          <w:rStyle w:val="29"/>
          <w:rFonts w:ascii="Times New Roman" w:hAnsi="Times New Roman" w:eastAsia="黑体"/>
          <w:b w:val="0"/>
        </w:rPr>
      </w:pPr>
      <w:bookmarkStart w:id="20" w:name="_Toc15377206"/>
      <w:bookmarkStart w:id="21" w:name="_Toc15396604"/>
      <w:r>
        <w:rPr>
          <w:rFonts w:hint="eastAsia" w:ascii="Times New Roman" w:hAnsi="Times New Roman" w:eastAsia="黑体"/>
          <w:sz w:val="32"/>
          <w:szCs w:val="32"/>
        </w:rPr>
        <w:t>收</w:t>
      </w:r>
      <w:r>
        <w:rPr>
          <w:rStyle w:val="29"/>
          <w:rFonts w:hint="eastAsia" w:ascii="Times New Roman" w:hAnsi="Times New Roman" w:eastAsia="黑体"/>
          <w:b w:val="0"/>
        </w:rPr>
        <w:t>入决算情况说明</w:t>
      </w:r>
      <w:bookmarkEnd w:id="20"/>
      <w:bookmarkEnd w:id="21"/>
    </w:p>
    <w:p>
      <w:pPr>
        <w:pageBreakBefore w:val="0"/>
        <w:kinsoku/>
        <w:wordWrap/>
        <w:overflowPunct/>
        <w:topLinePunct w:val="0"/>
        <w:bidi w:val="0"/>
        <w:spacing w:line="592" w:lineRule="exact"/>
        <w:ind w:firstLine="640" w:firstLineChars="200"/>
        <w:textAlignment w:val="auto"/>
        <w:outlineLvl w:val="1"/>
        <w:rPr>
          <w:rFonts w:ascii="Times New Roman" w:hAnsi="Times New Roman" w:eastAsia="仿宋"/>
          <w:sz w:val="32"/>
          <w:szCs w:val="32"/>
        </w:rPr>
      </w:pPr>
      <w:r>
        <w:rPr>
          <w:rFonts w:hint="eastAsia" w:ascii="Times New Roman" w:hAnsi="Times New Roman" w:eastAsia="仿宋"/>
          <w:sz w:val="32"/>
          <w:szCs w:val="32"/>
        </w:rPr>
        <w:t>2023年度本年收入合计</w:t>
      </w:r>
      <w:r>
        <w:rPr>
          <w:rFonts w:ascii="Times New Roman" w:hAnsi="Times New Roman" w:eastAsia="仿宋"/>
          <w:b/>
          <w:sz w:val="32"/>
          <w:szCs w:val="32"/>
        </w:rPr>
        <w:t>496.5</w:t>
      </w:r>
      <w:r>
        <w:rPr>
          <w:rFonts w:hint="eastAsia" w:ascii="Times New Roman" w:hAnsi="Times New Roman" w:eastAsia="仿宋"/>
          <w:sz w:val="32"/>
          <w:szCs w:val="32"/>
        </w:rPr>
        <w:t>万元，其中：一般公共预算财政拨款收入</w:t>
      </w:r>
      <w:r>
        <w:rPr>
          <w:rFonts w:ascii="Times New Roman" w:hAnsi="Times New Roman" w:eastAsia="仿宋"/>
          <w:b/>
          <w:sz w:val="32"/>
          <w:szCs w:val="32"/>
        </w:rPr>
        <w:t>496.5</w:t>
      </w:r>
      <w:r>
        <w:rPr>
          <w:rFonts w:hint="eastAsia" w:ascii="Times New Roman" w:hAnsi="Times New Roman" w:eastAsia="仿宋"/>
          <w:sz w:val="32"/>
          <w:szCs w:val="32"/>
        </w:rPr>
        <w:t>万元，占</w:t>
      </w:r>
      <w:r>
        <w:rPr>
          <w:rFonts w:ascii="Times New Roman" w:hAnsi="Times New Roman" w:eastAsia="仿宋"/>
          <w:b/>
          <w:sz w:val="32"/>
          <w:szCs w:val="32"/>
        </w:rPr>
        <w:t>100%</w:t>
      </w:r>
      <w:r>
        <w:rPr>
          <w:rFonts w:hint="eastAsia" w:ascii="Times New Roman" w:hAnsi="Times New Roman" w:eastAsia="仿宋"/>
          <w:sz w:val="32"/>
          <w:szCs w:val="32"/>
        </w:rPr>
        <w:t>；政府性基金预算财政拨款收入</w:t>
      </w:r>
      <w:r>
        <w:rPr>
          <w:rFonts w:ascii="Times New Roman" w:hAnsi="Times New Roman" w:eastAsia="仿宋"/>
          <w:b/>
          <w:sz w:val="32"/>
          <w:szCs w:val="32"/>
        </w:rPr>
        <w:t>0</w:t>
      </w:r>
      <w:r>
        <w:rPr>
          <w:rFonts w:hint="eastAsia" w:ascii="Times New Roman" w:hAnsi="Times New Roman" w:eastAsia="仿宋"/>
          <w:sz w:val="32"/>
          <w:szCs w:val="32"/>
        </w:rPr>
        <w:t>万元，占</w:t>
      </w:r>
      <w:r>
        <w:rPr>
          <w:rFonts w:ascii="Times New Roman" w:hAnsi="Times New Roman" w:eastAsia="仿宋"/>
          <w:b/>
          <w:sz w:val="32"/>
          <w:szCs w:val="32"/>
        </w:rPr>
        <w:t>0</w:t>
      </w:r>
      <w:r>
        <w:rPr>
          <w:rFonts w:ascii="Times New Roman" w:hAnsi="Times New Roman" w:eastAsia="仿宋"/>
          <w:sz w:val="32"/>
          <w:szCs w:val="32"/>
        </w:rPr>
        <w:t>%</w:t>
      </w:r>
      <w:r>
        <w:rPr>
          <w:rFonts w:hint="eastAsia" w:ascii="Times New Roman" w:hAnsi="Times New Roman" w:eastAsia="仿宋"/>
          <w:sz w:val="32"/>
          <w:szCs w:val="32"/>
        </w:rPr>
        <w:t>；国有资本经营预算财政拨款收入</w:t>
      </w:r>
      <w:r>
        <w:rPr>
          <w:rFonts w:ascii="Times New Roman" w:hAnsi="Times New Roman" w:eastAsia="仿宋"/>
          <w:b/>
          <w:sz w:val="32"/>
          <w:szCs w:val="32"/>
        </w:rPr>
        <w:t>0</w:t>
      </w:r>
      <w:r>
        <w:rPr>
          <w:rFonts w:hint="eastAsia" w:ascii="Times New Roman" w:hAnsi="Times New Roman" w:eastAsia="仿宋"/>
          <w:sz w:val="32"/>
          <w:szCs w:val="32"/>
        </w:rPr>
        <w:t>万元，占</w:t>
      </w:r>
      <w:r>
        <w:rPr>
          <w:rFonts w:ascii="Times New Roman" w:hAnsi="Times New Roman" w:eastAsia="仿宋"/>
          <w:b/>
          <w:sz w:val="32"/>
          <w:szCs w:val="32"/>
        </w:rPr>
        <w:t>0</w:t>
      </w:r>
      <w:r>
        <w:rPr>
          <w:rFonts w:ascii="Times New Roman" w:hAnsi="Times New Roman" w:eastAsia="仿宋"/>
          <w:sz w:val="32"/>
          <w:szCs w:val="32"/>
        </w:rPr>
        <w:t>%</w:t>
      </w:r>
      <w:r>
        <w:rPr>
          <w:rFonts w:hint="eastAsia" w:ascii="Times New Roman" w:hAnsi="Times New Roman" w:eastAsia="仿宋"/>
          <w:sz w:val="32"/>
          <w:szCs w:val="32"/>
        </w:rPr>
        <w:t>；上级补助收入</w:t>
      </w:r>
      <w:r>
        <w:rPr>
          <w:rFonts w:ascii="Times New Roman" w:hAnsi="Times New Roman" w:eastAsia="仿宋"/>
          <w:b/>
          <w:sz w:val="32"/>
          <w:szCs w:val="32"/>
        </w:rPr>
        <w:t>0</w:t>
      </w:r>
      <w:r>
        <w:rPr>
          <w:rFonts w:hint="eastAsia" w:ascii="Times New Roman" w:hAnsi="Times New Roman" w:eastAsia="仿宋"/>
          <w:sz w:val="32"/>
          <w:szCs w:val="32"/>
        </w:rPr>
        <w:t>万元，占</w:t>
      </w:r>
      <w:r>
        <w:rPr>
          <w:rFonts w:ascii="Times New Roman" w:hAnsi="Times New Roman" w:eastAsia="仿宋"/>
          <w:sz w:val="32"/>
          <w:szCs w:val="32"/>
        </w:rPr>
        <w:t>0%</w:t>
      </w:r>
      <w:r>
        <w:rPr>
          <w:rFonts w:hint="eastAsia" w:ascii="Times New Roman" w:hAnsi="Times New Roman" w:eastAsia="仿宋"/>
          <w:sz w:val="32"/>
          <w:szCs w:val="32"/>
        </w:rPr>
        <w:t>；事业收入</w:t>
      </w:r>
      <w:r>
        <w:rPr>
          <w:rFonts w:ascii="Times New Roman" w:hAnsi="Times New Roman" w:eastAsia="仿宋"/>
          <w:b/>
          <w:sz w:val="32"/>
          <w:szCs w:val="32"/>
        </w:rPr>
        <w:t>0</w:t>
      </w:r>
      <w:r>
        <w:rPr>
          <w:rFonts w:hint="eastAsia" w:ascii="Times New Roman" w:hAnsi="Times New Roman" w:eastAsia="仿宋"/>
          <w:sz w:val="32"/>
          <w:szCs w:val="32"/>
        </w:rPr>
        <w:t>万元，占</w:t>
      </w:r>
      <w:r>
        <w:rPr>
          <w:rFonts w:ascii="Times New Roman" w:hAnsi="Times New Roman" w:eastAsia="仿宋"/>
          <w:b/>
          <w:sz w:val="32"/>
          <w:szCs w:val="32"/>
        </w:rPr>
        <w:t>0</w:t>
      </w:r>
      <w:r>
        <w:rPr>
          <w:rFonts w:ascii="Times New Roman" w:hAnsi="Times New Roman" w:eastAsia="仿宋"/>
          <w:sz w:val="32"/>
          <w:szCs w:val="32"/>
        </w:rPr>
        <w:t>%</w:t>
      </w:r>
      <w:r>
        <w:rPr>
          <w:rFonts w:hint="eastAsia" w:ascii="Times New Roman" w:hAnsi="Times New Roman" w:eastAsia="仿宋"/>
          <w:sz w:val="32"/>
          <w:szCs w:val="32"/>
        </w:rPr>
        <w:t>；经营收入</w:t>
      </w:r>
      <w:r>
        <w:rPr>
          <w:rFonts w:ascii="Times New Roman" w:hAnsi="Times New Roman" w:eastAsia="仿宋"/>
          <w:b/>
          <w:sz w:val="32"/>
          <w:szCs w:val="32"/>
        </w:rPr>
        <w:t>0</w:t>
      </w:r>
      <w:r>
        <w:rPr>
          <w:rFonts w:hint="eastAsia" w:ascii="Times New Roman" w:hAnsi="Times New Roman" w:eastAsia="仿宋"/>
          <w:sz w:val="32"/>
          <w:szCs w:val="32"/>
        </w:rPr>
        <w:t>万元，占</w:t>
      </w:r>
      <w:r>
        <w:rPr>
          <w:rFonts w:ascii="Times New Roman" w:hAnsi="Times New Roman" w:eastAsia="仿宋"/>
          <w:b/>
          <w:sz w:val="32"/>
          <w:szCs w:val="32"/>
        </w:rPr>
        <w:t>0</w:t>
      </w:r>
      <w:r>
        <w:rPr>
          <w:rFonts w:ascii="Times New Roman" w:hAnsi="Times New Roman" w:eastAsia="仿宋"/>
          <w:sz w:val="32"/>
          <w:szCs w:val="32"/>
        </w:rPr>
        <w:t>%</w:t>
      </w:r>
      <w:r>
        <w:rPr>
          <w:rFonts w:hint="eastAsia" w:ascii="Times New Roman" w:hAnsi="Times New Roman" w:eastAsia="仿宋"/>
          <w:sz w:val="32"/>
          <w:szCs w:val="32"/>
        </w:rPr>
        <w:t>；附属单位上缴收入</w:t>
      </w:r>
      <w:r>
        <w:rPr>
          <w:rFonts w:ascii="Times New Roman" w:hAnsi="Times New Roman" w:eastAsia="仿宋"/>
          <w:b/>
          <w:sz w:val="32"/>
          <w:szCs w:val="32"/>
        </w:rPr>
        <w:t>0</w:t>
      </w:r>
      <w:r>
        <w:rPr>
          <w:rFonts w:hint="eastAsia" w:ascii="Times New Roman" w:hAnsi="Times New Roman" w:eastAsia="仿宋"/>
          <w:sz w:val="32"/>
          <w:szCs w:val="32"/>
        </w:rPr>
        <w:t>万元，占</w:t>
      </w:r>
      <w:r>
        <w:rPr>
          <w:rFonts w:ascii="Times New Roman" w:hAnsi="Times New Roman" w:eastAsia="仿宋"/>
          <w:b/>
          <w:sz w:val="32"/>
          <w:szCs w:val="32"/>
        </w:rPr>
        <w:t>0</w:t>
      </w:r>
      <w:r>
        <w:rPr>
          <w:rFonts w:ascii="Times New Roman" w:hAnsi="Times New Roman" w:eastAsia="仿宋"/>
          <w:sz w:val="32"/>
          <w:szCs w:val="32"/>
        </w:rPr>
        <w:t>%</w:t>
      </w:r>
      <w:r>
        <w:rPr>
          <w:rFonts w:hint="eastAsia" w:ascii="Times New Roman" w:hAnsi="Times New Roman" w:eastAsia="仿宋"/>
          <w:sz w:val="32"/>
          <w:szCs w:val="32"/>
        </w:rPr>
        <w:t>；其他收入</w:t>
      </w:r>
      <w:r>
        <w:rPr>
          <w:rFonts w:ascii="Times New Roman" w:hAnsi="Times New Roman" w:eastAsia="仿宋"/>
          <w:b/>
          <w:sz w:val="32"/>
          <w:szCs w:val="32"/>
        </w:rPr>
        <w:t>0</w:t>
      </w:r>
      <w:r>
        <w:rPr>
          <w:rFonts w:hint="eastAsia" w:ascii="Times New Roman" w:hAnsi="Times New Roman" w:eastAsia="仿宋"/>
          <w:sz w:val="32"/>
          <w:szCs w:val="32"/>
        </w:rPr>
        <w:t>万元，占</w:t>
      </w:r>
      <w:r>
        <w:rPr>
          <w:rFonts w:ascii="Times New Roman" w:hAnsi="Times New Roman" w:eastAsia="仿宋"/>
          <w:b/>
          <w:sz w:val="32"/>
          <w:szCs w:val="32"/>
        </w:rPr>
        <w:t>0</w:t>
      </w:r>
      <w:r>
        <w:rPr>
          <w:rFonts w:ascii="Times New Roman" w:hAnsi="Times New Roman" w:eastAsia="仿宋"/>
          <w:sz w:val="32"/>
          <w:szCs w:val="32"/>
        </w:rPr>
        <w:t>%</w:t>
      </w:r>
    </w:p>
    <w:p>
      <w:pPr>
        <w:pageBreakBefore w:val="0"/>
        <w:kinsoku/>
        <w:wordWrap/>
        <w:overflowPunct/>
        <w:topLinePunct w:val="0"/>
        <w:bidi w:val="0"/>
        <w:spacing w:line="592" w:lineRule="exact"/>
        <w:ind w:firstLine="640" w:firstLineChars="200"/>
        <w:textAlignment w:val="auto"/>
        <w:rPr>
          <w:rFonts w:ascii="Times New Roman" w:hAnsi="Times New Roman" w:eastAsia="仿宋"/>
          <w:sz w:val="32"/>
          <w:szCs w:val="32"/>
        </w:rPr>
      </w:pPr>
      <w:r>
        <w:rPr>
          <w:rFonts w:hint="eastAsia" w:ascii="Times New Roman" w:hAnsi="Times New Roman" w:eastAsia="仿宋"/>
          <w:sz w:val="32"/>
          <w:szCs w:val="32"/>
        </w:rPr>
        <w:t>（图2：收入决算结构图）（饼状图）</w:t>
      </w:r>
    </w:p>
    <w:p>
      <w:pPr>
        <w:pStyle w:val="2"/>
        <w:rPr>
          <w:rFonts w:ascii="Times New Roman" w:hAnsi="Times New Roman" w:eastAsia="仿宋_GB2312"/>
          <w:sz w:val="32"/>
          <w:szCs w:val="32"/>
        </w:rPr>
      </w:pPr>
      <w:r>
        <w:rPr>
          <w:rFonts w:hint="eastAsia" w:ascii="Times New Roman" w:hAnsi="Times New Roman" w:eastAsia="仿宋_GB2312"/>
          <w:sz w:val="32"/>
          <w:szCs w:val="32"/>
          <w:lang w:eastAsia="zh-CN"/>
        </w:rPr>
        <w:drawing>
          <wp:inline distT="0" distB="0" distL="114300" distR="114300">
            <wp:extent cx="5256530" cy="2988310"/>
            <wp:effectExtent l="5080" t="4445" r="15240" b="171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
      </w:pPr>
    </w:p>
    <w:p>
      <w:pPr>
        <w:pStyle w:val="27"/>
        <w:pageBreakBefore w:val="0"/>
        <w:numPr>
          <w:ilvl w:val="0"/>
          <w:numId w:val="2"/>
        </w:numPr>
        <w:kinsoku/>
        <w:wordWrap/>
        <w:overflowPunct/>
        <w:topLinePunct w:val="0"/>
        <w:bidi w:val="0"/>
        <w:spacing w:line="592" w:lineRule="exact"/>
        <w:ind w:firstLineChars="0"/>
        <w:textAlignment w:val="auto"/>
        <w:outlineLvl w:val="1"/>
        <w:rPr>
          <w:rStyle w:val="29"/>
          <w:rFonts w:ascii="Times New Roman" w:hAnsi="Times New Roman" w:eastAsia="黑体"/>
          <w:b w:val="0"/>
        </w:rPr>
      </w:pPr>
      <w:bookmarkStart w:id="22" w:name="_Toc15377207"/>
      <w:bookmarkStart w:id="23" w:name="_Toc15396605"/>
      <w:r>
        <w:rPr>
          <w:rFonts w:hint="eastAsia" w:ascii="Times New Roman" w:hAnsi="Times New Roman" w:eastAsia="黑体"/>
          <w:sz w:val="32"/>
          <w:szCs w:val="32"/>
        </w:rPr>
        <w:t>支</w:t>
      </w:r>
      <w:r>
        <w:rPr>
          <w:rStyle w:val="29"/>
          <w:rFonts w:hint="eastAsia" w:ascii="Times New Roman" w:hAnsi="Times New Roman" w:eastAsia="黑体"/>
          <w:b w:val="0"/>
        </w:rPr>
        <w:t>出决算情况说明</w:t>
      </w:r>
      <w:bookmarkEnd w:id="22"/>
      <w:bookmarkEnd w:id="23"/>
    </w:p>
    <w:p>
      <w:pPr>
        <w:pageBreakBefore w:val="0"/>
        <w:kinsoku/>
        <w:wordWrap/>
        <w:overflowPunct/>
        <w:topLinePunct w:val="0"/>
        <w:bidi w:val="0"/>
        <w:spacing w:line="592" w:lineRule="exact"/>
        <w:ind w:firstLine="640" w:firstLineChars="200"/>
        <w:textAlignment w:val="auto"/>
        <w:outlineLvl w:val="1"/>
        <w:rPr>
          <w:rFonts w:ascii="Times New Roman" w:hAnsi="Times New Roman" w:eastAsia="仿宋"/>
          <w:sz w:val="32"/>
          <w:szCs w:val="32"/>
        </w:rPr>
      </w:pPr>
      <w:r>
        <w:rPr>
          <w:rFonts w:hint="eastAsia" w:ascii="Times New Roman" w:hAnsi="Times New Roman" w:eastAsia="仿宋"/>
          <w:sz w:val="32"/>
          <w:szCs w:val="32"/>
        </w:rPr>
        <w:t>2023年度本年支出合计</w:t>
      </w:r>
      <w:r>
        <w:rPr>
          <w:rFonts w:ascii="Times New Roman" w:hAnsi="Times New Roman" w:eastAsia="仿宋"/>
          <w:b/>
          <w:sz w:val="32"/>
          <w:szCs w:val="32"/>
        </w:rPr>
        <w:t>496.5</w:t>
      </w:r>
      <w:r>
        <w:rPr>
          <w:rFonts w:hint="eastAsia" w:ascii="Times New Roman" w:hAnsi="Times New Roman" w:eastAsia="仿宋"/>
          <w:sz w:val="32"/>
          <w:szCs w:val="32"/>
        </w:rPr>
        <w:t>万元，其中：基本支出</w:t>
      </w:r>
      <w:r>
        <w:rPr>
          <w:rFonts w:ascii="Times New Roman" w:hAnsi="Times New Roman" w:eastAsia="仿宋"/>
          <w:b/>
          <w:sz w:val="32"/>
          <w:szCs w:val="32"/>
        </w:rPr>
        <w:t>206.46</w:t>
      </w:r>
      <w:r>
        <w:rPr>
          <w:rFonts w:hint="eastAsia" w:ascii="Times New Roman" w:hAnsi="Times New Roman" w:eastAsia="仿宋"/>
          <w:sz w:val="32"/>
          <w:szCs w:val="32"/>
        </w:rPr>
        <w:t>万元，占</w:t>
      </w:r>
      <w:r>
        <w:rPr>
          <w:rFonts w:ascii="Times New Roman" w:hAnsi="Times New Roman" w:eastAsia="仿宋"/>
          <w:b/>
          <w:sz w:val="32"/>
          <w:szCs w:val="32"/>
        </w:rPr>
        <w:t>41.58</w:t>
      </w:r>
      <w:r>
        <w:rPr>
          <w:rFonts w:ascii="Times New Roman" w:hAnsi="Times New Roman" w:eastAsia="仿宋"/>
          <w:sz w:val="32"/>
          <w:szCs w:val="32"/>
        </w:rPr>
        <w:t>%</w:t>
      </w:r>
      <w:r>
        <w:rPr>
          <w:rFonts w:hint="eastAsia" w:ascii="Times New Roman" w:hAnsi="Times New Roman" w:eastAsia="仿宋"/>
          <w:sz w:val="32"/>
          <w:szCs w:val="32"/>
        </w:rPr>
        <w:t>；项目支出</w:t>
      </w:r>
      <w:r>
        <w:rPr>
          <w:rFonts w:ascii="Times New Roman" w:hAnsi="Times New Roman" w:eastAsia="仿宋"/>
          <w:b/>
          <w:sz w:val="32"/>
          <w:szCs w:val="32"/>
        </w:rPr>
        <w:t>290.05</w:t>
      </w:r>
      <w:r>
        <w:rPr>
          <w:rFonts w:hint="eastAsia" w:ascii="Times New Roman" w:hAnsi="Times New Roman" w:eastAsia="仿宋"/>
          <w:sz w:val="32"/>
          <w:szCs w:val="32"/>
        </w:rPr>
        <w:t>万元，占</w:t>
      </w:r>
      <w:r>
        <w:rPr>
          <w:rFonts w:ascii="Times New Roman" w:hAnsi="Times New Roman" w:eastAsia="仿宋"/>
          <w:b/>
          <w:sz w:val="32"/>
          <w:szCs w:val="32"/>
        </w:rPr>
        <w:t>58.41</w:t>
      </w:r>
      <w:r>
        <w:rPr>
          <w:rFonts w:ascii="Times New Roman" w:hAnsi="Times New Roman" w:eastAsia="仿宋"/>
          <w:sz w:val="32"/>
          <w:szCs w:val="32"/>
        </w:rPr>
        <w:t>%</w:t>
      </w:r>
      <w:r>
        <w:rPr>
          <w:rFonts w:hint="eastAsia" w:ascii="Times New Roman" w:hAnsi="Times New Roman" w:eastAsia="仿宋"/>
          <w:sz w:val="32"/>
          <w:szCs w:val="32"/>
        </w:rPr>
        <w:t>；上缴上级支出</w:t>
      </w:r>
      <w:r>
        <w:rPr>
          <w:rFonts w:ascii="Times New Roman" w:hAnsi="Times New Roman" w:eastAsia="仿宋"/>
          <w:b/>
          <w:sz w:val="32"/>
          <w:szCs w:val="32"/>
        </w:rPr>
        <w:t>0</w:t>
      </w:r>
      <w:r>
        <w:rPr>
          <w:rFonts w:hint="eastAsia" w:ascii="Times New Roman" w:hAnsi="Times New Roman" w:eastAsia="仿宋"/>
          <w:sz w:val="32"/>
          <w:szCs w:val="32"/>
        </w:rPr>
        <w:t>万元，占</w:t>
      </w:r>
      <w:r>
        <w:rPr>
          <w:rFonts w:hint="eastAsia" w:ascii="Times New Roman" w:hAnsi="Times New Roman" w:eastAsia="仿宋"/>
          <w:b/>
          <w:sz w:val="32"/>
          <w:szCs w:val="32"/>
        </w:rPr>
        <w:t>0</w:t>
      </w:r>
      <w:r>
        <w:rPr>
          <w:rFonts w:ascii="Times New Roman" w:hAnsi="Times New Roman" w:eastAsia="仿宋"/>
          <w:sz w:val="32"/>
          <w:szCs w:val="32"/>
        </w:rPr>
        <w:t>%</w:t>
      </w:r>
      <w:r>
        <w:rPr>
          <w:rFonts w:hint="eastAsia" w:ascii="Times New Roman" w:hAnsi="Times New Roman" w:eastAsia="仿宋"/>
          <w:sz w:val="32"/>
          <w:szCs w:val="32"/>
        </w:rPr>
        <w:t>；经营支出</w:t>
      </w:r>
      <w:r>
        <w:rPr>
          <w:rFonts w:ascii="Times New Roman" w:hAnsi="Times New Roman" w:eastAsia="仿宋"/>
          <w:b/>
          <w:sz w:val="32"/>
          <w:szCs w:val="32"/>
        </w:rPr>
        <w:t>0</w:t>
      </w:r>
      <w:r>
        <w:rPr>
          <w:rFonts w:hint="eastAsia" w:ascii="Times New Roman" w:hAnsi="Times New Roman" w:eastAsia="仿宋"/>
          <w:sz w:val="32"/>
          <w:szCs w:val="32"/>
        </w:rPr>
        <w:t>万元，占</w:t>
      </w:r>
      <w:r>
        <w:rPr>
          <w:rFonts w:ascii="Times New Roman" w:hAnsi="Times New Roman" w:eastAsia="仿宋"/>
          <w:b/>
          <w:sz w:val="32"/>
          <w:szCs w:val="32"/>
        </w:rPr>
        <w:t>0</w:t>
      </w:r>
      <w:r>
        <w:rPr>
          <w:rFonts w:ascii="Times New Roman" w:hAnsi="Times New Roman" w:eastAsia="仿宋"/>
          <w:sz w:val="32"/>
          <w:szCs w:val="32"/>
        </w:rPr>
        <w:t>%</w:t>
      </w:r>
      <w:r>
        <w:rPr>
          <w:rFonts w:hint="eastAsia" w:ascii="Times New Roman" w:hAnsi="Times New Roman" w:eastAsia="仿宋"/>
          <w:sz w:val="32"/>
          <w:szCs w:val="32"/>
        </w:rPr>
        <w:t>；对附属单位补助支出</w:t>
      </w:r>
      <w:r>
        <w:rPr>
          <w:rFonts w:ascii="Times New Roman" w:hAnsi="Times New Roman" w:eastAsia="仿宋"/>
          <w:b/>
          <w:sz w:val="32"/>
          <w:szCs w:val="32"/>
        </w:rPr>
        <w:t>0</w:t>
      </w:r>
      <w:r>
        <w:rPr>
          <w:rFonts w:hint="eastAsia" w:ascii="Times New Roman" w:hAnsi="Times New Roman" w:eastAsia="仿宋"/>
          <w:sz w:val="32"/>
          <w:szCs w:val="32"/>
        </w:rPr>
        <w:t>万元，占</w:t>
      </w:r>
      <w:r>
        <w:rPr>
          <w:rFonts w:ascii="Times New Roman" w:hAnsi="Times New Roman" w:eastAsia="仿宋"/>
          <w:b/>
          <w:sz w:val="32"/>
          <w:szCs w:val="32"/>
        </w:rPr>
        <w:t>0</w:t>
      </w:r>
      <w:r>
        <w:rPr>
          <w:rFonts w:ascii="Times New Roman" w:hAnsi="Times New Roman" w:eastAsia="仿宋"/>
          <w:sz w:val="32"/>
          <w:szCs w:val="32"/>
        </w:rPr>
        <w:t>%</w:t>
      </w:r>
      <w:r>
        <w:rPr>
          <w:rFonts w:hint="eastAsia" w:ascii="Times New Roman" w:hAnsi="Times New Roman" w:eastAsia="仿宋"/>
          <w:sz w:val="32"/>
          <w:szCs w:val="32"/>
        </w:rPr>
        <w:t>。</w:t>
      </w:r>
    </w:p>
    <w:p>
      <w:pPr>
        <w:pageBreakBefore w:val="0"/>
        <w:kinsoku/>
        <w:wordWrap/>
        <w:overflowPunct/>
        <w:topLinePunct w:val="0"/>
        <w:bidi w:val="0"/>
        <w:spacing w:line="592" w:lineRule="exact"/>
        <w:ind w:firstLine="640" w:firstLineChars="200"/>
        <w:textAlignment w:val="auto"/>
        <w:rPr>
          <w:rFonts w:ascii="Times New Roman" w:hAnsi="Times New Roman" w:eastAsia="仿宋"/>
          <w:sz w:val="32"/>
          <w:szCs w:val="32"/>
        </w:rPr>
      </w:pPr>
      <w:r>
        <w:rPr>
          <w:rFonts w:hint="eastAsia" w:ascii="Times New Roman" w:hAnsi="Times New Roman" w:eastAsia="仿宋"/>
          <w:sz w:val="32"/>
          <w:szCs w:val="32"/>
        </w:rPr>
        <w:t>（图3：支出决算结构图）（饼状图）</w:t>
      </w:r>
    </w:p>
    <w:p>
      <w:pPr>
        <w:pStyle w:val="2"/>
        <w:rPr>
          <w:rFonts w:ascii="Times New Roman" w:hAnsi="Times New Roman" w:eastAsia="仿宋_GB2312"/>
          <w:sz w:val="32"/>
          <w:szCs w:val="32"/>
        </w:rPr>
      </w:pPr>
      <w:r>
        <w:rPr>
          <w:rFonts w:hint="eastAsia" w:ascii="Times New Roman" w:hAnsi="Times New Roman" w:eastAsia="仿宋_GB2312"/>
          <w:sz w:val="32"/>
          <w:szCs w:val="32"/>
          <w:lang w:eastAsia="zh-CN"/>
        </w:rPr>
        <w:drawing>
          <wp:inline distT="0" distB="0" distL="114300" distR="114300">
            <wp:extent cx="5256530" cy="2988310"/>
            <wp:effectExtent l="5080" t="4445" r="15240" b="1714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ageBreakBefore w:val="0"/>
        <w:kinsoku/>
        <w:wordWrap/>
        <w:overflowPunct/>
        <w:topLinePunct w:val="0"/>
        <w:bidi w:val="0"/>
        <w:spacing w:line="592" w:lineRule="exact"/>
        <w:ind w:firstLine="640" w:firstLineChars="200"/>
        <w:textAlignment w:val="auto"/>
        <w:outlineLvl w:val="1"/>
        <w:rPr>
          <w:rStyle w:val="29"/>
          <w:rFonts w:ascii="Times New Roman" w:hAnsi="Times New Roman" w:eastAsia="黑体"/>
          <w:b w:val="0"/>
        </w:rPr>
      </w:pPr>
      <w:bookmarkStart w:id="24" w:name="_Toc15396606"/>
      <w:bookmarkStart w:id="25" w:name="_Toc15377208"/>
      <w:r>
        <w:rPr>
          <w:rFonts w:hint="eastAsia" w:ascii="Times New Roman" w:hAnsi="Times New Roman" w:eastAsia="黑体"/>
          <w:sz w:val="32"/>
          <w:szCs w:val="32"/>
        </w:rPr>
        <w:t>四、财</w:t>
      </w:r>
      <w:r>
        <w:rPr>
          <w:rStyle w:val="29"/>
          <w:rFonts w:hint="eastAsia" w:ascii="Times New Roman" w:hAnsi="Times New Roman" w:eastAsia="黑体"/>
          <w:b w:val="0"/>
        </w:rPr>
        <w:t>政拨款收入支出决算总体情况说明</w:t>
      </w:r>
      <w:bookmarkEnd w:id="24"/>
      <w:bookmarkEnd w:id="25"/>
    </w:p>
    <w:p>
      <w:pPr>
        <w:pageBreakBefore w:val="0"/>
        <w:kinsoku/>
        <w:wordWrap/>
        <w:overflowPunct/>
        <w:topLinePunct w:val="0"/>
        <w:bidi w:val="0"/>
        <w:spacing w:line="592" w:lineRule="exact"/>
        <w:ind w:firstLine="640" w:firstLineChars="200"/>
        <w:textAlignment w:val="auto"/>
        <w:rPr>
          <w:rFonts w:hint="eastAsia" w:eastAsia="仿宋"/>
          <w:sz w:val="32"/>
          <w:szCs w:val="32"/>
          <w:highlight w:val="none"/>
          <w:lang w:val="en-US" w:eastAsia="zh-CN"/>
        </w:rPr>
      </w:pPr>
      <w:r>
        <w:rPr>
          <w:rFonts w:hint="eastAsia" w:ascii="Times New Roman" w:hAnsi="Times New Roman" w:eastAsia="仿宋"/>
          <w:sz w:val="32"/>
          <w:szCs w:val="32"/>
        </w:rPr>
        <w:t>2023年度财政拨款收、支总计均为</w:t>
      </w:r>
      <w:r>
        <w:rPr>
          <w:rFonts w:ascii="Times New Roman" w:hAnsi="Times New Roman" w:eastAsia="仿宋"/>
          <w:b/>
          <w:sz w:val="32"/>
          <w:szCs w:val="32"/>
        </w:rPr>
        <w:t>496.5</w:t>
      </w:r>
      <w:r>
        <w:rPr>
          <w:rFonts w:hint="eastAsia" w:ascii="Times New Roman" w:hAnsi="Times New Roman" w:eastAsia="仿宋"/>
          <w:sz w:val="32"/>
          <w:szCs w:val="32"/>
        </w:rPr>
        <w:t>万元。与2022年度相比，财政拨款收、支总计各增加</w:t>
      </w:r>
      <w:r>
        <w:rPr>
          <w:rFonts w:hint="eastAsia" w:eastAsia="仿宋"/>
          <w:sz w:val="32"/>
          <w:szCs w:val="32"/>
          <w:lang w:val="en-US" w:eastAsia="zh-CN"/>
        </w:rPr>
        <w:t>66.63</w:t>
      </w:r>
      <w:r>
        <w:rPr>
          <w:rFonts w:hint="eastAsia" w:ascii="Times New Roman" w:hAnsi="Times New Roman" w:eastAsia="仿宋"/>
          <w:sz w:val="32"/>
          <w:szCs w:val="32"/>
        </w:rPr>
        <w:t>万元，增长</w:t>
      </w:r>
      <w:r>
        <w:rPr>
          <w:rFonts w:hint="eastAsia" w:eastAsia="仿宋"/>
          <w:sz w:val="32"/>
          <w:szCs w:val="32"/>
          <w:lang w:val="en-US" w:eastAsia="zh-CN"/>
        </w:rPr>
        <w:t>15.5</w:t>
      </w:r>
      <w:r>
        <w:rPr>
          <w:rFonts w:ascii="Times New Roman" w:hAnsi="Times New Roman" w:eastAsia="仿宋"/>
          <w:sz w:val="32"/>
          <w:szCs w:val="32"/>
        </w:rPr>
        <w:t>%</w:t>
      </w:r>
      <w:r>
        <w:rPr>
          <w:rFonts w:hint="eastAsia" w:ascii="Times New Roman" w:hAnsi="Times New Roman" w:eastAsia="仿宋"/>
          <w:sz w:val="32"/>
          <w:szCs w:val="32"/>
        </w:rPr>
        <w:t>。主要变动原</w:t>
      </w:r>
      <w:r>
        <w:rPr>
          <w:rFonts w:hint="eastAsia" w:ascii="Times New Roman" w:hAnsi="Times New Roman" w:eastAsia="仿宋"/>
          <w:sz w:val="32"/>
          <w:szCs w:val="32"/>
          <w:highlight w:val="none"/>
        </w:rPr>
        <w:t>因是</w:t>
      </w:r>
      <w:r>
        <w:rPr>
          <w:rFonts w:hint="eastAsia" w:eastAsia="仿宋"/>
          <w:sz w:val="32"/>
          <w:szCs w:val="32"/>
          <w:highlight w:val="none"/>
          <w:lang w:val="en-US" w:eastAsia="zh-CN"/>
        </w:rPr>
        <w:t>防控疫情期间多项工作开展受阻，随着疫情政策调整，为促进经济复苏，主动加大对银行业金融机构的信贷投放指导力度，积极为实体经济提供金融活水，各项费用较疫情防控期间，有所增加。</w:t>
      </w:r>
    </w:p>
    <w:p>
      <w:pPr>
        <w:pageBreakBefore w:val="0"/>
        <w:kinsoku/>
        <w:wordWrap/>
        <w:overflowPunct/>
        <w:topLinePunct w:val="0"/>
        <w:bidi w:val="0"/>
        <w:spacing w:line="592" w:lineRule="exact"/>
        <w:textAlignment w:val="auto"/>
        <w:rPr>
          <w:rFonts w:ascii="Times New Roman" w:hAnsi="Times New Roman" w:eastAsia="仿宋"/>
          <w:sz w:val="32"/>
          <w:szCs w:val="32"/>
        </w:rPr>
      </w:pPr>
      <w:r>
        <w:rPr>
          <w:rFonts w:hint="eastAsia" w:ascii="Times New Roman" w:hAnsi="Times New Roman" w:eastAsia="仿宋"/>
          <w:sz w:val="32"/>
          <w:szCs w:val="32"/>
        </w:rPr>
        <w:t>（图4：财政拨款收、支决算总计变动情况）（柱状图）</w:t>
      </w:r>
    </w:p>
    <w:p>
      <w:pPr>
        <w:rPr>
          <w:rFonts w:ascii="Times New Roman" w:hAnsi="Times New Roman" w:eastAsia="仿宋"/>
          <w:b/>
          <w:sz w:val="32"/>
          <w:szCs w:val="32"/>
        </w:rPr>
      </w:pPr>
      <w:r>
        <w:rPr>
          <w:rFonts w:hint="eastAsia" w:ascii="Times New Roman" w:hAnsi="Times New Roman" w:eastAsia="仿宋_GB2312"/>
          <w:sz w:val="32"/>
          <w:szCs w:val="32"/>
          <w:lang w:eastAsia="zh-CN"/>
        </w:rPr>
        <w:drawing>
          <wp:inline distT="0" distB="0" distL="114300" distR="114300">
            <wp:extent cx="4878705" cy="2740025"/>
            <wp:effectExtent l="4445" t="4445" r="6350" b="1143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ageBreakBefore w:val="0"/>
        <w:kinsoku/>
        <w:wordWrap/>
        <w:overflowPunct/>
        <w:topLinePunct w:val="0"/>
        <w:bidi w:val="0"/>
        <w:spacing w:line="592" w:lineRule="exact"/>
        <w:ind w:firstLine="640" w:firstLineChars="200"/>
        <w:textAlignment w:val="auto"/>
        <w:outlineLvl w:val="1"/>
        <w:rPr>
          <w:rStyle w:val="29"/>
          <w:rFonts w:ascii="Times New Roman" w:hAnsi="Times New Roman" w:eastAsia="黑体"/>
          <w:b w:val="0"/>
        </w:rPr>
      </w:pPr>
      <w:bookmarkStart w:id="26" w:name="_Toc15377209"/>
      <w:bookmarkStart w:id="27" w:name="_Toc15396607"/>
      <w:r>
        <w:rPr>
          <w:rFonts w:hint="eastAsia" w:ascii="Times New Roman" w:hAnsi="Times New Roman" w:eastAsia="黑体"/>
          <w:sz w:val="32"/>
          <w:szCs w:val="32"/>
        </w:rPr>
        <w:t>五、</w:t>
      </w:r>
      <w:r>
        <w:rPr>
          <w:rFonts w:hint="eastAsia" w:ascii="Times New Roman" w:hAnsi="Times New Roman" w:eastAsia="黑体"/>
          <w:b/>
          <w:sz w:val="32"/>
          <w:szCs w:val="32"/>
        </w:rPr>
        <w:t>一</w:t>
      </w:r>
      <w:r>
        <w:rPr>
          <w:rStyle w:val="29"/>
          <w:rFonts w:hint="eastAsia" w:ascii="Times New Roman" w:hAnsi="Times New Roman" w:eastAsia="黑体"/>
          <w:b w:val="0"/>
        </w:rPr>
        <w:t>般公共预算财政拨款支出决算情况说明</w:t>
      </w:r>
      <w:bookmarkEnd w:id="26"/>
      <w:bookmarkEnd w:id="27"/>
    </w:p>
    <w:p>
      <w:pPr>
        <w:pageBreakBefore w:val="0"/>
        <w:kinsoku/>
        <w:wordWrap/>
        <w:overflowPunct/>
        <w:topLinePunct w:val="0"/>
        <w:bidi w:val="0"/>
        <w:spacing w:line="592" w:lineRule="exact"/>
        <w:ind w:firstLine="642" w:firstLineChars="200"/>
        <w:textAlignment w:val="auto"/>
        <w:outlineLvl w:val="2"/>
        <w:rPr>
          <w:rFonts w:ascii="Times New Roman" w:hAnsi="Times New Roman" w:eastAsia="仿宋"/>
          <w:b/>
          <w:sz w:val="32"/>
          <w:szCs w:val="32"/>
        </w:rPr>
      </w:pPr>
      <w:bookmarkStart w:id="28" w:name="_Toc15377210"/>
      <w:r>
        <w:rPr>
          <w:rFonts w:hint="eastAsia" w:ascii="Times New Roman" w:hAnsi="Times New Roman" w:eastAsia="仿宋"/>
          <w:b/>
          <w:sz w:val="32"/>
          <w:szCs w:val="32"/>
        </w:rPr>
        <w:t>（一）一般公共预算财政拨款支出决算总体情况</w:t>
      </w:r>
      <w:bookmarkEnd w:id="28"/>
    </w:p>
    <w:p>
      <w:pPr>
        <w:pageBreakBefore w:val="0"/>
        <w:kinsoku/>
        <w:wordWrap/>
        <w:overflowPunct/>
        <w:topLinePunct w:val="0"/>
        <w:bidi w:val="0"/>
        <w:spacing w:line="592" w:lineRule="exact"/>
        <w:ind w:firstLine="640" w:firstLineChars="200"/>
        <w:textAlignment w:val="auto"/>
        <w:rPr>
          <w:rFonts w:ascii="Times New Roman" w:hAnsi="Times New Roman" w:eastAsia="仿宋"/>
          <w:sz w:val="32"/>
          <w:szCs w:val="32"/>
          <w:highlight w:val="none"/>
        </w:rPr>
      </w:pPr>
      <w:r>
        <w:rPr>
          <w:rFonts w:hint="eastAsia" w:ascii="Times New Roman" w:hAnsi="Times New Roman" w:eastAsia="仿宋"/>
          <w:sz w:val="32"/>
          <w:szCs w:val="32"/>
        </w:rPr>
        <w:t>2023年度一般公共预算财政拨款支出</w:t>
      </w:r>
      <w:r>
        <w:rPr>
          <w:rFonts w:ascii="Times New Roman" w:hAnsi="Times New Roman" w:eastAsia="仿宋"/>
          <w:b/>
          <w:sz w:val="32"/>
          <w:szCs w:val="32"/>
        </w:rPr>
        <w:t>496.5</w:t>
      </w:r>
      <w:r>
        <w:rPr>
          <w:rFonts w:hint="eastAsia" w:ascii="Times New Roman" w:hAnsi="Times New Roman" w:eastAsia="仿宋"/>
          <w:sz w:val="32"/>
          <w:szCs w:val="32"/>
        </w:rPr>
        <w:t>万元，占本年支出合计的</w:t>
      </w:r>
      <w:r>
        <w:rPr>
          <w:rFonts w:ascii="Times New Roman" w:hAnsi="Times New Roman" w:eastAsia="仿宋"/>
          <w:b/>
          <w:sz w:val="32"/>
          <w:szCs w:val="32"/>
        </w:rPr>
        <w:t>100</w:t>
      </w:r>
      <w:r>
        <w:rPr>
          <w:rFonts w:ascii="Times New Roman" w:hAnsi="Times New Roman" w:eastAsia="仿宋"/>
          <w:sz w:val="32"/>
          <w:szCs w:val="32"/>
        </w:rPr>
        <w:t>%</w:t>
      </w:r>
      <w:r>
        <w:rPr>
          <w:rFonts w:hint="eastAsia" w:ascii="Times New Roman" w:hAnsi="Times New Roman" w:eastAsia="仿宋"/>
          <w:sz w:val="32"/>
          <w:szCs w:val="32"/>
        </w:rPr>
        <w:t>。与2022年度相比，一般公共预算财政拨款支出增加</w:t>
      </w:r>
      <w:r>
        <w:rPr>
          <w:rFonts w:hint="eastAsia" w:eastAsia="仿宋"/>
          <w:sz w:val="32"/>
          <w:szCs w:val="32"/>
          <w:lang w:val="en-US" w:eastAsia="zh-CN"/>
        </w:rPr>
        <w:t>66.63</w:t>
      </w:r>
      <w:r>
        <w:rPr>
          <w:rFonts w:hint="eastAsia" w:ascii="Times New Roman" w:hAnsi="Times New Roman" w:eastAsia="仿宋"/>
          <w:sz w:val="32"/>
          <w:szCs w:val="32"/>
        </w:rPr>
        <w:t>万元，增长</w:t>
      </w:r>
      <w:r>
        <w:rPr>
          <w:rFonts w:hint="eastAsia" w:eastAsia="仿宋"/>
          <w:sz w:val="32"/>
          <w:szCs w:val="32"/>
          <w:lang w:val="en-US" w:eastAsia="zh-CN"/>
        </w:rPr>
        <w:t>15.5</w:t>
      </w:r>
      <w:r>
        <w:rPr>
          <w:rFonts w:ascii="Times New Roman" w:hAnsi="Times New Roman" w:eastAsia="仿宋"/>
          <w:sz w:val="32"/>
          <w:szCs w:val="32"/>
        </w:rPr>
        <w:t>%</w:t>
      </w:r>
      <w:r>
        <w:rPr>
          <w:rFonts w:hint="eastAsia" w:ascii="Times New Roman" w:hAnsi="Times New Roman" w:eastAsia="仿宋"/>
          <w:sz w:val="32"/>
          <w:szCs w:val="32"/>
        </w:rPr>
        <w:t>。主要变动原</w:t>
      </w:r>
      <w:r>
        <w:rPr>
          <w:rFonts w:hint="eastAsia" w:ascii="Times New Roman" w:hAnsi="Times New Roman" w:eastAsia="仿宋"/>
          <w:sz w:val="32"/>
          <w:szCs w:val="32"/>
          <w:highlight w:val="none"/>
        </w:rPr>
        <w:t>因是</w:t>
      </w:r>
      <w:r>
        <w:rPr>
          <w:rFonts w:hint="eastAsia" w:eastAsia="仿宋"/>
          <w:sz w:val="32"/>
          <w:szCs w:val="32"/>
          <w:highlight w:val="none"/>
          <w:lang w:val="en-US" w:eastAsia="zh-CN"/>
        </w:rPr>
        <w:t>防控疫情期间多项工作开展受阻，随着疫情政策调整，为促进经济复苏，主动加大对银行业金融机构的信贷投放指导力度，积极为实体经济提供金融活水，各项费用较疫情防控期间，有所增加。</w:t>
      </w:r>
    </w:p>
    <w:p>
      <w:pPr>
        <w:pageBreakBefore w:val="0"/>
        <w:kinsoku/>
        <w:wordWrap/>
        <w:overflowPunct/>
        <w:topLinePunct w:val="0"/>
        <w:bidi w:val="0"/>
        <w:spacing w:line="592" w:lineRule="exact"/>
        <w:textAlignment w:val="auto"/>
        <w:rPr>
          <w:rFonts w:ascii="Times New Roman" w:hAnsi="Times New Roman" w:eastAsia="仿宋"/>
          <w:sz w:val="32"/>
          <w:szCs w:val="32"/>
        </w:rPr>
      </w:pPr>
      <w:r>
        <w:rPr>
          <w:rFonts w:hint="eastAsia" w:ascii="Times New Roman" w:hAnsi="Times New Roman" w:eastAsia="仿宋"/>
          <w:sz w:val="32"/>
          <w:szCs w:val="32"/>
        </w:rPr>
        <w:t>（图5：一般公共预算财政拨款支出决算变动情况）（柱状图）</w:t>
      </w:r>
    </w:p>
    <w:p>
      <w:pPr>
        <w:pStyle w:val="2"/>
        <w:rPr>
          <w:rFonts w:ascii="Times New Roman" w:hAnsi="Times New Roman" w:eastAsia="仿宋"/>
          <w:sz w:val="32"/>
          <w:szCs w:val="32"/>
        </w:rPr>
      </w:pPr>
      <w:r>
        <w:rPr>
          <w:rFonts w:hint="eastAsia" w:ascii="Times New Roman" w:hAnsi="Times New Roman" w:eastAsia="仿宋_GB2312"/>
          <w:sz w:val="32"/>
          <w:szCs w:val="32"/>
          <w:lang w:eastAsia="zh-CN"/>
        </w:rPr>
        <w:drawing>
          <wp:inline distT="0" distB="0" distL="114300" distR="114300">
            <wp:extent cx="5256530" cy="2988310"/>
            <wp:effectExtent l="5080" t="4445" r="15240" b="1714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2"/>
      </w:pPr>
    </w:p>
    <w:p>
      <w:pPr>
        <w:pageBreakBefore w:val="0"/>
        <w:kinsoku/>
        <w:wordWrap/>
        <w:overflowPunct/>
        <w:topLinePunct w:val="0"/>
        <w:bidi w:val="0"/>
        <w:spacing w:line="592" w:lineRule="exact"/>
        <w:ind w:firstLine="642" w:firstLineChars="200"/>
        <w:textAlignment w:val="auto"/>
        <w:outlineLvl w:val="2"/>
        <w:rPr>
          <w:rFonts w:ascii="Times New Roman" w:hAnsi="Times New Roman" w:eastAsia="仿宋"/>
          <w:b/>
          <w:sz w:val="32"/>
          <w:szCs w:val="32"/>
        </w:rPr>
      </w:pPr>
      <w:bookmarkStart w:id="29" w:name="_Toc15377211"/>
      <w:r>
        <w:rPr>
          <w:rFonts w:hint="eastAsia" w:ascii="Times New Roman" w:hAnsi="Times New Roman" w:eastAsia="仿宋"/>
          <w:b/>
          <w:sz w:val="32"/>
          <w:szCs w:val="32"/>
        </w:rPr>
        <w:t>（二）一般公共预算财政拨款支出决算结构情况</w:t>
      </w:r>
      <w:bookmarkEnd w:id="29"/>
    </w:p>
    <w:p>
      <w:pPr>
        <w:pageBreakBefore w:val="0"/>
        <w:kinsoku/>
        <w:wordWrap/>
        <w:overflowPunct/>
        <w:topLinePunct w:val="0"/>
        <w:bidi w:val="0"/>
        <w:spacing w:line="592" w:lineRule="exact"/>
        <w:ind w:firstLine="640"/>
        <w:textAlignment w:val="auto"/>
        <w:rPr>
          <w:rFonts w:ascii="Times New Roman" w:hAnsi="Times New Roman" w:eastAsia="仿宋"/>
          <w:b/>
          <w:sz w:val="32"/>
          <w:szCs w:val="32"/>
          <w:highlight w:val="none"/>
        </w:rPr>
      </w:pPr>
      <w:r>
        <w:rPr>
          <w:rFonts w:hint="eastAsia" w:ascii="Times New Roman" w:hAnsi="Times New Roman" w:eastAsia="仿宋"/>
          <w:sz w:val="32"/>
          <w:szCs w:val="32"/>
          <w:highlight w:val="none"/>
        </w:rPr>
        <w:t>2023年度一般公共预算财政拨款支出</w:t>
      </w:r>
      <w:r>
        <w:rPr>
          <w:rFonts w:ascii="Times New Roman" w:hAnsi="Times New Roman" w:eastAsia="仿宋"/>
          <w:b/>
          <w:sz w:val="32"/>
          <w:szCs w:val="32"/>
          <w:highlight w:val="none"/>
        </w:rPr>
        <w:t>496.5</w:t>
      </w:r>
      <w:r>
        <w:rPr>
          <w:rFonts w:hint="eastAsia" w:ascii="Times New Roman" w:hAnsi="Times New Roman" w:eastAsia="仿宋"/>
          <w:sz w:val="32"/>
          <w:szCs w:val="32"/>
          <w:highlight w:val="none"/>
        </w:rPr>
        <w:t>万元，主要用于以下方面</w:t>
      </w:r>
      <w:r>
        <w:rPr>
          <w:rFonts w:ascii="Times New Roman" w:hAnsi="Times New Roman" w:eastAsia="仿宋"/>
          <w:sz w:val="32"/>
          <w:szCs w:val="32"/>
          <w:highlight w:val="none"/>
        </w:rPr>
        <w:t>:</w:t>
      </w:r>
      <w:r>
        <w:rPr>
          <w:rFonts w:hint="eastAsia" w:ascii="Times New Roman" w:hAnsi="Times New Roman" w:eastAsia="仿宋"/>
          <w:b/>
          <w:sz w:val="32"/>
          <w:szCs w:val="32"/>
          <w:highlight w:val="none"/>
        </w:rPr>
        <w:t>一般公共服务</w:t>
      </w:r>
      <w:r>
        <w:rPr>
          <w:rFonts w:hint="eastAsia" w:ascii="Times New Roman" w:hAnsi="Times New Roman" w:eastAsia="仿宋"/>
          <w:b/>
          <w:bCs/>
          <w:sz w:val="32"/>
          <w:szCs w:val="32"/>
          <w:highlight w:val="none"/>
        </w:rPr>
        <w:t>支出</w:t>
      </w:r>
      <w:r>
        <w:rPr>
          <w:rFonts w:hint="eastAsia" w:eastAsia="仿宋"/>
          <w:sz w:val="32"/>
          <w:szCs w:val="32"/>
          <w:highlight w:val="none"/>
          <w:lang w:val="en-US" w:eastAsia="zh-CN"/>
        </w:rPr>
        <w:t>25.54</w:t>
      </w:r>
      <w:r>
        <w:rPr>
          <w:rFonts w:hint="eastAsia" w:ascii="Times New Roman" w:hAnsi="Times New Roman" w:eastAsia="仿宋"/>
          <w:sz w:val="32"/>
          <w:szCs w:val="32"/>
          <w:highlight w:val="none"/>
        </w:rPr>
        <w:t>万元，占</w:t>
      </w:r>
      <w:r>
        <w:rPr>
          <w:rFonts w:hint="eastAsia" w:eastAsia="仿宋"/>
          <w:sz w:val="32"/>
          <w:szCs w:val="32"/>
          <w:highlight w:val="none"/>
          <w:lang w:val="en-US" w:eastAsia="zh-CN"/>
        </w:rPr>
        <w:t>5.14</w:t>
      </w:r>
      <w:r>
        <w:rPr>
          <w:rFonts w:ascii="Times New Roman" w:hAnsi="Times New Roman" w:eastAsia="仿宋"/>
          <w:sz w:val="32"/>
          <w:szCs w:val="32"/>
          <w:highlight w:val="none"/>
        </w:rPr>
        <w:t>%</w:t>
      </w:r>
      <w:r>
        <w:rPr>
          <w:rFonts w:hint="eastAsia" w:ascii="Times New Roman" w:hAnsi="Times New Roman" w:eastAsia="仿宋"/>
          <w:sz w:val="32"/>
          <w:szCs w:val="32"/>
          <w:highlight w:val="none"/>
        </w:rPr>
        <w:t>；</w:t>
      </w:r>
      <w:r>
        <w:rPr>
          <w:rFonts w:hint="eastAsia" w:ascii="Times New Roman" w:hAnsi="Times New Roman" w:eastAsia="仿宋"/>
          <w:b/>
          <w:sz w:val="32"/>
          <w:szCs w:val="32"/>
          <w:highlight w:val="none"/>
        </w:rPr>
        <w:t>社会保障和就业</w:t>
      </w:r>
      <w:r>
        <w:rPr>
          <w:rFonts w:hint="eastAsia" w:ascii="Times New Roman" w:hAnsi="Times New Roman" w:eastAsia="仿宋"/>
          <w:b/>
          <w:bCs/>
          <w:sz w:val="32"/>
          <w:szCs w:val="32"/>
          <w:highlight w:val="none"/>
        </w:rPr>
        <w:t>支出</w:t>
      </w:r>
      <w:r>
        <w:rPr>
          <w:rFonts w:hint="eastAsia" w:eastAsia="仿宋"/>
          <w:sz w:val="32"/>
          <w:szCs w:val="32"/>
          <w:highlight w:val="none"/>
          <w:lang w:val="en-US" w:eastAsia="zh-CN"/>
        </w:rPr>
        <w:t>17.22</w:t>
      </w:r>
      <w:r>
        <w:rPr>
          <w:rFonts w:hint="eastAsia" w:ascii="Times New Roman" w:hAnsi="Times New Roman" w:eastAsia="仿宋"/>
          <w:sz w:val="32"/>
          <w:szCs w:val="32"/>
          <w:highlight w:val="none"/>
        </w:rPr>
        <w:t>万元，占</w:t>
      </w:r>
      <w:r>
        <w:rPr>
          <w:rFonts w:hint="eastAsia" w:eastAsia="仿宋"/>
          <w:sz w:val="32"/>
          <w:szCs w:val="32"/>
          <w:highlight w:val="none"/>
          <w:lang w:val="en-US" w:eastAsia="zh-CN"/>
        </w:rPr>
        <w:t>3.47</w:t>
      </w:r>
      <w:r>
        <w:rPr>
          <w:rFonts w:ascii="Times New Roman" w:hAnsi="Times New Roman" w:eastAsia="仿宋"/>
          <w:sz w:val="32"/>
          <w:szCs w:val="32"/>
          <w:highlight w:val="none"/>
        </w:rPr>
        <w:t>%</w:t>
      </w:r>
      <w:r>
        <w:rPr>
          <w:rFonts w:hint="eastAsia" w:ascii="Times New Roman" w:hAnsi="Times New Roman" w:eastAsia="仿宋"/>
          <w:sz w:val="32"/>
          <w:szCs w:val="32"/>
          <w:highlight w:val="none"/>
        </w:rPr>
        <w:t>；</w:t>
      </w:r>
      <w:r>
        <w:rPr>
          <w:rFonts w:hint="eastAsia" w:ascii="Times New Roman" w:hAnsi="Times New Roman" w:eastAsia="仿宋"/>
          <w:b/>
          <w:bCs/>
          <w:sz w:val="32"/>
          <w:szCs w:val="32"/>
          <w:highlight w:val="none"/>
        </w:rPr>
        <w:t>卫生健康支出</w:t>
      </w:r>
      <w:r>
        <w:rPr>
          <w:rFonts w:hint="eastAsia" w:eastAsia="仿宋"/>
          <w:sz w:val="32"/>
          <w:szCs w:val="32"/>
          <w:highlight w:val="none"/>
          <w:lang w:val="en-US" w:eastAsia="zh-CN"/>
        </w:rPr>
        <w:t>6.62</w:t>
      </w:r>
      <w:r>
        <w:rPr>
          <w:rFonts w:hint="eastAsia" w:ascii="Times New Roman" w:hAnsi="Times New Roman" w:eastAsia="仿宋"/>
          <w:sz w:val="32"/>
          <w:szCs w:val="32"/>
          <w:highlight w:val="none"/>
        </w:rPr>
        <w:t>万元，占</w:t>
      </w:r>
      <w:r>
        <w:rPr>
          <w:rFonts w:hint="eastAsia" w:eastAsia="仿宋"/>
          <w:sz w:val="32"/>
          <w:szCs w:val="32"/>
          <w:highlight w:val="none"/>
          <w:lang w:val="en-US" w:eastAsia="zh-CN"/>
        </w:rPr>
        <w:t>1.33</w:t>
      </w:r>
      <w:r>
        <w:rPr>
          <w:rFonts w:ascii="Times New Roman" w:hAnsi="Times New Roman" w:eastAsia="仿宋"/>
          <w:sz w:val="32"/>
          <w:szCs w:val="32"/>
          <w:highlight w:val="none"/>
        </w:rPr>
        <w:t>%</w:t>
      </w:r>
      <w:r>
        <w:rPr>
          <w:rFonts w:hint="eastAsia" w:ascii="Times New Roman" w:hAnsi="Times New Roman" w:eastAsia="仿宋"/>
          <w:sz w:val="32"/>
          <w:szCs w:val="32"/>
          <w:highlight w:val="none"/>
        </w:rPr>
        <w:t>；</w:t>
      </w:r>
      <w:r>
        <w:rPr>
          <w:rFonts w:hint="eastAsia" w:ascii="Times New Roman" w:hAnsi="Times New Roman" w:eastAsia="仿宋" w:cs="Times New Roman"/>
          <w:b/>
          <w:bCs/>
          <w:sz w:val="32"/>
          <w:szCs w:val="32"/>
          <w:highlight w:val="none"/>
          <w:lang w:eastAsia="zh-CN"/>
        </w:rPr>
        <w:t>金融支出</w:t>
      </w:r>
      <w:r>
        <w:rPr>
          <w:rFonts w:hint="eastAsia" w:ascii="Times New Roman" w:hAnsi="Times New Roman" w:eastAsia="仿宋" w:cs="Times New Roman"/>
          <w:sz w:val="32"/>
          <w:szCs w:val="32"/>
          <w:highlight w:val="none"/>
          <w:lang w:val="en-US" w:eastAsia="zh-CN"/>
        </w:rPr>
        <w:t>447.13</w:t>
      </w:r>
      <w:r>
        <w:rPr>
          <w:rFonts w:hint="eastAsia" w:ascii="Times New Roman" w:hAnsi="Times New Roman" w:eastAsia="仿宋"/>
          <w:sz w:val="32"/>
          <w:szCs w:val="32"/>
          <w:highlight w:val="none"/>
        </w:rPr>
        <w:t>万元，占</w:t>
      </w:r>
      <w:r>
        <w:rPr>
          <w:rFonts w:hint="eastAsia" w:eastAsia="仿宋"/>
          <w:sz w:val="32"/>
          <w:szCs w:val="32"/>
          <w:highlight w:val="none"/>
          <w:lang w:val="en-US" w:eastAsia="zh-CN"/>
        </w:rPr>
        <w:t>90.05</w:t>
      </w:r>
      <w:r>
        <w:rPr>
          <w:rFonts w:ascii="Times New Roman" w:hAnsi="Times New Roman" w:eastAsia="仿宋"/>
          <w:sz w:val="32"/>
          <w:szCs w:val="32"/>
          <w:highlight w:val="none"/>
        </w:rPr>
        <w:t>%</w:t>
      </w:r>
      <w:r>
        <w:rPr>
          <w:rFonts w:hint="eastAsia" w:ascii="Times New Roman" w:hAnsi="Times New Roman" w:eastAsia="仿宋"/>
          <w:sz w:val="32"/>
          <w:szCs w:val="32"/>
          <w:highlight w:val="none"/>
        </w:rPr>
        <w:t>。</w:t>
      </w:r>
    </w:p>
    <w:p>
      <w:pPr>
        <w:pageBreakBefore w:val="0"/>
        <w:kinsoku/>
        <w:wordWrap/>
        <w:overflowPunct/>
        <w:topLinePunct w:val="0"/>
        <w:bidi w:val="0"/>
        <w:spacing w:line="592" w:lineRule="exact"/>
        <w:textAlignment w:val="auto"/>
        <w:rPr>
          <w:rFonts w:ascii="Times New Roman" w:hAnsi="Times New Roman" w:eastAsia="仿宋"/>
          <w:sz w:val="32"/>
          <w:szCs w:val="32"/>
        </w:rPr>
      </w:pPr>
      <w:r>
        <w:rPr>
          <w:rFonts w:hint="eastAsia" w:ascii="Times New Roman" w:hAnsi="Times New Roman" w:eastAsia="仿宋"/>
          <w:sz w:val="32"/>
          <w:szCs w:val="32"/>
        </w:rPr>
        <w:t>（图6：一般公共预算财政拨款支出决算结构）（饼状图）</w:t>
      </w:r>
    </w:p>
    <w:p>
      <w:pPr>
        <w:rPr>
          <w:rFonts w:ascii="Times New Roman" w:hAnsi="Times New Roman" w:eastAsia="仿宋"/>
          <w:sz w:val="32"/>
          <w:szCs w:val="32"/>
        </w:rPr>
      </w:pPr>
      <w:r>
        <w:rPr>
          <w:rFonts w:hint="eastAsia" w:ascii="Times New Roman" w:hAnsi="Times New Roman" w:eastAsia="仿宋_GB2312"/>
          <w:sz w:val="32"/>
          <w:szCs w:val="32"/>
          <w:lang w:eastAsia="zh-CN"/>
        </w:rPr>
        <w:drawing>
          <wp:inline distT="0" distB="0" distL="114300" distR="114300">
            <wp:extent cx="5256530" cy="2988310"/>
            <wp:effectExtent l="5080" t="4445" r="15240" b="1714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2"/>
        <w:rPr>
          <w:rFonts w:ascii="Times New Roman" w:hAnsi="Times New Roman" w:eastAsia="仿宋"/>
          <w:sz w:val="32"/>
          <w:szCs w:val="32"/>
        </w:rPr>
      </w:pPr>
    </w:p>
    <w:p>
      <w:pPr>
        <w:pageBreakBefore w:val="0"/>
        <w:kinsoku/>
        <w:wordWrap/>
        <w:overflowPunct/>
        <w:topLinePunct w:val="0"/>
        <w:bidi w:val="0"/>
        <w:spacing w:line="592" w:lineRule="exact"/>
        <w:ind w:firstLine="642" w:firstLineChars="200"/>
        <w:textAlignment w:val="auto"/>
        <w:outlineLvl w:val="2"/>
        <w:rPr>
          <w:rFonts w:ascii="Times New Roman" w:hAnsi="Times New Roman" w:eastAsia="仿宋"/>
          <w:b/>
          <w:sz w:val="32"/>
          <w:szCs w:val="32"/>
        </w:rPr>
      </w:pPr>
      <w:bookmarkStart w:id="30" w:name="_Toc15377212"/>
      <w:r>
        <w:rPr>
          <w:rFonts w:hint="eastAsia" w:ascii="Times New Roman" w:hAnsi="Times New Roman" w:eastAsia="仿宋"/>
          <w:b/>
          <w:sz w:val="32"/>
          <w:szCs w:val="32"/>
        </w:rPr>
        <w:t>（三）一般公共预算财政拨款支出决算具体情况</w:t>
      </w:r>
      <w:bookmarkEnd w:id="30"/>
    </w:p>
    <w:p>
      <w:pPr>
        <w:pageBreakBefore w:val="0"/>
        <w:kinsoku/>
        <w:wordWrap/>
        <w:overflowPunct/>
        <w:topLinePunct w:val="0"/>
        <w:bidi w:val="0"/>
        <w:spacing w:line="592" w:lineRule="exact"/>
        <w:ind w:firstLine="642" w:firstLineChars="200"/>
        <w:textAlignment w:val="auto"/>
        <w:outlineLvl w:val="2"/>
        <w:rPr>
          <w:rFonts w:ascii="Times New Roman" w:hAnsi="Times New Roman" w:eastAsia="仿宋"/>
          <w:sz w:val="32"/>
          <w:szCs w:val="32"/>
        </w:rPr>
      </w:pPr>
      <w:bookmarkStart w:id="31" w:name="_Toc15377444"/>
      <w:bookmarkStart w:id="32" w:name="_Toc15378460"/>
      <w:bookmarkStart w:id="33" w:name="_Toc15377213"/>
      <w:r>
        <w:rPr>
          <w:rFonts w:hint="eastAsia" w:ascii="Times New Roman" w:hAnsi="Times New Roman" w:eastAsia="仿宋"/>
          <w:b/>
          <w:sz w:val="32"/>
          <w:szCs w:val="32"/>
        </w:rPr>
        <w:t>2023年度一般公共预算支出决算数为</w:t>
      </w:r>
      <w:r>
        <w:rPr>
          <w:rFonts w:ascii="Times New Roman" w:hAnsi="Times New Roman" w:eastAsia="仿宋"/>
          <w:b/>
          <w:sz w:val="32"/>
          <w:szCs w:val="32"/>
        </w:rPr>
        <w:t>496.5</w:t>
      </w:r>
      <w:r>
        <w:rPr>
          <w:rFonts w:hint="eastAsia" w:ascii="Times New Roman" w:hAnsi="Times New Roman" w:eastAsia="仿宋"/>
          <w:sz w:val="32"/>
          <w:szCs w:val="32"/>
        </w:rPr>
        <w:t>，</w:t>
      </w:r>
      <w:r>
        <w:rPr>
          <w:rStyle w:val="17"/>
          <w:rFonts w:hint="eastAsia" w:ascii="Times New Roman" w:hAnsi="Times New Roman" w:eastAsia="仿宋"/>
          <w:bCs/>
          <w:sz w:val="32"/>
          <w:szCs w:val="32"/>
        </w:rPr>
        <w:t>完成预算</w:t>
      </w:r>
      <w:r>
        <w:rPr>
          <w:rStyle w:val="17"/>
          <w:rFonts w:hint="eastAsia" w:eastAsia="仿宋"/>
          <w:bCs/>
          <w:sz w:val="32"/>
          <w:szCs w:val="32"/>
          <w:lang w:val="en-US" w:eastAsia="zh-CN"/>
        </w:rPr>
        <w:t>100</w:t>
      </w:r>
      <w:r>
        <w:rPr>
          <w:rStyle w:val="17"/>
          <w:rFonts w:ascii="Times New Roman" w:hAnsi="Times New Roman" w:eastAsia="仿宋"/>
          <w:bCs/>
          <w:sz w:val="32"/>
          <w:szCs w:val="32"/>
        </w:rPr>
        <w:t>%</w:t>
      </w:r>
      <w:r>
        <w:rPr>
          <w:rStyle w:val="17"/>
          <w:rFonts w:hint="eastAsia" w:ascii="Times New Roman" w:hAnsi="Times New Roman" w:eastAsia="仿宋"/>
          <w:bCs/>
          <w:sz w:val="32"/>
          <w:szCs w:val="32"/>
        </w:rPr>
        <w:t>。其中：</w:t>
      </w:r>
      <w:bookmarkEnd w:id="31"/>
      <w:bookmarkEnd w:id="32"/>
      <w:bookmarkEnd w:id="33"/>
    </w:p>
    <w:p>
      <w:pPr>
        <w:pageBreakBefore w:val="0"/>
        <w:kinsoku/>
        <w:wordWrap/>
        <w:overflowPunct/>
        <w:topLinePunct w:val="0"/>
        <w:bidi w:val="0"/>
        <w:spacing w:line="592" w:lineRule="exact"/>
        <w:ind w:firstLine="642" w:firstLineChars="200"/>
        <w:textAlignment w:val="auto"/>
        <w:rPr>
          <w:rFonts w:ascii="Times New Roman" w:hAnsi="Times New Roman" w:eastAsia="仿宋"/>
          <w:b/>
          <w:sz w:val="32"/>
          <w:szCs w:val="32"/>
        </w:rPr>
      </w:pPr>
      <w:r>
        <w:rPr>
          <w:rStyle w:val="17"/>
          <w:rFonts w:ascii="Times New Roman" w:hAnsi="Times New Roman" w:eastAsia="仿宋"/>
          <w:bCs/>
          <w:sz w:val="32"/>
          <w:szCs w:val="32"/>
        </w:rPr>
        <w:t>1.</w:t>
      </w:r>
      <w:r>
        <w:rPr>
          <w:rStyle w:val="17"/>
          <w:rFonts w:hint="eastAsia" w:ascii="Times New Roman" w:hAnsi="Times New Roman" w:eastAsia="仿宋"/>
          <w:bCs/>
          <w:sz w:val="32"/>
          <w:szCs w:val="32"/>
        </w:rPr>
        <w:t>一般公共服务（类）组织事务（款）其他组织事务支出（项）</w:t>
      </w:r>
      <w:r>
        <w:rPr>
          <w:rStyle w:val="17"/>
          <w:rFonts w:ascii="Times New Roman" w:hAnsi="Times New Roman" w:eastAsia="仿宋"/>
          <w:bCs/>
          <w:sz w:val="32"/>
          <w:szCs w:val="32"/>
        </w:rPr>
        <w:t>:</w:t>
      </w:r>
      <w:r>
        <w:rPr>
          <w:rStyle w:val="17"/>
          <w:rFonts w:ascii="Times New Roman" w:hAnsi="Times New Roman" w:eastAsia="仿宋"/>
          <w:b w:val="0"/>
          <w:bCs/>
          <w:sz w:val="32"/>
          <w:szCs w:val="32"/>
        </w:rPr>
        <w:t xml:space="preserve"> </w:t>
      </w:r>
      <w:r>
        <w:rPr>
          <w:rStyle w:val="17"/>
          <w:rFonts w:hint="eastAsia" w:ascii="Times New Roman" w:hAnsi="Times New Roman" w:eastAsia="仿宋"/>
          <w:b w:val="0"/>
          <w:bCs/>
          <w:sz w:val="32"/>
          <w:szCs w:val="32"/>
        </w:rPr>
        <w:t>支出决算为25.54万元，完成预算</w:t>
      </w:r>
      <w:r>
        <w:rPr>
          <w:rStyle w:val="17"/>
          <w:rFonts w:hint="eastAsia" w:eastAsia="仿宋"/>
          <w:b w:val="0"/>
          <w:bCs/>
          <w:sz w:val="32"/>
          <w:szCs w:val="32"/>
          <w:lang w:val="en-US" w:eastAsia="zh-CN"/>
        </w:rPr>
        <w:t>100</w:t>
      </w:r>
      <w:r>
        <w:rPr>
          <w:rStyle w:val="17"/>
          <w:rFonts w:ascii="Times New Roman" w:hAnsi="Times New Roman" w:eastAsia="仿宋"/>
          <w:b w:val="0"/>
          <w:bCs/>
          <w:sz w:val="32"/>
          <w:szCs w:val="32"/>
        </w:rPr>
        <w:t>%</w:t>
      </w:r>
      <w:r>
        <w:rPr>
          <w:rStyle w:val="17"/>
          <w:rFonts w:hint="eastAsia" w:eastAsia="仿宋"/>
          <w:b w:val="0"/>
          <w:bCs/>
          <w:sz w:val="32"/>
          <w:szCs w:val="32"/>
          <w:lang w:eastAsia="zh-CN"/>
        </w:rPr>
        <w:t>，</w:t>
      </w:r>
      <w:r>
        <w:rPr>
          <w:rStyle w:val="17"/>
          <w:rFonts w:hint="eastAsia" w:eastAsia="仿宋"/>
          <w:b w:val="0"/>
          <w:bCs/>
          <w:sz w:val="32"/>
          <w:szCs w:val="32"/>
          <w:lang w:val="en-US" w:eastAsia="zh-CN"/>
        </w:rPr>
        <w:t>决算数等于预算数</w:t>
      </w:r>
      <w:r>
        <w:rPr>
          <w:rStyle w:val="17"/>
          <w:rFonts w:hint="eastAsia" w:ascii="Times New Roman" w:hAnsi="Times New Roman" w:eastAsia="仿宋"/>
          <w:b w:val="0"/>
          <w:bCs/>
          <w:sz w:val="32"/>
          <w:szCs w:val="32"/>
        </w:rPr>
        <w:t>。</w:t>
      </w:r>
    </w:p>
    <w:p>
      <w:pPr>
        <w:pageBreakBefore w:val="0"/>
        <w:kinsoku/>
        <w:wordWrap/>
        <w:overflowPunct/>
        <w:topLinePunct w:val="0"/>
        <w:bidi w:val="0"/>
        <w:spacing w:line="592" w:lineRule="exact"/>
        <w:ind w:firstLine="642" w:firstLineChars="200"/>
        <w:textAlignment w:val="auto"/>
        <w:rPr>
          <w:rFonts w:hint="default" w:ascii="Times New Roman" w:hAnsi="Times New Roman" w:eastAsia="仿宋" w:cs="Times New Roman"/>
          <w:b/>
          <w:color w:val="000000"/>
          <w:sz w:val="32"/>
          <w:szCs w:val="32"/>
        </w:rPr>
      </w:pPr>
      <w:r>
        <w:rPr>
          <w:rStyle w:val="17"/>
          <w:rFonts w:hint="eastAsia" w:ascii="Times New Roman" w:hAnsi="Times New Roman" w:eastAsia="仿宋" w:cs="Times New Roman"/>
          <w:bCs/>
          <w:color w:val="000000"/>
          <w:sz w:val="32"/>
          <w:szCs w:val="32"/>
          <w:lang w:val="en-US" w:eastAsia="zh-CN"/>
        </w:rPr>
        <w:t>2</w:t>
      </w:r>
      <w:r>
        <w:rPr>
          <w:rStyle w:val="17"/>
          <w:rFonts w:hint="default" w:ascii="Times New Roman" w:hAnsi="Times New Roman" w:eastAsia="仿宋" w:cs="Times New Roman"/>
          <w:bCs/>
          <w:color w:val="000000"/>
          <w:sz w:val="32"/>
          <w:szCs w:val="32"/>
        </w:rPr>
        <w:t>.社会保障和就业（类）</w:t>
      </w:r>
      <w:r>
        <w:rPr>
          <w:rStyle w:val="17"/>
          <w:rFonts w:hint="eastAsia" w:eastAsia="仿宋" w:cs="Times New Roman"/>
          <w:bCs/>
          <w:color w:val="000000"/>
          <w:sz w:val="32"/>
          <w:szCs w:val="32"/>
          <w:lang w:eastAsia="zh-CN"/>
        </w:rPr>
        <w:t>行政事业单位养老支出</w:t>
      </w:r>
      <w:r>
        <w:rPr>
          <w:rStyle w:val="17"/>
          <w:rFonts w:hint="default" w:ascii="Times New Roman" w:hAnsi="Times New Roman" w:eastAsia="仿宋" w:cs="Times New Roman"/>
          <w:bCs/>
          <w:color w:val="000000"/>
          <w:sz w:val="32"/>
          <w:szCs w:val="32"/>
        </w:rPr>
        <w:t>（款）</w:t>
      </w:r>
      <w:r>
        <w:rPr>
          <w:rStyle w:val="17"/>
          <w:rFonts w:hint="eastAsia" w:eastAsia="仿宋" w:cs="Times New Roman"/>
          <w:bCs/>
          <w:color w:val="000000"/>
          <w:sz w:val="32"/>
          <w:szCs w:val="32"/>
          <w:lang w:eastAsia="zh-CN"/>
        </w:rPr>
        <w:t>机关事业单位基本养老保险缴费支出</w:t>
      </w:r>
      <w:r>
        <w:rPr>
          <w:rStyle w:val="17"/>
          <w:rFonts w:hint="default" w:ascii="Times New Roman" w:hAnsi="Times New Roman" w:eastAsia="仿宋" w:cs="Times New Roman"/>
          <w:bCs/>
          <w:color w:val="000000"/>
          <w:sz w:val="32"/>
          <w:szCs w:val="32"/>
        </w:rPr>
        <w:t>（项）</w:t>
      </w:r>
      <w:r>
        <w:rPr>
          <w:rStyle w:val="17"/>
          <w:rFonts w:hint="eastAsia" w:eastAsia="仿宋" w:cs="Times New Roman"/>
          <w:bCs/>
          <w:color w:val="000000"/>
          <w:sz w:val="32"/>
          <w:szCs w:val="32"/>
          <w:lang w:eastAsia="zh-CN"/>
        </w:rPr>
        <w:t>：</w:t>
      </w:r>
      <w:r>
        <w:rPr>
          <w:rStyle w:val="17"/>
          <w:rFonts w:hint="default" w:ascii="Times New Roman" w:hAnsi="Times New Roman" w:eastAsia="仿宋" w:cs="Times New Roman"/>
          <w:b w:val="0"/>
          <w:bCs/>
          <w:color w:val="000000"/>
          <w:sz w:val="32"/>
          <w:szCs w:val="32"/>
        </w:rPr>
        <w:t xml:space="preserve"> 支出决算为</w:t>
      </w:r>
      <w:r>
        <w:rPr>
          <w:rStyle w:val="17"/>
          <w:rFonts w:hint="eastAsia" w:eastAsia="仿宋" w:cs="Times New Roman"/>
          <w:b w:val="0"/>
          <w:bCs/>
          <w:color w:val="000000"/>
          <w:sz w:val="32"/>
          <w:szCs w:val="32"/>
          <w:lang w:val="en-US" w:eastAsia="zh-CN"/>
        </w:rPr>
        <w:t>17.22</w:t>
      </w:r>
      <w:r>
        <w:rPr>
          <w:rStyle w:val="17"/>
          <w:rFonts w:hint="default" w:ascii="Times New Roman" w:hAnsi="Times New Roman" w:eastAsia="仿宋" w:cs="Times New Roman"/>
          <w:b w:val="0"/>
          <w:bCs/>
          <w:color w:val="000000"/>
          <w:sz w:val="32"/>
          <w:szCs w:val="32"/>
        </w:rPr>
        <w:t>万元，完成预算</w:t>
      </w:r>
      <w:r>
        <w:rPr>
          <w:rStyle w:val="17"/>
          <w:rFonts w:hint="eastAsia" w:eastAsia="仿宋" w:cs="Times New Roman"/>
          <w:b w:val="0"/>
          <w:bCs/>
          <w:color w:val="000000"/>
          <w:sz w:val="32"/>
          <w:szCs w:val="32"/>
          <w:lang w:val="en-US" w:eastAsia="zh-CN"/>
        </w:rPr>
        <w:t>100</w:t>
      </w:r>
      <w:r>
        <w:rPr>
          <w:rStyle w:val="17"/>
          <w:rFonts w:hint="default" w:ascii="Times New Roman" w:hAnsi="Times New Roman" w:eastAsia="仿宋" w:cs="Times New Roman"/>
          <w:b w:val="0"/>
          <w:bCs/>
          <w:color w:val="000000"/>
          <w:sz w:val="32"/>
          <w:szCs w:val="32"/>
        </w:rPr>
        <w:t>%</w:t>
      </w:r>
      <w:r>
        <w:rPr>
          <w:rStyle w:val="17"/>
          <w:rFonts w:hint="eastAsia" w:eastAsia="仿宋" w:cs="Times New Roman"/>
          <w:b w:val="0"/>
          <w:bCs/>
          <w:color w:val="000000"/>
          <w:sz w:val="32"/>
          <w:szCs w:val="32"/>
          <w:lang w:eastAsia="zh-CN"/>
        </w:rPr>
        <w:t>，</w:t>
      </w:r>
      <w:r>
        <w:rPr>
          <w:rStyle w:val="17"/>
          <w:rFonts w:hint="eastAsia" w:eastAsia="仿宋"/>
          <w:b w:val="0"/>
          <w:bCs/>
          <w:sz w:val="32"/>
          <w:szCs w:val="32"/>
          <w:lang w:val="en-US" w:eastAsia="zh-CN"/>
        </w:rPr>
        <w:t>决算数等于预算数</w:t>
      </w:r>
      <w:r>
        <w:rPr>
          <w:rStyle w:val="17"/>
          <w:rFonts w:hint="default" w:ascii="Times New Roman" w:hAnsi="Times New Roman" w:eastAsia="仿宋" w:cs="Times New Roman"/>
          <w:b w:val="0"/>
          <w:bCs/>
          <w:color w:val="000000"/>
          <w:sz w:val="32"/>
          <w:szCs w:val="32"/>
        </w:rPr>
        <w:t>。</w:t>
      </w:r>
    </w:p>
    <w:p>
      <w:pPr>
        <w:pageBreakBefore w:val="0"/>
        <w:kinsoku/>
        <w:wordWrap/>
        <w:overflowPunct/>
        <w:topLinePunct w:val="0"/>
        <w:bidi w:val="0"/>
        <w:spacing w:line="592" w:lineRule="exact"/>
        <w:ind w:firstLine="642" w:firstLineChars="200"/>
        <w:textAlignment w:val="auto"/>
        <w:rPr>
          <w:rFonts w:hint="default" w:ascii="Times New Roman" w:hAnsi="Times New Roman" w:eastAsia="仿宋" w:cs="Times New Roman"/>
          <w:b/>
          <w:color w:val="000000"/>
          <w:sz w:val="32"/>
          <w:szCs w:val="32"/>
        </w:rPr>
      </w:pPr>
      <w:r>
        <w:rPr>
          <w:rStyle w:val="17"/>
          <w:rFonts w:hint="eastAsia" w:ascii="Times New Roman" w:hAnsi="Times New Roman" w:eastAsia="仿宋" w:cs="Times New Roman"/>
          <w:bCs/>
          <w:color w:val="000000"/>
          <w:sz w:val="32"/>
          <w:szCs w:val="32"/>
          <w:lang w:val="en-US" w:eastAsia="zh-CN"/>
        </w:rPr>
        <w:t>3</w:t>
      </w:r>
      <w:r>
        <w:rPr>
          <w:rStyle w:val="17"/>
          <w:rFonts w:hint="default" w:ascii="Times New Roman" w:hAnsi="Times New Roman" w:eastAsia="仿宋" w:cs="Times New Roman"/>
          <w:bCs/>
          <w:color w:val="000000"/>
          <w:sz w:val="32"/>
          <w:szCs w:val="32"/>
        </w:rPr>
        <w:t>.</w:t>
      </w:r>
      <w:r>
        <w:rPr>
          <w:rFonts w:hint="default" w:ascii="Times New Roman" w:hAnsi="Times New Roman" w:eastAsia="仿宋" w:cs="Times New Roman"/>
          <w:b/>
          <w:bCs/>
          <w:color w:val="000000" w:themeColor="text1"/>
          <w:sz w:val="32"/>
          <w:szCs w:val="32"/>
          <w14:textFill>
            <w14:solidFill>
              <w14:schemeClr w14:val="tx1"/>
            </w14:solidFill>
          </w14:textFill>
        </w:rPr>
        <w:t>卫生健康</w:t>
      </w:r>
      <w:r>
        <w:rPr>
          <w:rStyle w:val="17"/>
          <w:rFonts w:hint="default" w:ascii="Times New Roman" w:hAnsi="Times New Roman" w:eastAsia="仿宋" w:cs="Times New Roman"/>
          <w:bCs/>
          <w:color w:val="000000"/>
          <w:sz w:val="32"/>
          <w:szCs w:val="32"/>
        </w:rPr>
        <w:t>（类）</w:t>
      </w:r>
      <w:r>
        <w:rPr>
          <w:rStyle w:val="17"/>
          <w:rFonts w:hint="eastAsia" w:ascii="Times New Roman" w:hAnsi="Times New Roman" w:eastAsia="仿宋" w:cs="Times New Roman"/>
          <w:bCs/>
          <w:color w:val="000000"/>
          <w:sz w:val="32"/>
          <w:szCs w:val="32"/>
          <w:lang w:eastAsia="zh-CN"/>
        </w:rPr>
        <w:t>行政事业单位医疗</w:t>
      </w:r>
      <w:r>
        <w:rPr>
          <w:rStyle w:val="17"/>
          <w:rFonts w:hint="default" w:ascii="Times New Roman" w:hAnsi="Times New Roman" w:eastAsia="仿宋" w:cs="Times New Roman"/>
          <w:bCs/>
          <w:color w:val="000000"/>
          <w:sz w:val="32"/>
          <w:szCs w:val="32"/>
        </w:rPr>
        <w:t>（款）</w:t>
      </w:r>
      <w:r>
        <w:rPr>
          <w:rStyle w:val="17"/>
          <w:rFonts w:hint="eastAsia" w:ascii="Times New Roman" w:hAnsi="Times New Roman" w:eastAsia="仿宋" w:cs="Times New Roman"/>
          <w:bCs/>
          <w:color w:val="000000"/>
          <w:sz w:val="32"/>
          <w:szCs w:val="32"/>
          <w:lang w:eastAsia="zh-CN"/>
        </w:rPr>
        <w:t>行政单位医疗</w:t>
      </w:r>
      <w:r>
        <w:rPr>
          <w:rStyle w:val="17"/>
          <w:rFonts w:hint="default" w:ascii="Times New Roman" w:hAnsi="Times New Roman" w:eastAsia="仿宋" w:cs="Times New Roman"/>
          <w:bCs/>
          <w:color w:val="000000"/>
          <w:sz w:val="32"/>
          <w:szCs w:val="32"/>
        </w:rPr>
        <w:t>（项）</w:t>
      </w:r>
      <w:r>
        <w:rPr>
          <w:rStyle w:val="17"/>
          <w:rFonts w:hint="eastAsia" w:eastAsia="仿宋" w:cs="Times New Roman"/>
          <w:bCs/>
          <w:color w:val="000000"/>
          <w:sz w:val="32"/>
          <w:szCs w:val="32"/>
          <w:lang w:eastAsia="zh-CN"/>
        </w:rPr>
        <w:t>：</w:t>
      </w:r>
      <w:r>
        <w:rPr>
          <w:rStyle w:val="17"/>
          <w:rFonts w:hint="default" w:ascii="Times New Roman" w:hAnsi="Times New Roman" w:eastAsia="仿宋" w:cs="Times New Roman"/>
          <w:b w:val="0"/>
          <w:bCs/>
          <w:color w:val="000000"/>
          <w:sz w:val="32"/>
          <w:szCs w:val="32"/>
        </w:rPr>
        <w:t xml:space="preserve"> 支出决算为</w:t>
      </w:r>
      <w:r>
        <w:rPr>
          <w:rStyle w:val="17"/>
          <w:rFonts w:hint="eastAsia" w:eastAsia="仿宋" w:cs="Times New Roman"/>
          <w:b w:val="0"/>
          <w:bCs/>
          <w:color w:val="000000"/>
          <w:sz w:val="32"/>
          <w:szCs w:val="32"/>
          <w:lang w:val="en-US" w:eastAsia="zh-CN"/>
        </w:rPr>
        <w:t>4.30</w:t>
      </w:r>
      <w:r>
        <w:rPr>
          <w:rStyle w:val="17"/>
          <w:rFonts w:hint="default" w:ascii="Times New Roman" w:hAnsi="Times New Roman" w:eastAsia="仿宋" w:cs="Times New Roman"/>
          <w:b w:val="0"/>
          <w:bCs/>
          <w:color w:val="000000"/>
          <w:sz w:val="32"/>
          <w:szCs w:val="32"/>
        </w:rPr>
        <w:t>万元，完成预算</w:t>
      </w:r>
      <w:r>
        <w:rPr>
          <w:rStyle w:val="17"/>
          <w:rFonts w:hint="eastAsia" w:eastAsia="仿宋" w:cs="Times New Roman"/>
          <w:b w:val="0"/>
          <w:bCs/>
          <w:color w:val="000000"/>
          <w:sz w:val="32"/>
          <w:szCs w:val="32"/>
          <w:lang w:val="en-US" w:eastAsia="zh-CN"/>
        </w:rPr>
        <w:t>100</w:t>
      </w:r>
      <w:r>
        <w:rPr>
          <w:rStyle w:val="17"/>
          <w:rFonts w:hint="default" w:ascii="Times New Roman" w:hAnsi="Times New Roman" w:eastAsia="仿宋" w:cs="Times New Roman"/>
          <w:b w:val="0"/>
          <w:bCs/>
          <w:color w:val="000000"/>
          <w:sz w:val="32"/>
          <w:szCs w:val="32"/>
        </w:rPr>
        <w:t>%</w:t>
      </w:r>
      <w:r>
        <w:rPr>
          <w:rStyle w:val="17"/>
          <w:rFonts w:hint="eastAsia" w:eastAsia="仿宋" w:cs="Times New Roman"/>
          <w:b w:val="0"/>
          <w:bCs/>
          <w:color w:val="000000"/>
          <w:sz w:val="32"/>
          <w:szCs w:val="32"/>
          <w:lang w:eastAsia="zh-CN"/>
        </w:rPr>
        <w:t>，</w:t>
      </w:r>
      <w:r>
        <w:rPr>
          <w:rStyle w:val="17"/>
          <w:rFonts w:hint="eastAsia" w:eastAsia="仿宋"/>
          <w:b w:val="0"/>
          <w:bCs/>
          <w:sz w:val="32"/>
          <w:szCs w:val="32"/>
          <w:lang w:val="en-US" w:eastAsia="zh-CN"/>
        </w:rPr>
        <w:t>决算数等于预算数</w:t>
      </w:r>
      <w:r>
        <w:rPr>
          <w:rStyle w:val="17"/>
          <w:rFonts w:hint="eastAsia" w:ascii="Times New Roman" w:hAnsi="Times New Roman" w:eastAsia="仿宋"/>
          <w:b w:val="0"/>
          <w:bCs/>
          <w:sz w:val="32"/>
          <w:szCs w:val="32"/>
        </w:rPr>
        <w:t>。</w:t>
      </w:r>
    </w:p>
    <w:p>
      <w:pPr>
        <w:pageBreakBefore w:val="0"/>
        <w:kinsoku/>
        <w:wordWrap/>
        <w:overflowPunct/>
        <w:topLinePunct w:val="0"/>
        <w:bidi w:val="0"/>
        <w:spacing w:line="590" w:lineRule="exact"/>
        <w:ind w:firstLine="642" w:firstLineChars="200"/>
        <w:textAlignment w:val="auto"/>
        <w:rPr>
          <w:rFonts w:hint="default" w:ascii="Times New Roman" w:hAnsi="Times New Roman" w:eastAsia="仿宋" w:cs="Times New Roman"/>
          <w:b/>
          <w:color w:val="000000"/>
          <w:sz w:val="32"/>
          <w:szCs w:val="32"/>
        </w:rPr>
      </w:pPr>
      <w:r>
        <w:rPr>
          <w:rStyle w:val="17"/>
          <w:rFonts w:hint="eastAsia" w:ascii="Times New Roman" w:hAnsi="Times New Roman" w:eastAsia="仿宋" w:cs="Times New Roman"/>
          <w:bCs/>
          <w:color w:val="000000"/>
          <w:sz w:val="32"/>
          <w:szCs w:val="32"/>
          <w:lang w:val="en-US" w:eastAsia="zh-CN"/>
        </w:rPr>
        <w:t>4</w:t>
      </w:r>
      <w:r>
        <w:rPr>
          <w:rStyle w:val="17"/>
          <w:rFonts w:hint="default" w:ascii="Times New Roman" w:hAnsi="Times New Roman" w:eastAsia="仿宋" w:cs="Times New Roman"/>
          <w:bCs/>
          <w:color w:val="000000"/>
          <w:sz w:val="32"/>
          <w:szCs w:val="32"/>
        </w:rPr>
        <w:t>.</w:t>
      </w:r>
      <w:r>
        <w:rPr>
          <w:rFonts w:hint="default" w:ascii="Times New Roman" w:hAnsi="Times New Roman" w:eastAsia="仿宋" w:cs="Times New Roman"/>
          <w:b/>
          <w:bCs/>
          <w:color w:val="000000" w:themeColor="text1"/>
          <w:sz w:val="32"/>
          <w:szCs w:val="32"/>
          <w14:textFill>
            <w14:solidFill>
              <w14:schemeClr w14:val="tx1"/>
            </w14:solidFill>
          </w14:textFill>
        </w:rPr>
        <w:t>卫生健康</w:t>
      </w:r>
      <w:r>
        <w:rPr>
          <w:rStyle w:val="17"/>
          <w:rFonts w:hint="default" w:ascii="Times New Roman" w:hAnsi="Times New Roman" w:eastAsia="仿宋" w:cs="Times New Roman"/>
          <w:bCs/>
          <w:color w:val="000000"/>
          <w:sz w:val="32"/>
          <w:szCs w:val="32"/>
        </w:rPr>
        <w:t>（类）</w:t>
      </w:r>
      <w:r>
        <w:rPr>
          <w:rStyle w:val="17"/>
          <w:rFonts w:hint="eastAsia" w:ascii="Times New Roman" w:hAnsi="Times New Roman" w:eastAsia="仿宋" w:cs="Times New Roman"/>
          <w:bCs/>
          <w:color w:val="000000"/>
          <w:sz w:val="32"/>
          <w:szCs w:val="32"/>
          <w:lang w:eastAsia="zh-CN"/>
        </w:rPr>
        <w:t>行政事业单位医疗</w:t>
      </w:r>
      <w:r>
        <w:rPr>
          <w:rStyle w:val="17"/>
          <w:rFonts w:hint="default" w:ascii="Times New Roman" w:hAnsi="Times New Roman" w:eastAsia="仿宋" w:cs="Times New Roman"/>
          <w:bCs/>
          <w:color w:val="000000"/>
          <w:sz w:val="32"/>
          <w:szCs w:val="32"/>
        </w:rPr>
        <w:t>（款）</w:t>
      </w:r>
      <w:r>
        <w:rPr>
          <w:rStyle w:val="17"/>
          <w:rFonts w:hint="eastAsia" w:ascii="Times New Roman" w:hAnsi="Times New Roman" w:eastAsia="仿宋" w:cs="Times New Roman"/>
          <w:bCs/>
          <w:color w:val="000000"/>
          <w:sz w:val="32"/>
          <w:szCs w:val="32"/>
          <w:lang w:eastAsia="zh-CN"/>
        </w:rPr>
        <w:t>事业单位医疗</w:t>
      </w:r>
      <w:r>
        <w:rPr>
          <w:rStyle w:val="17"/>
          <w:rFonts w:hint="default" w:ascii="Times New Roman" w:hAnsi="Times New Roman" w:eastAsia="仿宋" w:cs="Times New Roman"/>
          <w:bCs/>
          <w:color w:val="000000"/>
          <w:sz w:val="32"/>
          <w:szCs w:val="32"/>
        </w:rPr>
        <w:t>（项）</w:t>
      </w:r>
      <w:r>
        <w:rPr>
          <w:rStyle w:val="17"/>
          <w:rFonts w:hint="eastAsia" w:eastAsia="仿宋" w:cs="Times New Roman"/>
          <w:bCs/>
          <w:color w:val="000000"/>
          <w:sz w:val="32"/>
          <w:szCs w:val="32"/>
          <w:lang w:eastAsia="zh-CN"/>
        </w:rPr>
        <w:t>：</w:t>
      </w:r>
      <w:r>
        <w:rPr>
          <w:rStyle w:val="17"/>
          <w:rFonts w:hint="default" w:ascii="Times New Roman" w:hAnsi="Times New Roman" w:eastAsia="仿宋" w:cs="Times New Roman"/>
          <w:b w:val="0"/>
          <w:bCs/>
          <w:color w:val="000000"/>
          <w:sz w:val="32"/>
          <w:szCs w:val="32"/>
        </w:rPr>
        <w:t xml:space="preserve"> 支出决算为</w:t>
      </w:r>
      <w:r>
        <w:rPr>
          <w:rStyle w:val="17"/>
          <w:rFonts w:hint="eastAsia" w:eastAsia="仿宋" w:cs="Times New Roman"/>
          <w:b w:val="0"/>
          <w:bCs/>
          <w:color w:val="000000"/>
          <w:sz w:val="32"/>
          <w:szCs w:val="32"/>
          <w:lang w:val="en-US" w:eastAsia="zh-CN"/>
        </w:rPr>
        <w:t>0.76</w:t>
      </w:r>
      <w:r>
        <w:rPr>
          <w:rStyle w:val="17"/>
          <w:rFonts w:hint="default" w:ascii="Times New Roman" w:hAnsi="Times New Roman" w:eastAsia="仿宋" w:cs="Times New Roman"/>
          <w:b w:val="0"/>
          <w:bCs/>
          <w:color w:val="000000"/>
          <w:sz w:val="32"/>
          <w:szCs w:val="32"/>
        </w:rPr>
        <w:t>万元，完成预算</w:t>
      </w:r>
      <w:r>
        <w:rPr>
          <w:rStyle w:val="17"/>
          <w:rFonts w:hint="eastAsia" w:eastAsia="仿宋" w:cs="Times New Roman"/>
          <w:b w:val="0"/>
          <w:bCs/>
          <w:color w:val="000000"/>
          <w:sz w:val="32"/>
          <w:szCs w:val="32"/>
          <w:lang w:val="en-US" w:eastAsia="zh-CN"/>
        </w:rPr>
        <w:t>100</w:t>
      </w:r>
      <w:r>
        <w:rPr>
          <w:rStyle w:val="17"/>
          <w:rFonts w:hint="default" w:ascii="Times New Roman" w:hAnsi="Times New Roman" w:eastAsia="仿宋" w:cs="Times New Roman"/>
          <w:b w:val="0"/>
          <w:bCs/>
          <w:color w:val="000000"/>
          <w:sz w:val="32"/>
          <w:szCs w:val="32"/>
        </w:rPr>
        <w:t>%</w:t>
      </w:r>
      <w:r>
        <w:rPr>
          <w:rStyle w:val="17"/>
          <w:rFonts w:hint="eastAsia" w:eastAsia="仿宋" w:cs="Times New Roman"/>
          <w:b w:val="0"/>
          <w:bCs/>
          <w:color w:val="000000"/>
          <w:sz w:val="32"/>
          <w:szCs w:val="32"/>
          <w:lang w:eastAsia="zh-CN"/>
        </w:rPr>
        <w:t>，</w:t>
      </w:r>
      <w:r>
        <w:rPr>
          <w:rStyle w:val="17"/>
          <w:rFonts w:hint="eastAsia" w:eastAsia="仿宋"/>
          <w:b w:val="0"/>
          <w:bCs/>
          <w:sz w:val="32"/>
          <w:szCs w:val="32"/>
          <w:lang w:val="en-US" w:eastAsia="zh-CN"/>
        </w:rPr>
        <w:t>决算数等于预算数</w:t>
      </w:r>
      <w:r>
        <w:rPr>
          <w:rStyle w:val="17"/>
          <w:rFonts w:hint="default" w:ascii="Times New Roman" w:hAnsi="Times New Roman" w:eastAsia="仿宋" w:cs="Times New Roman"/>
          <w:b w:val="0"/>
          <w:bCs/>
          <w:color w:val="000000"/>
          <w:sz w:val="32"/>
          <w:szCs w:val="32"/>
        </w:rPr>
        <w:t>。</w:t>
      </w:r>
    </w:p>
    <w:p>
      <w:pPr>
        <w:pageBreakBefore w:val="0"/>
        <w:kinsoku/>
        <w:wordWrap/>
        <w:overflowPunct/>
        <w:topLinePunct w:val="0"/>
        <w:bidi w:val="0"/>
        <w:spacing w:line="590" w:lineRule="exact"/>
        <w:ind w:firstLine="642" w:firstLineChars="200"/>
        <w:textAlignment w:val="auto"/>
        <w:rPr>
          <w:rFonts w:hint="default" w:ascii="Times New Roman" w:hAnsi="Times New Roman" w:eastAsia="仿宋" w:cs="Times New Roman"/>
          <w:b/>
          <w:color w:val="000000"/>
          <w:sz w:val="32"/>
          <w:szCs w:val="32"/>
        </w:rPr>
      </w:pPr>
      <w:r>
        <w:rPr>
          <w:rStyle w:val="17"/>
          <w:rFonts w:hint="eastAsia" w:ascii="Times New Roman" w:hAnsi="Times New Roman" w:eastAsia="仿宋" w:cs="Times New Roman"/>
          <w:bCs/>
          <w:color w:val="000000"/>
          <w:sz w:val="32"/>
          <w:szCs w:val="32"/>
          <w:lang w:val="en-US" w:eastAsia="zh-CN"/>
        </w:rPr>
        <w:t>5</w:t>
      </w:r>
      <w:r>
        <w:rPr>
          <w:rStyle w:val="17"/>
          <w:rFonts w:hint="default" w:ascii="Times New Roman" w:hAnsi="Times New Roman" w:eastAsia="仿宋" w:cs="Times New Roman"/>
          <w:bCs/>
          <w:color w:val="000000"/>
          <w:sz w:val="32"/>
          <w:szCs w:val="32"/>
        </w:rPr>
        <w:t>.</w:t>
      </w:r>
      <w:r>
        <w:rPr>
          <w:rFonts w:hint="default" w:ascii="Times New Roman" w:hAnsi="Times New Roman" w:eastAsia="仿宋" w:cs="Times New Roman"/>
          <w:b/>
          <w:bCs/>
          <w:color w:val="000000" w:themeColor="text1"/>
          <w:sz w:val="32"/>
          <w:szCs w:val="32"/>
          <w14:textFill>
            <w14:solidFill>
              <w14:schemeClr w14:val="tx1"/>
            </w14:solidFill>
          </w14:textFill>
        </w:rPr>
        <w:t>卫生健康</w:t>
      </w:r>
      <w:r>
        <w:rPr>
          <w:rStyle w:val="17"/>
          <w:rFonts w:hint="default" w:ascii="Times New Roman" w:hAnsi="Times New Roman" w:eastAsia="仿宋" w:cs="Times New Roman"/>
          <w:bCs/>
          <w:color w:val="000000"/>
          <w:sz w:val="32"/>
          <w:szCs w:val="32"/>
        </w:rPr>
        <w:t>（类）</w:t>
      </w:r>
      <w:r>
        <w:rPr>
          <w:rStyle w:val="17"/>
          <w:rFonts w:hint="eastAsia" w:ascii="Times New Roman" w:hAnsi="Times New Roman" w:eastAsia="仿宋" w:cs="Times New Roman"/>
          <w:bCs/>
          <w:color w:val="000000"/>
          <w:sz w:val="32"/>
          <w:szCs w:val="32"/>
          <w:lang w:eastAsia="zh-CN"/>
        </w:rPr>
        <w:t>行政事业单位医疗</w:t>
      </w:r>
      <w:r>
        <w:rPr>
          <w:rStyle w:val="17"/>
          <w:rFonts w:hint="default" w:ascii="Times New Roman" w:hAnsi="Times New Roman" w:eastAsia="仿宋" w:cs="Times New Roman"/>
          <w:bCs/>
          <w:color w:val="000000"/>
          <w:sz w:val="32"/>
          <w:szCs w:val="32"/>
        </w:rPr>
        <w:t>（款）</w:t>
      </w:r>
      <w:r>
        <w:rPr>
          <w:rStyle w:val="17"/>
          <w:rFonts w:hint="eastAsia" w:ascii="Times New Roman" w:hAnsi="Times New Roman" w:eastAsia="仿宋" w:cs="Times New Roman"/>
          <w:bCs/>
          <w:color w:val="000000"/>
          <w:sz w:val="32"/>
          <w:szCs w:val="32"/>
          <w:lang w:eastAsia="zh-CN"/>
        </w:rPr>
        <w:t>公务员医疗补助</w:t>
      </w:r>
      <w:r>
        <w:rPr>
          <w:rStyle w:val="17"/>
          <w:rFonts w:hint="default" w:ascii="Times New Roman" w:hAnsi="Times New Roman" w:eastAsia="仿宋" w:cs="Times New Roman"/>
          <w:bCs/>
          <w:color w:val="000000"/>
          <w:sz w:val="32"/>
          <w:szCs w:val="32"/>
        </w:rPr>
        <w:t>（项）</w:t>
      </w:r>
      <w:r>
        <w:rPr>
          <w:rStyle w:val="17"/>
          <w:rFonts w:hint="eastAsia" w:eastAsia="仿宋" w:cs="Times New Roman"/>
          <w:bCs/>
          <w:color w:val="000000"/>
          <w:sz w:val="32"/>
          <w:szCs w:val="32"/>
          <w:lang w:eastAsia="zh-CN"/>
        </w:rPr>
        <w:t>：</w:t>
      </w:r>
      <w:r>
        <w:rPr>
          <w:rStyle w:val="17"/>
          <w:rFonts w:hint="default" w:ascii="Times New Roman" w:hAnsi="Times New Roman" w:eastAsia="仿宋" w:cs="Times New Roman"/>
          <w:b w:val="0"/>
          <w:bCs/>
          <w:color w:val="000000"/>
          <w:sz w:val="32"/>
          <w:szCs w:val="32"/>
        </w:rPr>
        <w:t xml:space="preserve"> 支出决算为</w:t>
      </w:r>
      <w:r>
        <w:rPr>
          <w:rStyle w:val="17"/>
          <w:rFonts w:hint="eastAsia" w:eastAsia="仿宋" w:cs="Times New Roman"/>
          <w:b w:val="0"/>
          <w:bCs/>
          <w:color w:val="000000"/>
          <w:sz w:val="32"/>
          <w:szCs w:val="32"/>
          <w:lang w:val="en-US" w:eastAsia="zh-CN"/>
        </w:rPr>
        <w:t>1.56</w:t>
      </w:r>
      <w:r>
        <w:rPr>
          <w:rStyle w:val="17"/>
          <w:rFonts w:hint="default" w:ascii="Times New Roman" w:hAnsi="Times New Roman" w:eastAsia="仿宋" w:cs="Times New Roman"/>
          <w:b w:val="0"/>
          <w:bCs/>
          <w:color w:val="000000"/>
          <w:sz w:val="32"/>
          <w:szCs w:val="32"/>
        </w:rPr>
        <w:t>万元，完成预算</w:t>
      </w:r>
      <w:r>
        <w:rPr>
          <w:rStyle w:val="17"/>
          <w:rFonts w:hint="eastAsia" w:eastAsia="仿宋" w:cs="Times New Roman"/>
          <w:b w:val="0"/>
          <w:bCs/>
          <w:color w:val="000000"/>
          <w:sz w:val="32"/>
          <w:szCs w:val="32"/>
          <w:lang w:val="en-US" w:eastAsia="zh-CN"/>
        </w:rPr>
        <w:t>100</w:t>
      </w:r>
      <w:r>
        <w:rPr>
          <w:rStyle w:val="17"/>
          <w:rFonts w:hint="default" w:ascii="Times New Roman" w:hAnsi="Times New Roman" w:eastAsia="仿宋" w:cs="Times New Roman"/>
          <w:b w:val="0"/>
          <w:bCs/>
          <w:color w:val="000000"/>
          <w:sz w:val="32"/>
          <w:szCs w:val="32"/>
        </w:rPr>
        <w:t>%</w:t>
      </w:r>
      <w:r>
        <w:rPr>
          <w:rStyle w:val="17"/>
          <w:rFonts w:hint="eastAsia" w:eastAsia="仿宋" w:cs="Times New Roman"/>
          <w:b w:val="0"/>
          <w:bCs/>
          <w:color w:val="000000"/>
          <w:sz w:val="32"/>
          <w:szCs w:val="32"/>
          <w:lang w:eastAsia="zh-CN"/>
        </w:rPr>
        <w:t>，</w:t>
      </w:r>
      <w:r>
        <w:rPr>
          <w:rStyle w:val="17"/>
          <w:rFonts w:hint="eastAsia" w:eastAsia="仿宋"/>
          <w:b w:val="0"/>
          <w:bCs/>
          <w:sz w:val="32"/>
          <w:szCs w:val="32"/>
          <w:lang w:val="en-US" w:eastAsia="zh-CN"/>
        </w:rPr>
        <w:t>决算数等于预算数</w:t>
      </w:r>
      <w:r>
        <w:rPr>
          <w:rStyle w:val="17"/>
          <w:rFonts w:hint="default" w:ascii="Times New Roman" w:hAnsi="Times New Roman" w:eastAsia="仿宋" w:cs="Times New Roman"/>
          <w:b w:val="0"/>
          <w:bCs/>
          <w:color w:val="000000"/>
          <w:sz w:val="32"/>
          <w:szCs w:val="32"/>
        </w:rPr>
        <w:t>。</w:t>
      </w:r>
    </w:p>
    <w:p>
      <w:pPr>
        <w:pageBreakBefore w:val="0"/>
        <w:kinsoku/>
        <w:wordWrap/>
        <w:overflowPunct/>
        <w:topLinePunct w:val="0"/>
        <w:bidi w:val="0"/>
        <w:spacing w:line="590" w:lineRule="exact"/>
        <w:ind w:firstLine="642" w:firstLineChars="200"/>
        <w:textAlignment w:val="auto"/>
        <w:rPr>
          <w:rStyle w:val="17"/>
          <w:rFonts w:hint="default" w:ascii="Times New Roman" w:hAnsi="Times New Roman" w:eastAsia="仿宋" w:cs="Times New Roman"/>
          <w:b w:val="0"/>
          <w:bCs/>
          <w:color w:val="000000"/>
          <w:sz w:val="32"/>
          <w:szCs w:val="32"/>
        </w:rPr>
      </w:pPr>
      <w:r>
        <w:rPr>
          <w:rStyle w:val="17"/>
          <w:rFonts w:hint="eastAsia" w:ascii="Times New Roman" w:hAnsi="Times New Roman" w:eastAsia="仿宋" w:cs="Times New Roman"/>
          <w:bCs/>
          <w:color w:val="000000"/>
          <w:sz w:val="32"/>
          <w:szCs w:val="32"/>
          <w:lang w:val="en-US" w:eastAsia="zh-CN"/>
        </w:rPr>
        <w:t>6</w:t>
      </w:r>
      <w:r>
        <w:rPr>
          <w:rStyle w:val="17"/>
          <w:rFonts w:hint="default" w:ascii="Times New Roman" w:hAnsi="Times New Roman" w:eastAsia="仿宋" w:cs="Times New Roman"/>
          <w:bCs/>
          <w:color w:val="000000"/>
          <w:sz w:val="32"/>
          <w:szCs w:val="32"/>
        </w:rPr>
        <w:t>.</w:t>
      </w:r>
      <w:r>
        <w:rPr>
          <w:rStyle w:val="17"/>
          <w:rFonts w:hint="eastAsia" w:eastAsia="仿宋" w:cs="Times New Roman"/>
          <w:bCs/>
          <w:color w:val="000000"/>
          <w:sz w:val="32"/>
          <w:szCs w:val="32"/>
          <w:lang w:eastAsia="zh-CN"/>
        </w:rPr>
        <w:t>金融支出</w:t>
      </w:r>
      <w:r>
        <w:rPr>
          <w:rStyle w:val="17"/>
          <w:rFonts w:hint="default" w:ascii="Times New Roman" w:hAnsi="Times New Roman" w:eastAsia="仿宋" w:cs="Times New Roman"/>
          <w:bCs/>
          <w:color w:val="000000"/>
          <w:sz w:val="32"/>
          <w:szCs w:val="32"/>
        </w:rPr>
        <w:t>（类）</w:t>
      </w:r>
      <w:r>
        <w:rPr>
          <w:rStyle w:val="17"/>
          <w:rFonts w:hint="eastAsia" w:eastAsia="仿宋" w:cs="Times New Roman"/>
          <w:bCs/>
          <w:color w:val="000000"/>
          <w:sz w:val="32"/>
          <w:szCs w:val="32"/>
          <w:lang w:eastAsia="zh-CN"/>
        </w:rPr>
        <w:t>金融部门行政支出</w:t>
      </w:r>
      <w:r>
        <w:rPr>
          <w:rStyle w:val="17"/>
          <w:rFonts w:hint="default" w:ascii="Times New Roman" w:hAnsi="Times New Roman" w:eastAsia="仿宋" w:cs="Times New Roman"/>
          <w:bCs/>
          <w:color w:val="000000"/>
          <w:sz w:val="32"/>
          <w:szCs w:val="32"/>
        </w:rPr>
        <w:t>（款）</w:t>
      </w:r>
      <w:r>
        <w:rPr>
          <w:rStyle w:val="17"/>
          <w:rFonts w:hint="eastAsia" w:eastAsia="仿宋" w:cs="Times New Roman"/>
          <w:bCs/>
          <w:color w:val="000000"/>
          <w:sz w:val="32"/>
          <w:szCs w:val="32"/>
          <w:lang w:eastAsia="zh-CN"/>
        </w:rPr>
        <w:t>行政运行</w:t>
      </w:r>
      <w:r>
        <w:rPr>
          <w:rStyle w:val="17"/>
          <w:rFonts w:hint="default" w:ascii="Times New Roman" w:hAnsi="Times New Roman" w:eastAsia="仿宋" w:cs="Times New Roman"/>
          <w:bCs/>
          <w:color w:val="000000"/>
          <w:sz w:val="32"/>
          <w:szCs w:val="32"/>
        </w:rPr>
        <w:t>（项）</w:t>
      </w:r>
      <w:r>
        <w:rPr>
          <w:rStyle w:val="17"/>
          <w:rFonts w:hint="eastAsia" w:eastAsia="仿宋" w:cs="Times New Roman"/>
          <w:bCs/>
          <w:color w:val="000000"/>
          <w:sz w:val="32"/>
          <w:szCs w:val="32"/>
          <w:lang w:eastAsia="zh-CN"/>
        </w:rPr>
        <w:t>：</w:t>
      </w:r>
      <w:r>
        <w:rPr>
          <w:rStyle w:val="17"/>
          <w:rFonts w:hint="default" w:ascii="Times New Roman" w:hAnsi="Times New Roman" w:eastAsia="仿宋" w:cs="Times New Roman"/>
          <w:b w:val="0"/>
          <w:bCs/>
          <w:color w:val="000000"/>
          <w:sz w:val="32"/>
          <w:szCs w:val="32"/>
        </w:rPr>
        <w:t xml:space="preserve"> 支出决算为</w:t>
      </w:r>
      <w:r>
        <w:rPr>
          <w:rStyle w:val="17"/>
          <w:rFonts w:hint="eastAsia" w:eastAsia="仿宋" w:cs="Times New Roman"/>
          <w:b w:val="0"/>
          <w:bCs/>
          <w:color w:val="000000"/>
          <w:sz w:val="32"/>
          <w:szCs w:val="32"/>
          <w:lang w:val="en-US" w:eastAsia="zh-CN"/>
        </w:rPr>
        <w:t>162.09</w:t>
      </w:r>
      <w:r>
        <w:rPr>
          <w:rStyle w:val="17"/>
          <w:rFonts w:hint="default" w:ascii="Times New Roman" w:hAnsi="Times New Roman" w:eastAsia="仿宋" w:cs="Times New Roman"/>
          <w:b w:val="0"/>
          <w:bCs/>
          <w:color w:val="000000"/>
          <w:sz w:val="32"/>
          <w:szCs w:val="32"/>
        </w:rPr>
        <w:t>万元，完成预算</w:t>
      </w:r>
      <w:r>
        <w:rPr>
          <w:rStyle w:val="17"/>
          <w:rFonts w:hint="eastAsia" w:eastAsia="仿宋" w:cs="Times New Roman"/>
          <w:b w:val="0"/>
          <w:bCs/>
          <w:color w:val="000000"/>
          <w:sz w:val="32"/>
          <w:szCs w:val="32"/>
          <w:lang w:val="en-US" w:eastAsia="zh-CN"/>
        </w:rPr>
        <w:t>100</w:t>
      </w:r>
      <w:r>
        <w:rPr>
          <w:rStyle w:val="17"/>
          <w:rFonts w:hint="default" w:ascii="Times New Roman" w:hAnsi="Times New Roman" w:eastAsia="仿宋" w:cs="Times New Roman"/>
          <w:b w:val="0"/>
          <w:bCs/>
          <w:color w:val="000000"/>
          <w:sz w:val="32"/>
          <w:szCs w:val="32"/>
        </w:rPr>
        <w:t>%</w:t>
      </w:r>
      <w:r>
        <w:rPr>
          <w:rStyle w:val="17"/>
          <w:rFonts w:hint="eastAsia" w:eastAsia="仿宋" w:cs="Times New Roman"/>
          <w:b w:val="0"/>
          <w:bCs/>
          <w:color w:val="000000"/>
          <w:sz w:val="32"/>
          <w:szCs w:val="32"/>
          <w:lang w:eastAsia="zh-CN"/>
        </w:rPr>
        <w:t>，</w:t>
      </w:r>
      <w:r>
        <w:rPr>
          <w:rStyle w:val="17"/>
          <w:rFonts w:hint="eastAsia" w:eastAsia="仿宋"/>
          <w:b w:val="0"/>
          <w:bCs/>
          <w:sz w:val="32"/>
          <w:szCs w:val="32"/>
          <w:lang w:val="en-US" w:eastAsia="zh-CN"/>
        </w:rPr>
        <w:t>决算数等于预算数</w:t>
      </w:r>
      <w:r>
        <w:rPr>
          <w:rStyle w:val="17"/>
          <w:rFonts w:hint="default" w:ascii="Times New Roman" w:hAnsi="Times New Roman" w:eastAsia="仿宋" w:cs="Times New Roman"/>
          <w:b w:val="0"/>
          <w:bCs/>
          <w:color w:val="000000"/>
          <w:sz w:val="32"/>
          <w:szCs w:val="32"/>
        </w:rPr>
        <w:t>。</w:t>
      </w:r>
    </w:p>
    <w:p>
      <w:pPr>
        <w:pageBreakBefore w:val="0"/>
        <w:kinsoku/>
        <w:wordWrap/>
        <w:overflowPunct/>
        <w:topLinePunct w:val="0"/>
        <w:bidi w:val="0"/>
        <w:spacing w:line="590" w:lineRule="exact"/>
        <w:ind w:firstLine="642" w:firstLineChars="200"/>
        <w:textAlignment w:val="auto"/>
        <w:rPr>
          <w:rFonts w:hint="default" w:ascii="Times New Roman" w:hAnsi="Times New Roman" w:eastAsia="仿宋" w:cs="Times New Roman"/>
          <w:b/>
          <w:color w:val="000000"/>
          <w:sz w:val="32"/>
          <w:szCs w:val="32"/>
        </w:rPr>
      </w:pPr>
      <w:r>
        <w:rPr>
          <w:rStyle w:val="17"/>
          <w:rFonts w:hint="eastAsia" w:ascii="Times New Roman" w:hAnsi="Times New Roman" w:eastAsia="仿宋" w:cs="Times New Roman"/>
          <w:bCs/>
          <w:color w:val="000000"/>
          <w:sz w:val="32"/>
          <w:szCs w:val="32"/>
          <w:lang w:val="en-US" w:eastAsia="zh-CN"/>
        </w:rPr>
        <w:t>7</w:t>
      </w:r>
      <w:r>
        <w:rPr>
          <w:rStyle w:val="17"/>
          <w:rFonts w:hint="default" w:ascii="Times New Roman" w:hAnsi="Times New Roman" w:eastAsia="仿宋" w:cs="Times New Roman"/>
          <w:bCs/>
          <w:color w:val="000000"/>
          <w:sz w:val="32"/>
          <w:szCs w:val="32"/>
        </w:rPr>
        <w:t>.</w:t>
      </w:r>
      <w:r>
        <w:rPr>
          <w:rStyle w:val="17"/>
          <w:rFonts w:hint="eastAsia" w:eastAsia="仿宋" w:cs="Times New Roman"/>
          <w:bCs/>
          <w:color w:val="000000"/>
          <w:sz w:val="32"/>
          <w:szCs w:val="32"/>
          <w:lang w:eastAsia="zh-CN"/>
        </w:rPr>
        <w:t>金融支出</w:t>
      </w:r>
      <w:r>
        <w:rPr>
          <w:rStyle w:val="17"/>
          <w:rFonts w:hint="default" w:ascii="Times New Roman" w:hAnsi="Times New Roman" w:eastAsia="仿宋" w:cs="Times New Roman"/>
          <w:bCs/>
          <w:color w:val="000000"/>
          <w:sz w:val="32"/>
          <w:szCs w:val="32"/>
        </w:rPr>
        <w:t>（类）</w:t>
      </w:r>
      <w:r>
        <w:rPr>
          <w:rStyle w:val="17"/>
          <w:rFonts w:hint="eastAsia" w:eastAsia="仿宋" w:cs="Times New Roman"/>
          <w:bCs/>
          <w:color w:val="000000"/>
          <w:sz w:val="32"/>
          <w:szCs w:val="32"/>
          <w:lang w:eastAsia="zh-CN"/>
        </w:rPr>
        <w:t>金融部门行政支出</w:t>
      </w:r>
      <w:r>
        <w:rPr>
          <w:rStyle w:val="17"/>
          <w:rFonts w:hint="default" w:ascii="Times New Roman" w:hAnsi="Times New Roman" w:eastAsia="仿宋" w:cs="Times New Roman"/>
          <w:bCs/>
          <w:color w:val="000000"/>
          <w:sz w:val="32"/>
          <w:szCs w:val="32"/>
        </w:rPr>
        <w:t>（款）</w:t>
      </w:r>
      <w:r>
        <w:rPr>
          <w:rStyle w:val="17"/>
          <w:rFonts w:hint="eastAsia" w:eastAsia="仿宋" w:cs="Times New Roman"/>
          <w:bCs/>
          <w:color w:val="000000"/>
          <w:sz w:val="32"/>
          <w:szCs w:val="32"/>
          <w:lang w:eastAsia="zh-CN"/>
        </w:rPr>
        <w:t>一般行政管理事务</w:t>
      </w:r>
      <w:r>
        <w:rPr>
          <w:rStyle w:val="17"/>
          <w:rFonts w:hint="default" w:ascii="Times New Roman" w:hAnsi="Times New Roman" w:eastAsia="仿宋" w:cs="Times New Roman"/>
          <w:bCs/>
          <w:color w:val="000000"/>
          <w:sz w:val="32"/>
          <w:szCs w:val="32"/>
        </w:rPr>
        <w:t>（项）</w:t>
      </w:r>
      <w:r>
        <w:rPr>
          <w:rStyle w:val="17"/>
          <w:rFonts w:hint="eastAsia" w:eastAsia="仿宋" w:cs="Times New Roman"/>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Style w:val="17"/>
          <w:rFonts w:hint="eastAsia" w:eastAsia="仿宋" w:cs="Times New Roman"/>
          <w:b w:val="0"/>
          <w:bCs/>
          <w:color w:val="000000"/>
          <w:sz w:val="32"/>
          <w:szCs w:val="32"/>
          <w:lang w:val="en-US" w:eastAsia="zh-CN"/>
        </w:rPr>
        <w:t>40.67</w:t>
      </w:r>
      <w:r>
        <w:rPr>
          <w:rStyle w:val="17"/>
          <w:rFonts w:hint="default" w:ascii="Times New Roman" w:hAnsi="Times New Roman" w:eastAsia="仿宋" w:cs="Times New Roman"/>
          <w:b w:val="0"/>
          <w:bCs/>
          <w:color w:val="000000"/>
          <w:sz w:val="32"/>
          <w:szCs w:val="32"/>
        </w:rPr>
        <w:t>万元，完成预算</w:t>
      </w:r>
      <w:r>
        <w:rPr>
          <w:rStyle w:val="17"/>
          <w:rFonts w:hint="eastAsia" w:eastAsia="仿宋" w:cs="Times New Roman"/>
          <w:b w:val="0"/>
          <w:bCs/>
          <w:color w:val="000000"/>
          <w:sz w:val="32"/>
          <w:szCs w:val="32"/>
          <w:lang w:val="en-US" w:eastAsia="zh-CN"/>
        </w:rPr>
        <w:t>100</w:t>
      </w:r>
      <w:r>
        <w:rPr>
          <w:rStyle w:val="17"/>
          <w:rFonts w:hint="default" w:ascii="Times New Roman" w:hAnsi="Times New Roman" w:eastAsia="仿宋" w:cs="Times New Roman"/>
          <w:b w:val="0"/>
          <w:bCs/>
          <w:color w:val="000000"/>
          <w:sz w:val="32"/>
          <w:szCs w:val="32"/>
        </w:rPr>
        <w:t>%</w:t>
      </w:r>
      <w:r>
        <w:rPr>
          <w:rStyle w:val="17"/>
          <w:rFonts w:hint="eastAsia" w:eastAsia="仿宋" w:cs="Times New Roman"/>
          <w:b w:val="0"/>
          <w:bCs/>
          <w:color w:val="000000"/>
          <w:sz w:val="32"/>
          <w:szCs w:val="32"/>
          <w:lang w:eastAsia="zh-CN"/>
        </w:rPr>
        <w:t>，</w:t>
      </w:r>
      <w:r>
        <w:rPr>
          <w:rStyle w:val="17"/>
          <w:rFonts w:hint="eastAsia" w:eastAsia="仿宋"/>
          <w:b w:val="0"/>
          <w:bCs/>
          <w:sz w:val="32"/>
          <w:szCs w:val="32"/>
          <w:lang w:val="en-US" w:eastAsia="zh-CN"/>
        </w:rPr>
        <w:t>决算数等于预算数</w:t>
      </w:r>
      <w:r>
        <w:rPr>
          <w:rStyle w:val="17"/>
          <w:rFonts w:hint="default" w:ascii="Times New Roman" w:hAnsi="Times New Roman" w:eastAsia="仿宋" w:cs="Times New Roman"/>
          <w:b w:val="0"/>
          <w:bCs/>
          <w:color w:val="000000"/>
          <w:sz w:val="32"/>
          <w:szCs w:val="32"/>
        </w:rPr>
        <w:t>。</w:t>
      </w:r>
    </w:p>
    <w:p>
      <w:pPr>
        <w:pageBreakBefore w:val="0"/>
        <w:kinsoku/>
        <w:wordWrap/>
        <w:overflowPunct/>
        <w:topLinePunct w:val="0"/>
        <w:bidi w:val="0"/>
        <w:spacing w:line="590" w:lineRule="exact"/>
        <w:ind w:firstLine="642" w:firstLineChars="200"/>
        <w:textAlignment w:val="auto"/>
        <w:rPr>
          <w:rFonts w:hint="default" w:ascii="Times New Roman" w:hAnsi="Times New Roman" w:eastAsia="仿宋" w:cs="Times New Roman"/>
          <w:b/>
          <w:color w:val="000000"/>
          <w:sz w:val="32"/>
          <w:szCs w:val="32"/>
        </w:rPr>
      </w:pPr>
      <w:r>
        <w:rPr>
          <w:rStyle w:val="17"/>
          <w:rFonts w:hint="eastAsia" w:ascii="Times New Roman" w:hAnsi="Times New Roman" w:eastAsia="仿宋" w:cs="Times New Roman"/>
          <w:bCs/>
          <w:color w:val="000000"/>
          <w:sz w:val="32"/>
          <w:szCs w:val="32"/>
          <w:lang w:val="en-US" w:eastAsia="zh-CN"/>
        </w:rPr>
        <w:t>8</w:t>
      </w:r>
      <w:r>
        <w:rPr>
          <w:rStyle w:val="17"/>
          <w:rFonts w:hint="default" w:ascii="Times New Roman" w:hAnsi="Times New Roman" w:eastAsia="仿宋" w:cs="Times New Roman"/>
          <w:bCs/>
          <w:color w:val="000000"/>
          <w:sz w:val="32"/>
          <w:szCs w:val="32"/>
        </w:rPr>
        <w:t>.</w:t>
      </w:r>
      <w:r>
        <w:rPr>
          <w:rStyle w:val="17"/>
          <w:rFonts w:hint="eastAsia" w:eastAsia="仿宋" w:cs="Times New Roman"/>
          <w:bCs/>
          <w:color w:val="000000"/>
          <w:sz w:val="32"/>
          <w:szCs w:val="32"/>
          <w:lang w:eastAsia="zh-CN"/>
        </w:rPr>
        <w:t>金融支出</w:t>
      </w:r>
      <w:r>
        <w:rPr>
          <w:rStyle w:val="17"/>
          <w:rFonts w:hint="default" w:ascii="Times New Roman" w:hAnsi="Times New Roman" w:eastAsia="仿宋" w:cs="Times New Roman"/>
          <w:bCs/>
          <w:color w:val="000000"/>
          <w:sz w:val="32"/>
          <w:szCs w:val="32"/>
        </w:rPr>
        <w:t>（类）</w:t>
      </w:r>
      <w:r>
        <w:rPr>
          <w:rStyle w:val="17"/>
          <w:rFonts w:hint="eastAsia" w:eastAsia="仿宋" w:cs="Times New Roman"/>
          <w:bCs/>
          <w:color w:val="000000"/>
          <w:sz w:val="32"/>
          <w:szCs w:val="32"/>
          <w:lang w:eastAsia="zh-CN"/>
        </w:rPr>
        <w:t>金融部门行政支出</w:t>
      </w:r>
      <w:r>
        <w:rPr>
          <w:rStyle w:val="17"/>
          <w:rFonts w:hint="default" w:ascii="Times New Roman" w:hAnsi="Times New Roman" w:eastAsia="仿宋" w:cs="Times New Roman"/>
          <w:bCs/>
          <w:color w:val="000000"/>
          <w:sz w:val="32"/>
          <w:szCs w:val="32"/>
        </w:rPr>
        <w:t>（款）</w:t>
      </w:r>
      <w:r>
        <w:rPr>
          <w:rStyle w:val="17"/>
          <w:rFonts w:hint="eastAsia" w:eastAsia="仿宋" w:cs="Times New Roman"/>
          <w:bCs/>
          <w:color w:val="000000"/>
          <w:sz w:val="32"/>
          <w:szCs w:val="32"/>
          <w:lang w:eastAsia="zh-CN"/>
        </w:rPr>
        <w:t>机关服务</w:t>
      </w:r>
      <w:r>
        <w:rPr>
          <w:rStyle w:val="17"/>
          <w:rFonts w:hint="default" w:ascii="Times New Roman" w:hAnsi="Times New Roman" w:eastAsia="仿宋" w:cs="Times New Roman"/>
          <w:bCs/>
          <w:color w:val="000000"/>
          <w:sz w:val="32"/>
          <w:szCs w:val="32"/>
        </w:rPr>
        <w:t>（项）</w:t>
      </w:r>
      <w:r>
        <w:rPr>
          <w:rStyle w:val="17"/>
          <w:rFonts w:hint="eastAsia" w:eastAsia="仿宋" w:cs="Times New Roman"/>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Style w:val="17"/>
          <w:rFonts w:hint="eastAsia" w:eastAsia="仿宋" w:cs="Times New Roman"/>
          <w:b w:val="0"/>
          <w:bCs/>
          <w:color w:val="000000"/>
          <w:sz w:val="32"/>
          <w:szCs w:val="32"/>
          <w:lang w:val="en-US" w:eastAsia="zh-CN"/>
        </w:rPr>
        <w:t>3.59</w:t>
      </w:r>
      <w:r>
        <w:rPr>
          <w:rStyle w:val="17"/>
          <w:rFonts w:hint="default" w:ascii="Times New Roman" w:hAnsi="Times New Roman" w:eastAsia="仿宋" w:cs="Times New Roman"/>
          <w:b w:val="0"/>
          <w:bCs/>
          <w:color w:val="000000"/>
          <w:sz w:val="32"/>
          <w:szCs w:val="32"/>
        </w:rPr>
        <w:t>万元，完成预算</w:t>
      </w:r>
      <w:r>
        <w:rPr>
          <w:rStyle w:val="17"/>
          <w:rFonts w:hint="eastAsia" w:eastAsia="仿宋" w:cs="Times New Roman"/>
          <w:b w:val="0"/>
          <w:bCs/>
          <w:color w:val="000000"/>
          <w:sz w:val="32"/>
          <w:szCs w:val="32"/>
          <w:lang w:val="en-US" w:eastAsia="zh-CN"/>
        </w:rPr>
        <w:t>100</w:t>
      </w:r>
      <w:r>
        <w:rPr>
          <w:rStyle w:val="17"/>
          <w:rFonts w:hint="default" w:ascii="Times New Roman" w:hAnsi="Times New Roman" w:eastAsia="仿宋" w:cs="Times New Roman"/>
          <w:b w:val="0"/>
          <w:bCs/>
          <w:color w:val="000000"/>
          <w:sz w:val="32"/>
          <w:szCs w:val="32"/>
        </w:rPr>
        <w:t>%</w:t>
      </w:r>
      <w:r>
        <w:rPr>
          <w:rStyle w:val="17"/>
          <w:rFonts w:hint="eastAsia" w:eastAsia="仿宋" w:cs="Times New Roman"/>
          <w:b w:val="0"/>
          <w:bCs/>
          <w:color w:val="000000"/>
          <w:sz w:val="32"/>
          <w:szCs w:val="32"/>
          <w:lang w:eastAsia="zh-CN"/>
        </w:rPr>
        <w:t>，</w:t>
      </w:r>
      <w:r>
        <w:rPr>
          <w:rStyle w:val="17"/>
          <w:rFonts w:hint="eastAsia" w:eastAsia="仿宋"/>
          <w:b w:val="0"/>
          <w:bCs/>
          <w:sz w:val="32"/>
          <w:szCs w:val="32"/>
          <w:lang w:val="en-US" w:eastAsia="zh-CN"/>
        </w:rPr>
        <w:t>决算数等于预算数</w:t>
      </w:r>
      <w:r>
        <w:rPr>
          <w:rStyle w:val="17"/>
          <w:rFonts w:hint="default" w:ascii="Times New Roman" w:hAnsi="Times New Roman" w:eastAsia="仿宋" w:cs="Times New Roman"/>
          <w:b w:val="0"/>
          <w:bCs/>
          <w:color w:val="000000"/>
          <w:sz w:val="32"/>
          <w:szCs w:val="32"/>
        </w:rPr>
        <w:t>。</w:t>
      </w:r>
    </w:p>
    <w:p>
      <w:pPr>
        <w:pageBreakBefore w:val="0"/>
        <w:kinsoku/>
        <w:wordWrap/>
        <w:overflowPunct/>
        <w:topLinePunct w:val="0"/>
        <w:bidi w:val="0"/>
        <w:spacing w:line="590" w:lineRule="exact"/>
        <w:ind w:firstLine="642" w:firstLineChars="200"/>
        <w:textAlignment w:val="auto"/>
        <w:rPr>
          <w:rStyle w:val="17"/>
          <w:rFonts w:hint="default" w:ascii="Times New Roman" w:hAnsi="Times New Roman" w:eastAsia="仿宋" w:cs="Times New Roman"/>
          <w:b w:val="0"/>
          <w:bCs/>
          <w:color w:val="000000"/>
          <w:sz w:val="32"/>
          <w:szCs w:val="32"/>
        </w:rPr>
      </w:pPr>
      <w:r>
        <w:rPr>
          <w:rStyle w:val="17"/>
          <w:rFonts w:hint="eastAsia" w:ascii="Times New Roman" w:hAnsi="Times New Roman" w:eastAsia="仿宋" w:cs="Times New Roman"/>
          <w:bCs/>
          <w:color w:val="000000"/>
          <w:sz w:val="32"/>
          <w:szCs w:val="32"/>
          <w:lang w:val="en-US" w:eastAsia="zh-CN"/>
        </w:rPr>
        <w:t>9</w:t>
      </w:r>
      <w:r>
        <w:rPr>
          <w:rStyle w:val="17"/>
          <w:rFonts w:hint="default" w:ascii="Times New Roman" w:hAnsi="Times New Roman" w:eastAsia="仿宋" w:cs="Times New Roman"/>
          <w:bCs/>
          <w:color w:val="000000"/>
          <w:sz w:val="32"/>
          <w:szCs w:val="32"/>
        </w:rPr>
        <w:t>.</w:t>
      </w:r>
      <w:r>
        <w:rPr>
          <w:rStyle w:val="17"/>
          <w:rFonts w:hint="eastAsia" w:eastAsia="仿宋" w:cs="Times New Roman"/>
          <w:bCs/>
          <w:color w:val="000000"/>
          <w:sz w:val="32"/>
          <w:szCs w:val="32"/>
          <w:lang w:eastAsia="zh-CN"/>
        </w:rPr>
        <w:t>金融支出</w:t>
      </w:r>
      <w:r>
        <w:rPr>
          <w:rStyle w:val="17"/>
          <w:rFonts w:hint="default" w:ascii="Times New Roman" w:hAnsi="Times New Roman" w:eastAsia="仿宋" w:cs="Times New Roman"/>
          <w:bCs/>
          <w:color w:val="000000"/>
          <w:sz w:val="32"/>
          <w:szCs w:val="32"/>
        </w:rPr>
        <w:t>（类）</w:t>
      </w:r>
      <w:r>
        <w:rPr>
          <w:rStyle w:val="17"/>
          <w:rFonts w:hint="eastAsia" w:eastAsia="仿宋" w:cs="Times New Roman"/>
          <w:bCs/>
          <w:color w:val="000000"/>
          <w:sz w:val="32"/>
          <w:szCs w:val="32"/>
          <w:lang w:eastAsia="zh-CN"/>
        </w:rPr>
        <w:t>金融部门行政支出</w:t>
      </w:r>
      <w:r>
        <w:rPr>
          <w:rStyle w:val="17"/>
          <w:rFonts w:hint="default" w:ascii="Times New Roman" w:hAnsi="Times New Roman" w:eastAsia="仿宋" w:cs="Times New Roman"/>
          <w:bCs/>
          <w:color w:val="000000"/>
          <w:sz w:val="32"/>
          <w:szCs w:val="32"/>
        </w:rPr>
        <w:t>（款）</w:t>
      </w:r>
      <w:r>
        <w:rPr>
          <w:rStyle w:val="17"/>
          <w:rFonts w:hint="eastAsia" w:eastAsia="仿宋" w:cs="Times New Roman"/>
          <w:bCs/>
          <w:color w:val="000000"/>
          <w:sz w:val="32"/>
          <w:szCs w:val="32"/>
          <w:lang w:eastAsia="zh-CN"/>
        </w:rPr>
        <w:t>事业运行</w:t>
      </w:r>
      <w:r>
        <w:rPr>
          <w:rStyle w:val="17"/>
          <w:rFonts w:hint="default" w:ascii="Times New Roman" w:hAnsi="Times New Roman" w:eastAsia="仿宋" w:cs="Times New Roman"/>
          <w:bCs/>
          <w:color w:val="000000"/>
          <w:sz w:val="32"/>
          <w:szCs w:val="32"/>
        </w:rPr>
        <w:t>（项）</w:t>
      </w:r>
      <w:r>
        <w:rPr>
          <w:rStyle w:val="17"/>
          <w:rFonts w:hint="eastAsia" w:eastAsia="仿宋" w:cs="Times New Roman"/>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Style w:val="17"/>
          <w:rFonts w:hint="eastAsia" w:eastAsia="仿宋" w:cs="Times New Roman"/>
          <w:b w:val="0"/>
          <w:bCs/>
          <w:color w:val="000000"/>
          <w:sz w:val="32"/>
          <w:szCs w:val="32"/>
          <w:lang w:val="en-US" w:eastAsia="zh-CN"/>
        </w:rPr>
        <w:t>25.95</w:t>
      </w:r>
      <w:r>
        <w:rPr>
          <w:rStyle w:val="17"/>
          <w:rFonts w:hint="default" w:ascii="Times New Roman" w:hAnsi="Times New Roman" w:eastAsia="仿宋" w:cs="Times New Roman"/>
          <w:b w:val="0"/>
          <w:bCs/>
          <w:color w:val="000000"/>
          <w:sz w:val="32"/>
          <w:szCs w:val="32"/>
        </w:rPr>
        <w:t>万元，完成预算</w:t>
      </w:r>
      <w:r>
        <w:rPr>
          <w:rStyle w:val="17"/>
          <w:rFonts w:hint="eastAsia" w:eastAsia="仿宋" w:cs="Times New Roman"/>
          <w:b w:val="0"/>
          <w:bCs/>
          <w:color w:val="000000"/>
          <w:sz w:val="32"/>
          <w:szCs w:val="32"/>
          <w:lang w:val="en-US" w:eastAsia="zh-CN"/>
        </w:rPr>
        <w:t>100</w:t>
      </w:r>
      <w:r>
        <w:rPr>
          <w:rStyle w:val="17"/>
          <w:rFonts w:hint="default" w:ascii="Times New Roman" w:hAnsi="Times New Roman" w:eastAsia="仿宋" w:cs="Times New Roman"/>
          <w:b w:val="0"/>
          <w:bCs/>
          <w:color w:val="000000"/>
          <w:sz w:val="32"/>
          <w:szCs w:val="32"/>
        </w:rPr>
        <w:t>%</w:t>
      </w:r>
      <w:r>
        <w:rPr>
          <w:rStyle w:val="17"/>
          <w:rFonts w:hint="eastAsia" w:eastAsia="仿宋" w:cs="Times New Roman"/>
          <w:b w:val="0"/>
          <w:bCs/>
          <w:color w:val="000000"/>
          <w:sz w:val="32"/>
          <w:szCs w:val="32"/>
          <w:lang w:eastAsia="zh-CN"/>
        </w:rPr>
        <w:t>，</w:t>
      </w:r>
      <w:r>
        <w:rPr>
          <w:rStyle w:val="17"/>
          <w:rFonts w:hint="eastAsia" w:eastAsia="仿宋"/>
          <w:b w:val="0"/>
          <w:bCs/>
          <w:sz w:val="32"/>
          <w:szCs w:val="32"/>
          <w:lang w:val="en-US" w:eastAsia="zh-CN"/>
        </w:rPr>
        <w:t>决算数等于预算数</w:t>
      </w:r>
      <w:r>
        <w:rPr>
          <w:rStyle w:val="17"/>
          <w:rFonts w:hint="default" w:ascii="Times New Roman" w:hAnsi="Times New Roman" w:eastAsia="仿宋" w:cs="Times New Roman"/>
          <w:b w:val="0"/>
          <w:bCs/>
          <w:color w:val="000000"/>
          <w:sz w:val="32"/>
          <w:szCs w:val="32"/>
        </w:rPr>
        <w:t>。</w:t>
      </w:r>
    </w:p>
    <w:p>
      <w:pPr>
        <w:pageBreakBefore w:val="0"/>
        <w:kinsoku/>
        <w:wordWrap/>
        <w:overflowPunct/>
        <w:topLinePunct w:val="0"/>
        <w:bidi w:val="0"/>
        <w:spacing w:line="590" w:lineRule="exact"/>
        <w:ind w:firstLine="642" w:firstLineChars="200"/>
        <w:textAlignment w:val="auto"/>
        <w:rPr>
          <w:rStyle w:val="17"/>
          <w:rFonts w:hint="default" w:ascii="Times New Roman" w:hAnsi="Times New Roman" w:eastAsia="仿宋" w:cs="Times New Roman"/>
          <w:b w:val="0"/>
          <w:bCs/>
          <w:color w:val="000000"/>
          <w:sz w:val="32"/>
          <w:szCs w:val="32"/>
        </w:rPr>
      </w:pPr>
      <w:r>
        <w:rPr>
          <w:rStyle w:val="17"/>
          <w:rFonts w:hint="eastAsia" w:ascii="Times New Roman" w:hAnsi="Times New Roman" w:eastAsia="仿宋" w:cs="Times New Roman"/>
          <w:bCs/>
          <w:color w:val="000000"/>
          <w:sz w:val="32"/>
          <w:szCs w:val="32"/>
          <w:lang w:val="en-US" w:eastAsia="zh-CN"/>
        </w:rPr>
        <w:t>10</w:t>
      </w:r>
      <w:r>
        <w:rPr>
          <w:rStyle w:val="17"/>
          <w:rFonts w:hint="default" w:ascii="Times New Roman" w:hAnsi="Times New Roman" w:eastAsia="仿宋" w:cs="Times New Roman"/>
          <w:bCs/>
          <w:color w:val="000000"/>
          <w:sz w:val="32"/>
          <w:szCs w:val="32"/>
        </w:rPr>
        <w:t>.</w:t>
      </w:r>
      <w:r>
        <w:rPr>
          <w:rStyle w:val="17"/>
          <w:rFonts w:hint="eastAsia" w:eastAsia="仿宋" w:cs="Times New Roman"/>
          <w:bCs/>
          <w:color w:val="000000"/>
          <w:sz w:val="32"/>
          <w:szCs w:val="32"/>
          <w:lang w:eastAsia="zh-CN"/>
        </w:rPr>
        <w:t>金融支出</w:t>
      </w:r>
      <w:r>
        <w:rPr>
          <w:rStyle w:val="17"/>
          <w:rFonts w:hint="default" w:ascii="Times New Roman" w:hAnsi="Times New Roman" w:eastAsia="仿宋" w:cs="Times New Roman"/>
          <w:bCs/>
          <w:color w:val="000000"/>
          <w:sz w:val="32"/>
          <w:szCs w:val="32"/>
        </w:rPr>
        <w:t>（类）</w:t>
      </w:r>
      <w:r>
        <w:rPr>
          <w:rStyle w:val="17"/>
          <w:rFonts w:hint="eastAsia" w:ascii="Times New Roman" w:hAnsi="Times New Roman" w:eastAsia="仿宋" w:cs="Times New Roman"/>
          <w:bCs/>
          <w:color w:val="000000"/>
          <w:sz w:val="32"/>
          <w:szCs w:val="32"/>
          <w:lang w:eastAsia="zh-CN"/>
        </w:rPr>
        <w:t>其他</w:t>
      </w:r>
      <w:r>
        <w:rPr>
          <w:rStyle w:val="17"/>
          <w:rFonts w:hint="eastAsia" w:eastAsia="仿宋" w:cs="Times New Roman"/>
          <w:bCs/>
          <w:color w:val="000000"/>
          <w:sz w:val="32"/>
          <w:szCs w:val="32"/>
          <w:lang w:eastAsia="zh-CN"/>
        </w:rPr>
        <w:t>金融支出</w:t>
      </w:r>
      <w:r>
        <w:rPr>
          <w:rStyle w:val="17"/>
          <w:rFonts w:hint="default" w:ascii="Times New Roman" w:hAnsi="Times New Roman" w:eastAsia="仿宋" w:cs="Times New Roman"/>
          <w:bCs/>
          <w:color w:val="000000"/>
          <w:sz w:val="32"/>
          <w:szCs w:val="32"/>
        </w:rPr>
        <w:t>（款）</w:t>
      </w:r>
      <w:r>
        <w:rPr>
          <w:rStyle w:val="17"/>
          <w:rFonts w:hint="eastAsia" w:ascii="Times New Roman" w:hAnsi="Times New Roman" w:eastAsia="仿宋" w:cs="Times New Roman"/>
          <w:bCs/>
          <w:color w:val="000000"/>
          <w:sz w:val="32"/>
          <w:szCs w:val="32"/>
          <w:lang w:eastAsia="zh-CN"/>
        </w:rPr>
        <w:t>其他</w:t>
      </w:r>
      <w:r>
        <w:rPr>
          <w:rStyle w:val="17"/>
          <w:rFonts w:hint="eastAsia" w:eastAsia="仿宋" w:cs="Times New Roman"/>
          <w:bCs/>
          <w:color w:val="000000"/>
          <w:sz w:val="32"/>
          <w:szCs w:val="32"/>
          <w:lang w:eastAsia="zh-CN"/>
        </w:rPr>
        <w:t>金融支出</w:t>
      </w:r>
      <w:r>
        <w:rPr>
          <w:rStyle w:val="17"/>
          <w:rFonts w:hint="default" w:ascii="Times New Roman" w:hAnsi="Times New Roman" w:eastAsia="仿宋" w:cs="Times New Roman"/>
          <w:bCs/>
          <w:color w:val="000000"/>
          <w:sz w:val="32"/>
          <w:szCs w:val="32"/>
        </w:rPr>
        <w:t>（项）</w:t>
      </w:r>
      <w:r>
        <w:rPr>
          <w:rStyle w:val="17"/>
          <w:rFonts w:hint="eastAsia" w:eastAsia="仿宋" w:cs="Times New Roman"/>
          <w:bCs/>
          <w:color w:val="000000"/>
          <w:sz w:val="32"/>
          <w:szCs w:val="32"/>
          <w:lang w:eastAsia="zh-CN"/>
        </w:rPr>
        <w:t>：</w:t>
      </w:r>
      <w:r>
        <w:rPr>
          <w:rStyle w:val="17"/>
          <w:rFonts w:hint="default" w:ascii="Times New Roman" w:hAnsi="Times New Roman" w:eastAsia="仿宋" w:cs="Times New Roman"/>
          <w:b w:val="0"/>
          <w:bCs/>
          <w:color w:val="000000"/>
          <w:sz w:val="32"/>
          <w:szCs w:val="32"/>
        </w:rPr>
        <w:t>支出决算为</w:t>
      </w:r>
      <w:r>
        <w:rPr>
          <w:rStyle w:val="17"/>
          <w:rFonts w:hint="eastAsia" w:eastAsia="仿宋" w:cs="Times New Roman"/>
          <w:b w:val="0"/>
          <w:bCs/>
          <w:color w:val="000000"/>
          <w:sz w:val="32"/>
          <w:szCs w:val="32"/>
          <w:lang w:val="en-US" w:eastAsia="zh-CN"/>
        </w:rPr>
        <w:t>214.84</w:t>
      </w:r>
      <w:r>
        <w:rPr>
          <w:rStyle w:val="17"/>
          <w:rFonts w:hint="default" w:ascii="Times New Roman" w:hAnsi="Times New Roman" w:eastAsia="仿宋" w:cs="Times New Roman"/>
          <w:b w:val="0"/>
          <w:bCs/>
          <w:color w:val="000000"/>
          <w:sz w:val="32"/>
          <w:szCs w:val="32"/>
        </w:rPr>
        <w:t>万元，完成预算</w:t>
      </w:r>
      <w:r>
        <w:rPr>
          <w:rStyle w:val="17"/>
          <w:rFonts w:hint="eastAsia" w:eastAsia="仿宋" w:cs="Times New Roman"/>
          <w:b w:val="0"/>
          <w:bCs/>
          <w:color w:val="000000"/>
          <w:sz w:val="32"/>
          <w:szCs w:val="32"/>
          <w:lang w:val="en-US" w:eastAsia="zh-CN"/>
        </w:rPr>
        <w:t>100</w:t>
      </w:r>
      <w:r>
        <w:rPr>
          <w:rStyle w:val="17"/>
          <w:rFonts w:hint="default" w:ascii="Times New Roman" w:hAnsi="Times New Roman" w:eastAsia="仿宋" w:cs="Times New Roman"/>
          <w:b w:val="0"/>
          <w:bCs/>
          <w:color w:val="000000"/>
          <w:sz w:val="32"/>
          <w:szCs w:val="32"/>
        </w:rPr>
        <w:t>%</w:t>
      </w:r>
      <w:r>
        <w:rPr>
          <w:rStyle w:val="17"/>
          <w:rFonts w:hint="eastAsia" w:eastAsia="仿宋" w:cs="Times New Roman"/>
          <w:b w:val="0"/>
          <w:bCs/>
          <w:color w:val="000000"/>
          <w:sz w:val="32"/>
          <w:szCs w:val="32"/>
          <w:lang w:eastAsia="zh-CN"/>
        </w:rPr>
        <w:t>，</w:t>
      </w:r>
      <w:r>
        <w:rPr>
          <w:rStyle w:val="17"/>
          <w:rFonts w:hint="eastAsia" w:eastAsia="仿宋"/>
          <w:b w:val="0"/>
          <w:bCs/>
          <w:sz w:val="32"/>
          <w:szCs w:val="32"/>
          <w:lang w:val="en-US" w:eastAsia="zh-CN"/>
        </w:rPr>
        <w:t>决算数等于预算数</w:t>
      </w:r>
      <w:r>
        <w:rPr>
          <w:rStyle w:val="17"/>
          <w:rFonts w:hint="default" w:ascii="Times New Roman" w:hAnsi="Times New Roman" w:eastAsia="仿宋" w:cs="Times New Roman"/>
          <w:b w:val="0"/>
          <w:bCs/>
          <w:color w:val="000000"/>
          <w:sz w:val="32"/>
          <w:szCs w:val="32"/>
        </w:rPr>
        <w:t>。</w:t>
      </w:r>
    </w:p>
    <w:p>
      <w:pPr>
        <w:pageBreakBefore w:val="0"/>
        <w:tabs>
          <w:tab w:val="right" w:pos="8306"/>
        </w:tabs>
        <w:kinsoku/>
        <w:wordWrap/>
        <w:overflowPunct/>
        <w:topLinePunct w:val="0"/>
        <w:bidi w:val="0"/>
        <w:spacing w:line="592" w:lineRule="exact"/>
        <w:ind w:firstLine="640"/>
        <w:textAlignment w:val="auto"/>
        <w:outlineLvl w:val="1"/>
        <w:rPr>
          <w:rStyle w:val="29"/>
          <w:rFonts w:ascii="Times New Roman" w:hAnsi="Times New Roman"/>
        </w:rPr>
      </w:pPr>
      <w:bookmarkStart w:id="34" w:name="_Toc15377214"/>
      <w:bookmarkStart w:id="35" w:name="_Toc15396608"/>
      <w:r>
        <w:rPr>
          <w:rFonts w:hint="eastAsia" w:ascii="Times New Roman" w:hAnsi="Times New Roman" w:eastAsia="黑体"/>
          <w:sz w:val="32"/>
          <w:szCs w:val="32"/>
        </w:rPr>
        <w:t>六</w:t>
      </w:r>
      <w:r>
        <w:rPr>
          <w:rFonts w:hint="eastAsia" w:ascii="Times New Roman" w:hAnsi="Times New Roman" w:eastAsia="黑体"/>
          <w:b/>
          <w:sz w:val="32"/>
          <w:szCs w:val="32"/>
        </w:rPr>
        <w:t>、一</w:t>
      </w:r>
      <w:r>
        <w:rPr>
          <w:rStyle w:val="29"/>
          <w:rFonts w:hint="eastAsia" w:ascii="Times New Roman" w:hAnsi="Times New Roman" w:eastAsia="黑体"/>
          <w:b w:val="0"/>
        </w:rPr>
        <w:t>般公共预算财政拨款基本支出决算情况说明</w:t>
      </w:r>
      <w:bookmarkEnd w:id="34"/>
      <w:bookmarkEnd w:id="35"/>
      <w:r>
        <w:rPr>
          <w:rStyle w:val="29"/>
          <w:rFonts w:ascii="Times New Roman" w:hAnsi="Times New Roman" w:eastAsia="黑体"/>
          <w:b w:val="0"/>
        </w:rPr>
        <w:tab/>
      </w:r>
    </w:p>
    <w:p>
      <w:pPr>
        <w:pageBreakBefore w:val="0"/>
        <w:kinsoku/>
        <w:wordWrap/>
        <w:overflowPunct/>
        <w:topLinePunct w:val="0"/>
        <w:bidi w:val="0"/>
        <w:spacing w:line="592" w:lineRule="exact"/>
        <w:ind w:firstLine="645"/>
        <w:textAlignment w:val="auto"/>
        <w:rPr>
          <w:rFonts w:ascii="Times New Roman" w:hAnsi="Times New Roman" w:eastAsia="仿宋"/>
          <w:sz w:val="32"/>
          <w:szCs w:val="32"/>
        </w:rPr>
      </w:pPr>
      <w:r>
        <w:rPr>
          <w:rFonts w:hint="eastAsia" w:ascii="Times New Roman" w:hAnsi="Times New Roman" w:eastAsia="仿宋"/>
          <w:sz w:val="32"/>
          <w:szCs w:val="32"/>
        </w:rPr>
        <w:t>2023年度一般公共预算财政拨款基本支出</w:t>
      </w:r>
      <w:r>
        <w:rPr>
          <w:rFonts w:ascii="Times New Roman" w:hAnsi="Times New Roman" w:eastAsia="仿宋"/>
          <w:b/>
          <w:sz w:val="32"/>
          <w:szCs w:val="32"/>
        </w:rPr>
        <w:t>206.46</w:t>
      </w:r>
      <w:r>
        <w:rPr>
          <w:rFonts w:hint="eastAsia" w:ascii="Times New Roman" w:hAnsi="Times New Roman" w:eastAsia="仿宋"/>
          <w:sz w:val="32"/>
          <w:szCs w:val="32"/>
        </w:rPr>
        <w:t>万元，其中：</w:t>
      </w:r>
    </w:p>
    <w:p>
      <w:pPr>
        <w:pageBreakBefore w:val="0"/>
        <w:kinsoku/>
        <w:wordWrap/>
        <w:overflowPunct/>
        <w:topLinePunct w:val="0"/>
        <w:bidi w:val="0"/>
        <w:spacing w:line="592" w:lineRule="exact"/>
        <w:ind w:firstLine="645"/>
        <w:textAlignment w:val="auto"/>
        <w:rPr>
          <w:rFonts w:ascii="Times New Roman" w:hAnsi="Times New Roman" w:eastAsia="仿宋"/>
          <w:sz w:val="32"/>
          <w:szCs w:val="32"/>
        </w:rPr>
      </w:pPr>
      <w:r>
        <w:rPr>
          <w:rFonts w:hint="eastAsia" w:ascii="Times New Roman" w:hAnsi="Times New Roman" w:eastAsia="仿宋"/>
          <w:sz w:val="32"/>
          <w:szCs w:val="32"/>
        </w:rPr>
        <w:t>人员经费</w:t>
      </w:r>
      <w:r>
        <w:rPr>
          <w:rFonts w:ascii="Times New Roman" w:hAnsi="Times New Roman" w:eastAsia="仿宋"/>
          <w:b/>
          <w:sz w:val="32"/>
          <w:szCs w:val="32"/>
        </w:rPr>
        <w:t>150.77</w:t>
      </w:r>
      <w:r>
        <w:rPr>
          <w:rFonts w:hint="eastAsia" w:ascii="Times New Roman" w:hAnsi="Times New Roman" w:eastAsia="仿宋"/>
          <w:sz w:val="32"/>
          <w:szCs w:val="32"/>
        </w:rPr>
        <w:t>万元，主要包括：基本工资、津贴补贴、奖金、绩效工资、机关事业单位基本养老保险缴费、其他社会保障缴费、其他工资福利支出、生活补助、其他对个人和家庭的补助支出等。</w:t>
      </w:r>
      <w:r>
        <w:rPr>
          <w:rFonts w:ascii="Times New Roman" w:hAnsi="Times New Roman" w:eastAsia="仿宋"/>
          <w:sz w:val="32"/>
          <w:szCs w:val="32"/>
        </w:rPr>
        <w:br w:type="textWrapping"/>
      </w:r>
      <w:r>
        <w:rPr>
          <w:rFonts w:hint="eastAsia" w:ascii="Times New Roman" w:hAnsi="Times New Roman" w:eastAsia="仿宋"/>
          <w:sz w:val="32"/>
          <w:szCs w:val="32"/>
        </w:rPr>
        <w:t>　　公用经费</w:t>
      </w:r>
      <w:r>
        <w:rPr>
          <w:rFonts w:ascii="Times New Roman" w:hAnsi="Times New Roman" w:eastAsia="仿宋"/>
          <w:b/>
          <w:sz w:val="32"/>
          <w:szCs w:val="32"/>
        </w:rPr>
        <w:t>55.68</w:t>
      </w:r>
      <w:r>
        <w:rPr>
          <w:rFonts w:hint="eastAsia" w:ascii="Times New Roman" w:hAnsi="Times New Roman" w:eastAsia="仿宋"/>
          <w:sz w:val="32"/>
          <w:szCs w:val="32"/>
        </w:rPr>
        <w:t>万元，主要包括：办公费、印刷费</w:t>
      </w:r>
      <w:r>
        <w:rPr>
          <w:rFonts w:hint="eastAsia" w:eastAsia="仿宋"/>
          <w:sz w:val="32"/>
          <w:szCs w:val="32"/>
          <w:lang w:eastAsia="zh-CN"/>
        </w:rPr>
        <w:t>、</w:t>
      </w:r>
      <w:r>
        <w:rPr>
          <w:rFonts w:hint="eastAsia" w:ascii="Times New Roman" w:hAnsi="Times New Roman" w:eastAsia="仿宋"/>
          <w:sz w:val="32"/>
          <w:szCs w:val="32"/>
        </w:rPr>
        <w:t>邮电费、物业管理费、差旅费、维修（护）费、租赁费、会议费、培训费、公务接待费、劳务费、工会经费、福利费、其他交通费、其他商品和服务支出。</w:t>
      </w:r>
    </w:p>
    <w:p>
      <w:pPr>
        <w:pageBreakBefore w:val="0"/>
        <w:kinsoku/>
        <w:wordWrap/>
        <w:overflowPunct/>
        <w:topLinePunct w:val="0"/>
        <w:bidi w:val="0"/>
        <w:spacing w:line="592" w:lineRule="exact"/>
        <w:ind w:firstLine="640"/>
        <w:textAlignment w:val="auto"/>
        <w:outlineLvl w:val="1"/>
        <w:rPr>
          <w:rStyle w:val="29"/>
          <w:rFonts w:ascii="Times New Roman" w:hAnsi="Times New Roman" w:eastAsia="黑体"/>
          <w:b w:val="0"/>
        </w:rPr>
      </w:pPr>
      <w:bookmarkStart w:id="36" w:name="_Toc15396609"/>
      <w:bookmarkStart w:id="37" w:name="_Toc15377215"/>
      <w:r>
        <w:rPr>
          <w:rFonts w:hint="eastAsia" w:ascii="Times New Roman" w:hAnsi="Times New Roman" w:eastAsia="黑体"/>
          <w:sz w:val="32"/>
          <w:szCs w:val="32"/>
        </w:rPr>
        <w:t>七、</w:t>
      </w:r>
      <w:r>
        <w:rPr>
          <w:rStyle w:val="29"/>
          <w:rFonts w:hint="eastAsia" w:ascii="Times New Roman" w:hAnsi="Times New Roman" w:eastAsia="黑体"/>
          <w:b w:val="0"/>
        </w:rPr>
        <w:t>财政拨款</w:t>
      </w:r>
      <w:r>
        <w:rPr>
          <w:rStyle w:val="29"/>
          <w:rFonts w:hint="eastAsia" w:ascii="Times New Roman" w:hAnsi="Times New Roman" w:eastAsia="黑体"/>
        </w:rPr>
        <w:t>“</w:t>
      </w:r>
      <w:r>
        <w:rPr>
          <w:rStyle w:val="29"/>
          <w:rFonts w:hint="eastAsia" w:ascii="Times New Roman" w:hAnsi="Times New Roman" w:eastAsia="黑体"/>
          <w:b w:val="0"/>
        </w:rPr>
        <w:t>三公”经费支出决算情况说明</w:t>
      </w:r>
      <w:bookmarkEnd w:id="36"/>
      <w:bookmarkEnd w:id="37"/>
    </w:p>
    <w:p>
      <w:pPr>
        <w:pageBreakBefore w:val="0"/>
        <w:kinsoku/>
        <w:wordWrap/>
        <w:overflowPunct/>
        <w:topLinePunct w:val="0"/>
        <w:bidi w:val="0"/>
        <w:spacing w:line="592" w:lineRule="exact"/>
        <w:ind w:firstLine="640"/>
        <w:textAlignment w:val="auto"/>
        <w:outlineLvl w:val="2"/>
        <w:rPr>
          <w:rFonts w:ascii="Times New Roman" w:hAnsi="Times New Roman" w:eastAsia="仿宋"/>
          <w:b/>
          <w:sz w:val="32"/>
          <w:szCs w:val="32"/>
        </w:rPr>
      </w:pPr>
      <w:bookmarkStart w:id="38" w:name="_Toc15377216"/>
      <w:r>
        <w:rPr>
          <w:rFonts w:hint="eastAsia" w:ascii="Times New Roman" w:hAnsi="Times New Roman" w:eastAsia="仿宋"/>
          <w:b/>
          <w:sz w:val="32"/>
          <w:szCs w:val="32"/>
        </w:rPr>
        <w:t>（一）“三公”经费财政拨款支出决算总体情况说明</w:t>
      </w:r>
      <w:bookmarkEnd w:id="38"/>
    </w:p>
    <w:p>
      <w:pPr>
        <w:pageBreakBefore w:val="0"/>
        <w:kinsoku/>
        <w:wordWrap/>
        <w:overflowPunct/>
        <w:topLinePunct w:val="0"/>
        <w:bidi w:val="0"/>
        <w:spacing w:line="592" w:lineRule="exact"/>
        <w:ind w:firstLine="640"/>
        <w:textAlignment w:val="auto"/>
        <w:rPr>
          <w:rFonts w:ascii="Times New Roman" w:hAnsi="Times New Roman" w:eastAsia="仿宋"/>
          <w:sz w:val="32"/>
          <w:szCs w:val="32"/>
        </w:rPr>
      </w:pPr>
      <w:r>
        <w:rPr>
          <w:rFonts w:hint="eastAsia" w:ascii="Times New Roman" w:hAnsi="Times New Roman" w:eastAsia="仿宋"/>
          <w:sz w:val="32"/>
          <w:szCs w:val="32"/>
        </w:rPr>
        <w:t>2023年度“三公”经费财政拨款支出决算为</w:t>
      </w:r>
      <w:r>
        <w:rPr>
          <w:rFonts w:ascii="Times New Roman" w:hAnsi="Times New Roman" w:eastAsia="仿宋"/>
          <w:b/>
          <w:sz w:val="32"/>
          <w:szCs w:val="32"/>
        </w:rPr>
        <w:t>1.05</w:t>
      </w:r>
      <w:r>
        <w:rPr>
          <w:rFonts w:hint="eastAsia" w:ascii="Times New Roman" w:hAnsi="Times New Roman" w:eastAsia="仿宋"/>
          <w:sz w:val="32"/>
          <w:szCs w:val="32"/>
        </w:rPr>
        <w:t>万元，完成预算</w:t>
      </w:r>
      <w:r>
        <w:rPr>
          <w:rFonts w:ascii="Times New Roman" w:hAnsi="Times New Roman" w:eastAsia="仿宋"/>
          <w:b/>
          <w:sz w:val="32"/>
          <w:szCs w:val="32"/>
        </w:rPr>
        <w:t>100</w:t>
      </w:r>
      <w:r>
        <w:rPr>
          <w:rFonts w:ascii="Times New Roman" w:hAnsi="Times New Roman" w:eastAsia="仿宋"/>
          <w:sz w:val="32"/>
          <w:szCs w:val="32"/>
        </w:rPr>
        <w:t>%</w:t>
      </w:r>
      <w:r>
        <w:rPr>
          <w:rFonts w:hint="eastAsia" w:ascii="Times New Roman" w:hAnsi="Times New Roman" w:eastAsia="仿宋"/>
          <w:sz w:val="32"/>
          <w:szCs w:val="32"/>
        </w:rPr>
        <w:t>，较上年度减少</w:t>
      </w:r>
      <w:r>
        <w:rPr>
          <w:rFonts w:hint="eastAsia" w:eastAsia="仿宋"/>
          <w:sz w:val="32"/>
          <w:szCs w:val="32"/>
          <w:lang w:val="en-US" w:eastAsia="zh-CN"/>
        </w:rPr>
        <w:t>5.76</w:t>
      </w:r>
      <w:r>
        <w:rPr>
          <w:rFonts w:hint="eastAsia" w:ascii="Times New Roman" w:hAnsi="Times New Roman" w:eastAsia="仿宋"/>
          <w:sz w:val="32"/>
          <w:szCs w:val="32"/>
        </w:rPr>
        <w:t>万元，下降</w:t>
      </w:r>
      <w:r>
        <w:rPr>
          <w:rFonts w:hint="eastAsia" w:eastAsia="仿宋"/>
          <w:sz w:val="32"/>
          <w:szCs w:val="32"/>
          <w:lang w:val="en-US" w:eastAsia="zh-CN"/>
        </w:rPr>
        <w:t>84.58</w:t>
      </w:r>
      <w:r>
        <w:rPr>
          <w:rFonts w:hint="eastAsia" w:ascii="Times New Roman" w:hAnsi="Times New Roman" w:eastAsia="仿宋"/>
          <w:sz w:val="32"/>
          <w:szCs w:val="32"/>
        </w:rPr>
        <w:t>%。决算数与预算数持平的主要原因是</w:t>
      </w:r>
      <w:r>
        <w:rPr>
          <w:rFonts w:hint="eastAsia" w:eastAsia="仿宋"/>
          <w:sz w:val="32"/>
          <w:szCs w:val="32"/>
          <w:lang w:eastAsia="zh-CN"/>
        </w:rPr>
        <w:t>完成预算执行</w:t>
      </w:r>
      <w:r>
        <w:rPr>
          <w:rFonts w:hint="eastAsia" w:ascii="Times New Roman" w:hAnsi="Times New Roman" w:eastAsia="仿宋"/>
          <w:sz w:val="32"/>
          <w:szCs w:val="32"/>
        </w:rPr>
        <w:t>。</w:t>
      </w:r>
    </w:p>
    <w:p>
      <w:pPr>
        <w:pageBreakBefore w:val="0"/>
        <w:kinsoku/>
        <w:wordWrap/>
        <w:overflowPunct/>
        <w:topLinePunct w:val="0"/>
        <w:bidi w:val="0"/>
        <w:spacing w:line="592" w:lineRule="exact"/>
        <w:ind w:firstLine="640"/>
        <w:textAlignment w:val="auto"/>
        <w:outlineLvl w:val="2"/>
        <w:rPr>
          <w:rFonts w:ascii="Times New Roman" w:hAnsi="Times New Roman" w:eastAsia="仿宋"/>
          <w:b/>
          <w:sz w:val="32"/>
          <w:szCs w:val="32"/>
        </w:rPr>
      </w:pPr>
      <w:bookmarkStart w:id="39" w:name="_Toc15377217"/>
      <w:r>
        <w:rPr>
          <w:rFonts w:hint="eastAsia" w:ascii="Times New Roman" w:hAnsi="Times New Roman" w:eastAsia="仿宋"/>
          <w:b/>
          <w:sz w:val="32"/>
          <w:szCs w:val="32"/>
        </w:rPr>
        <w:t>（二）“三公”经费财政拨款支出决算具体情况说明</w:t>
      </w:r>
      <w:bookmarkEnd w:id="39"/>
    </w:p>
    <w:p>
      <w:pPr>
        <w:pageBreakBefore w:val="0"/>
        <w:kinsoku/>
        <w:wordWrap/>
        <w:overflowPunct/>
        <w:topLinePunct w:val="0"/>
        <w:bidi w:val="0"/>
        <w:spacing w:line="592" w:lineRule="exact"/>
        <w:ind w:firstLine="640"/>
        <w:textAlignment w:val="auto"/>
        <w:rPr>
          <w:rFonts w:ascii="Times New Roman" w:hAnsi="Times New Roman" w:eastAsia="仿宋"/>
          <w:sz w:val="32"/>
          <w:szCs w:val="32"/>
        </w:rPr>
      </w:pPr>
      <w:r>
        <w:rPr>
          <w:rFonts w:hint="eastAsia" w:ascii="Times New Roman" w:hAnsi="Times New Roman" w:eastAsia="仿宋"/>
          <w:sz w:val="32"/>
          <w:szCs w:val="32"/>
        </w:rPr>
        <w:t>2023年度“三公”经费财政拨款支出决算中，因公出国（境）费支出决算</w:t>
      </w:r>
      <w:r>
        <w:rPr>
          <w:rFonts w:ascii="Times New Roman" w:hAnsi="Times New Roman" w:eastAsia="仿宋"/>
          <w:b/>
          <w:sz w:val="32"/>
          <w:szCs w:val="32"/>
        </w:rPr>
        <w:t>0</w:t>
      </w:r>
      <w:r>
        <w:rPr>
          <w:rFonts w:hint="eastAsia" w:ascii="Times New Roman" w:hAnsi="Times New Roman" w:eastAsia="仿宋"/>
          <w:sz w:val="32"/>
          <w:szCs w:val="32"/>
        </w:rPr>
        <w:t>万元，占</w:t>
      </w:r>
      <w:r>
        <w:rPr>
          <w:rFonts w:ascii="Times New Roman" w:hAnsi="Times New Roman" w:eastAsia="仿宋"/>
          <w:b/>
          <w:sz w:val="32"/>
          <w:szCs w:val="32"/>
        </w:rPr>
        <w:t>0</w:t>
      </w:r>
      <w:r>
        <w:rPr>
          <w:rFonts w:ascii="Times New Roman" w:hAnsi="Times New Roman" w:eastAsia="仿宋"/>
          <w:sz w:val="32"/>
          <w:szCs w:val="32"/>
        </w:rPr>
        <w:t>%</w:t>
      </w:r>
      <w:r>
        <w:rPr>
          <w:rFonts w:hint="eastAsia" w:ascii="Times New Roman" w:hAnsi="Times New Roman" w:eastAsia="仿宋"/>
          <w:sz w:val="32"/>
          <w:szCs w:val="32"/>
        </w:rPr>
        <w:t>；公务用车购置及运行维护费支出决算</w:t>
      </w:r>
      <w:r>
        <w:rPr>
          <w:rFonts w:ascii="Times New Roman" w:hAnsi="Times New Roman" w:eastAsia="仿宋"/>
          <w:b/>
          <w:sz w:val="32"/>
          <w:szCs w:val="32"/>
        </w:rPr>
        <w:t>0</w:t>
      </w:r>
      <w:r>
        <w:rPr>
          <w:rFonts w:hint="eastAsia" w:ascii="Times New Roman" w:hAnsi="Times New Roman" w:eastAsia="仿宋"/>
          <w:sz w:val="32"/>
          <w:szCs w:val="32"/>
        </w:rPr>
        <w:t>万元，占</w:t>
      </w:r>
      <w:r>
        <w:rPr>
          <w:rFonts w:ascii="Times New Roman" w:hAnsi="Times New Roman" w:eastAsia="仿宋"/>
          <w:b/>
          <w:sz w:val="32"/>
          <w:szCs w:val="32"/>
        </w:rPr>
        <w:t>0</w:t>
      </w:r>
      <w:r>
        <w:rPr>
          <w:rFonts w:ascii="Times New Roman" w:hAnsi="Times New Roman" w:eastAsia="仿宋"/>
          <w:sz w:val="32"/>
          <w:szCs w:val="32"/>
        </w:rPr>
        <w:t>%</w:t>
      </w:r>
      <w:r>
        <w:rPr>
          <w:rFonts w:hint="eastAsia" w:ascii="Times New Roman" w:hAnsi="Times New Roman" w:eastAsia="仿宋"/>
          <w:sz w:val="32"/>
          <w:szCs w:val="32"/>
        </w:rPr>
        <w:t>；公务接待费支出决算</w:t>
      </w:r>
      <w:r>
        <w:rPr>
          <w:rFonts w:ascii="Times New Roman" w:hAnsi="Times New Roman" w:eastAsia="仿宋"/>
          <w:b/>
          <w:sz w:val="32"/>
          <w:szCs w:val="32"/>
        </w:rPr>
        <w:t>1.05</w:t>
      </w:r>
      <w:r>
        <w:rPr>
          <w:rFonts w:hint="eastAsia" w:ascii="Times New Roman" w:hAnsi="Times New Roman" w:eastAsia="仿宋"/>
          <w:sz w:val="32"/>
          <w:szCs w:val="32"/>
        </w:rPr>
        <w:t>万元，占</w:t>
      </w:r>
      <w:r>
        <w:rPr>
          <w:rFonts w:ascii="Times New Roman" w:hAnsi="Times New Roman" w:eastAsia="仿宋"/>
          <w:b/>
          <w:sz w:val="32"/>
          <w:szCs w:val="32"/>
        </w:rPr>
        <w:t>100</w:t>
      </w:r>
      <w:r>
        <w:rPr>
          <w:rFonts w:ascii="Times New Roman" w:hAnsi="Times New Roman" w:eastAsia="仿宋"/>
          <w:sz w:val="32"/>
          <w:szCs w:val="32"/>
        </w:rPr>
        <w:t>%</w:t>
      </w:r>
      <w:r>
        <w:rPr>
          <w:rFonts w:hint="eastAsia" w:ascii="Times New Roman" w:hAnsi="Times New Roman" w:eastAsia="仿宋"/>
          <w:sz w:val="32"/>
          <w:szCs w:val="32"/>
        </w:rPr>
        <w:t>。具体情况如下：</w:t>
      </w:r>
    </w:p>
    <w:p>
      <w:pPr>
        <w:pageBreakBefore w:val="0"/>
        <w:kinsoku/>
        <w:wordWrap/>
        <w:overflowPunct/>
        <w:topLinePunct w:val="0"/>
        <w:bidi w:val="0"/>
        <w:spacing w:line="592" w:lineRule="exact"/>
        <w:textAlignment w:val="auto"/>
        <w:rPr>
          <w:rFonts w:hint="eastAsia" w:ascii="Times New Roman" w:hAnsi="Times New Roman" w:eastAsia="仿宋"/>
          <w:sz w:val="32"/>
          <w:szCs w:val="32"/>
        </w:rPr>
      </w:pPr>
      <w:r>
        <w:rPr>
          <w:rFonts w:hint="eastAsia" w:ascii="Times New Roman" w:hAnsi="Times New Roman" w:eastAsia="仿宋"/>
          <w:sz w:val="32"/>
          <w:szCs w:val="32"/>
        </w:rPr>
        <w:t>（图7：“三公”经费财政拨款支出结构）（饼状图）</w:t>
      </w:r>
    </w:p>
    <w:p>
      <w:pPr>
        <w:rPr>
          <w:rFonts w:hint="eastAsia" w:ascii="Times New Roman" w:hAnsi="Times New Roman" w:eastAsia="仿宋"/>
          <w:sz w:val="32"/>
          <w:szCs w:val="32"/>
        </w:rPr>
      </w:pPr>
      <w:r>
        <w:rPr>
          <w:rFonts w:hint="eastAsia" w:ascii="Times New Roman" w:hAnsi="Times New Roman" w:eastAsia="仿宋_GB2312"/>
          <w:sz w:val="32"/>
          <w:szCs w:val="32"/>
          <w:lang w:eastAsia="zh-CN"/>
        </w:rPr>
        <w:drawing>
          <wp:inline distT="0" distB="0" distL="114300" distR="114300">
            <wp:extent cx="4484370" cy="2296160"/>
            <wp:effectExtent l="5080" t="4445" r="6350" b="1079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ageBreakBefore w:val="0"/>
        <w:kinsoku/>
        <w:wordWrap/>
        <w:overflowPunct/>
        <w:topLinePunct w:val="0"/>
        <w:bidi w:val="0"/>
        <w:spacing w:line="592" w:lineRule="exact"/>
        <w:ind w:firstLine="640"/>
        <w:textAlignment w:val="auto"/>
        <w:rPr>
          <w:rFonts w:ascii="Times New Roman" w:hAnsi="Times New Roman" w:eastAsia="仿宋_GB2312"/>
          <w:b/>
          <w:sz w:val="32"/>
          <w:szCs w:val="32"/>
        </w:rPr>
      </w:pPr>
      <w:bookmarkStart w:id="40" w:name="_Toc15396610"/>
      <w:bookmarkStart w:id="41" w:name="_Toc15377218"/>
      <w:r>
        <w:rPr>
          <w:rFonts w:ascii="Times New Roman" w:hAnsi="Times New Roman" w:eastAsia="仿宋_GB2312"/>
          <w:b/>
          <w:sz w:val="32"/>
          <w:szCs w:val="32"/>
        </w:rPr>
        <w:t>1.</w:t>
      </w:r>
      <w:r>
        <w:rPr>
          <w:rFonts w:hint="eastAsia" w:ascii="Times New Roman" w:hAnsi="Times New Roman" w:eastAsia="仿宋_GB2312"/>
          <w:b/>
          <w:sz w:val="32"/>
          <w:szCs w:val="32"/>
        </w:rPr>
        <w:t>因公出国（境）经费支出</w:t>
      </w:r>
      <w:r>
        <w:rPr>
          <w:rFonts w:ascii="Times New Roman" w:hAnsi="Times New Roman" w:eastAsia="仿宋"/>
          <w:b/>
          <w:sz w:val="32"/>
          <w:szCs w:val="32"/>
        </w:rPr>
        <w:t>0</w:t>
      </w:r>
      <w:r>
        <w:rPr>
          <w:rFonts w:hint="eastAsia" w:ascii="Times New Roman" w:hAnsi="Times New Roman" w:eastAsia="仿宋_GB2312"/>
          <w:sz w:val="32"/>
          <w:szCs w:val="32"/>
        </w:rPr>
        <w:t>万元，</w:t>
      </w:r>
      <w:r>
        <w:rPr>
          <w:rStyle w:val="17"/>
          <w:rFonts w:hint="eastAsia" w:ascii="Times New Roman" w:hAnsi="Times New Roman" w:eastAsia="仿宋"/>
          <w:b w:val="0"/>
          <w:bCs/>
          <w:sz w:val="32"/>
          <w:szCs w:val="32"/>
        </w:rPr>
        <w:t>完成预算</w:t>
      </w:r>
      <w:r>
        <w:rPr>
          <w:rStyle w:val="17"/>
          <w:rFonts w:ascii="Times New Roman" w:hAnsi="Times New Roman" w:eastAsia="仿宋"/>
          <w:bCs/>
          <w:sz w:val="32"/>
          <w:szCs w:val="32"/>
        </w:rPr>
        <w:t>0</w:t>
      </w:r>
      <w:r>
        <w:rPr>
          <w:rStyle w:val="17"/>
          <w:rFonts w:ascii="Times New Roman" w:hAnsi="Times New Roman" w:eastAsia="仿宋"/>
          <w:b w:val="0"/>
          <w:bCs/>
          <w:sz w:val="32"/>
          <w:szCs w:val="32"/>
        </w:rPr>
        <w:t>%</w:t>
      </w:r>
      <w:r>
        <w:rPr>
          <w:rStyle w:val="17"/>
          <w:rFonts w:hint="eastAsia" w:ascii="Times New Roman" w:hAnsi="Times New Roman" w:eastAsia="仿宋"/>
          <w:b w:val="0"/>
          <w:bCs/>
          <w:sz w:val="32"/>
          <w:szCs w:val="32"/>
        </w:rPr>
        <w:t>。</w:t>
      </w:r>
      <w:r>
        <w:rPr>
          <w:rFonts w:hint="eastAsia" w:ascii="Times New Roman" w:hAnsi="Times New Roman" w:eastAsia="仿宋_GB2312"/>
          <w:sz w:val="32"/>
          <w:szCs w:val="32"/>
        </w:rPr>
        <w:t>全年安排因公出国（境）团组</w:t>
      </w:r>
      <w:r>
        <w:rPr>
          <w:rFonts w:ascii="Times New Roman" w:hAnsi="Times New Roman" w:eastAsia="仿宋_GB2312"/>
          <w:b/>
          <w:sz w:val="32"/>
          <w:szCs w:val="32"/>
        </w:rPr>
        <w:t>0</w:t>
      </w:r>
      <w:r>
        <w:rPr>
          <w:rFonts w:hint="eastAsia" w:ascii="Times New Roman" w:hAnsi="Times New Roman" w:eastAsia="仿宋_GB2312"/>
          <w:sz w:val="32"/>
          <w:szCs w:val="32"/>
        </w:rPr>
        <w:t>次，出国（境）</w:t>
      </w:r>
      <w:r>
        <w:rPr>
          <w:rFonts w:ascii="Times New Roman" w:hAnsi="Times New Roman" w:eastAsia="仿宋_GB2312"/>
          <w:b/>
          <w:sz w:val="32"/>
          <w:szCs w:val="32"/>
        </w:rPr>
        <w:t>0</w:t>
      </w:r>
      <w:r>
        <w:rPr>
          <w:rFonts w:hint="eastAsia" w:ascii="Times New Roman" w:hAnsi="Times New Roman" w:eastAsia="仿宋_GB2312"/>
          <w:sz w:val="32"/>
          <w:szCs w:val="32"/>
        </w:rPr>
        <w:t>人。</w:t>
      </w:r>
    </w:p>
    <w:p>
      <w:pPr>
        <w:pageBreakBefore w:val="0"/>
        <w:kinsoku/>
        <w:wordWrap/>
        <w:overflowPunct/>
        <w:topLinePunct w:val="0"/>
        <w:bidi w:val="0"/>
        <w:spacing w:line="592" w:lineRule="exact"/>
        <w:ind w:firstLine="640"/>
        <w:textAlignment w:val="auto"/>
        <w:rPr>
          <w:rFonts w:ascii="Times New Roman" w:hAnsi="Times New Roman" w:eastAsia="仿宋_GB2312"/>
          <w:b/>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公务用车购置及运行维护费支出</w:t>
      </w:r>
      <w:r>
        <w:rPr>
          <w:rFonts w:ascii="Times New Roman" w:hAnsi="Times New Roman" w:eastAsia="仿宋"/>
          <w:b/>
          <w:sz w:val="32"/>
          <w:szCs w:val="32"/>
        </w:rPr>
        <w:t>0</w:t>
      </w:r>
      <w:r>
        <w:rPr>
          <w:rFonts w:hint="eastAsia" w:ascii="Times New Roman" w:hAnsi="Times New Roman" w:eastAsia="仿宋_GB2312"/>
          <w:sz w:val="32"/>
          <w:szCs w:val="32"/>
        </w:rPr>
        <w:t>万元,</w:t>
      </w:r>
      <w:r>
        <w:rPr>
          <w:rStyle w:val="17"/>
          <w:rFonts w:hint="eastAsia" w:ascii="Times New Roman" w:hAnsi="Times New Roman" w:eastAsia="仿宋"/>
          <w:b w:val="0"/>
          <w:bCs/>
          <w:sz w:val="32"/>
          <w:szCs w:val="32"/>
        </w:rPr>
        <w:t>完成预算</w:t>
      </w:r>
      <w:r>
        <w:rPr>
          <w:rStyle w:val="17"/>
          <w:rFonts w:ascii="Times New Roman" w:hAnsi="Times New Roman" w:eastAsia="仿宋"/>
          <w:bCs/>
          <w:sz w:val="32"/>
          <w:szCs w:val="32"/>
        </w:rPr>
        <w:t>0</w:t>
      </w:r>
      <w:r>
        <w:rPr>
          <w:rStyle w:val="17"/>
          <w:rFonts w:ascii="Times New Roman" w:hAnsi="Times New Roman" w:eastAsia="仿宋"/>
          <w:b w:val="0"/>
          <w:bCs/>
          <w:sz w:val="32"/>
          <w:szCs w:val="32"/>
        </w:rPr>
        <w:t>%</w:t>
      </w:r>
      <w:r>
        <w:rPr>
          <w:rStyle w:val="17"/>
          <w:rFonts w:hint="eastAsia" w:ascii="Times New Roman" w:hAnsi="Times New Roman" w:eastAsia="仿宋"/>
          <w:b w:val="0"/>
          <w:bCs/>
          <w:sz w:val="32"/>
          <w:szCs w:val="32"/>
        </w:rPr>
        <w:t>。</w:t>
      </w:r>
    </w:p>
    <w:p>
      <w:pPr>
        <w:pageBreakBefore w:val="0"/>
        <w:kinsoku/>
        <w:wordWrap/>
        <w:overflowPunct/>
        <w:topLinePunct w:val="0"/>
        <w:bidi w:val="0"/>
        <w:spacing w:line="592" w:lineRule="exact"/>
        <w:ind w:firstLine="640"/>
        <w:textAlignment w:val="auto"/>
        <w:rPr>
          <w:rFonts w:ascii="Times New Roman" w:hAnsi="Times New Roman" w:eastAsia="仿宋_GB2312"/>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公务接待费支出</w:t>
      </w:r>
      <w:r>
        <w:rPr>
          <w:rFonts w:ascii="Times New Roman" w:hAnsi="Times New Roman" w:eastAsia="仿宋"/>
          <w:b/>
          <w:sz w:val="32"/>
          <w:szCs w:val="32"/>
        </w:rPr>
        <w:t>1.05</w:t>
      </w:r>
      <w:r>
        <w:rPr>
          <w:rFonts w:hint="eastAsia" w:ascii="Times New Roman" w:hAnsi="Times New Roman" w:eastAsia="仿宋_GB2312"/>
          <w:sz w:val="32"/>
          <w:szCs w:val="32"/>
        </w:rPr>
        <w:t>万元，</w:t>
      </w:r>
      <w:r>
        <w:rPr>
          <w:rStyle w:val="17"/>
          <w:rFonts w:hint="eastAsia" w:ascii="Times New Roman" w:hAnsi="Times New Roman" w:eastAsia="仿宋"/>
          <w:b w:val="0"/>
          <w:bCs/>
          <w:sz w:val="32"/>
          <w:szCs w:val="32"/>
        </w:rPr>
        <w:t>完成预算</w:t>
      </w:r>
      <w:r>
        <w:rPr>
          <w:rStyle w:val="17"/>
          <w:rFonts w:ascii="Times New Roman" w:hAnsi="Times New Roman" w:eastAsia="仿宋"/>
          <w:b w:val="0"/>
          <w:bCs/>
          <w:sz w:val="32"/>
          <w:szCs w:val="32"/>
        </w:rPr>
        <w:t>100%</w:t>
      </w:r>
      <w:r>
        <w:rPr>
          <w:rStyle w:val="17"/>
          <w:rFonts w:hint="eastAsia" w:ascii="Times New Roman" w:hAnsi="Times New Roman" w:eastAsia="仿宋"/>
          <w:b w:val="0"/>
          <w:bCs/>
          <w:sz w:val="32"/>
          <w:szCs w:val="32"/>
        </w:rPr>
        <w:t>。</w:t>
      </w:r>
      <w:r>
        <w:rPr>
          <w:rFonts w:hint="eastAsia" w:ascii="Times New Roman" w:hAnsi="Times New Roman" w:eastAsia="仿宋_GB2312"/>
          <w:sz w:val="32"/>
          <w:szCs w:val="32"/>
        </w:rPr>
        <w:t>公务接待费支出决算比2022年度减少</w:t>
      </w:r>
      <w:r>
        <w:rPr>
          <w:rFonts w:hint="eastAsia" w:eastAsia="仿宋_GB2312"/>
          <w:sz w:val="32"/>
          <w:szCs w:val="32"/>
          <w:lang w:val="en-US" w:eastAsia="zh-CN"/>
        </w:rPr>
        <w:t>5.76</w:t>
      </w:r>
      <w:r>
        <w:rPr>
          <w:rFonts w:hint="eastAsia" w:ascii="Times New Roman" w:hAnsi="Times New Roman" w:eastAsia="仿宋_GB2312"/>
          <w:sz w:val="32"/>
          <w:szCs w:val="32"/>
        </w:rPr>
        <w:t>万元，下降</w:t>
      </w:r>
      <w:r>
        <w:rPr>
          <w:rFonts w:hint="eastAsia" w:eastAsia="仿宋_GB2312"/>
          <w:sz w:val="32"/>
          <w:szCs w:val="32"/>
          <w:lang w:val="en-US" w:eastAsia="zh-CN"/>
        </w:rPr>
        <w:t>84.58</w:t>
      </w:r>
      <w:r>
        <w:rPr>
          <w:rFonts w:ascii="Times New Roman" w:hAnsi="Times New Roman" w:eastAsia="仿宋_GB2312"/>
          <w:sz w:val="32"/>
          <w:szCs w:val="32"/>
        </w:rPr>
        <w:t>%</w:t>
      </w:r>
      <w:r>
        <w:rPr>
          <w:rFonts w:hint="eastAsia" w:ascii="Times New Roman" w:hAnsi="Times New Roman" w:eastAsia="仿宋_GB2312"/>
          <w:sz w:val="32"/>
          <w:szCs w:val="32"/>
        </w:rPr>
        <w:t>。主要原因是</w:t>
      </w:r>
      <w:r>
        <w:rPr>
          <w:rFonts w:hint="eastAsia" w:eastAsia="仿宋_GB2312"/>
          <w:sz w:val="32"/>
          <w:szCs w:val="32"/>
          <w:lang w:eastAsia="zh-CN"/>
        </w:rPr>
        <w:t>完成预算执行，厉行节俭</w:t>
      </w:r>
      <w:r>
        <w:rPr>
          <w:rFonts w:hint="eastAsia" w:ascii="Times New Roman" w:hAnsi="Times New Roman" w:eastAsia="仿宋_GB2312"/>
          <w:sz w:val="32"/>
          <w:szCs w:val="32"/>
        </w:rPr>
        <w:t>。其中：</w:t>
      </w:r>
    </w:p>
    <w:p>
      <w:pPr>
        <w:pageBreakBefore w:val="0"/>
        <w:kinsoku/>
        <w:wordWrap/>
        <w:overflowPunct/>
        <w:topLinePunct w:val="0"/>
        <w:bidi w:val="0"/>
        <w:spacing w:line="592" w:lineRule="exact"/>
        <w:ind w:firstLine="640"/>
        <w:textAlignment w:val="auto"/>
        <w:rPr>
          <w:rFonts w:ascii="Times New Roman" w:hAnsi="Times New Roman" w:eastAsia="仿宋_GB2312"/>
          <w:sz w:val="32"/>
          <w:szCs w:val="32"/>
        </w:rPr>
      </w:pPr>
      <w:r>
        <w:rPr>
          <w:rFonts w:hint="eastAsia" w:ascii="Times New Roman" w:hAnsi="Times New Roman" w:eastAsia="仿宋"/>
          <w:b/>
          <w:sz w:val="32"/>
          <w:szCs w:val="32"/>
        </w:rPr>
        <w:t>国内公务接待支出</w:t>
      </w:r>
      <w:r>
        <w:rPr>
          <w:rFonts w:ascii="Times New Roman" w:hAnsi="Times New Roman" w:eastAsia="仿宋"/>
          <w:b/>
          <w:sz w:val="32"/>
          <w:szCs w:val="32"/>
        </w:rPr>
        <w:t>1.05</w:t>
      </w:r>
      <w:r>
        <w:rPr>
          <w:rFonts w:hint="eastAsia" w:ascii="Times New Roman" w:hAnsi="Times New Roman" w:eastAsia="仿宋_GB2312"/>
          <w:sz w:val="32"/>
          <w:szCs w:val="32"/>
        </w:rPr>
        <w:t>万元，主要用于执行公务、开展业务活动开支的交通费、住宿费、用餐费等。</w:t>
      </w:r>
    </w:p>
    <w:p>
      <w:pPr>
        <w:pageBreakBefore w:val="0"/>
        <w:kinsoku/>
        <w:wordWrap/>
        <w:overflowPunct/>
        <w:topLinePunct w:val="0"/>
        <w:bidi w:val="0"/>
        <w:spacing w:line="592" w:lineRule="exact"/>
        <w:ind w:firstLine="640"/>
        <w:textAlignment w:val="auto"/>
        <w:outlineLvl w:val="1"/>
        <w:rPr>
          <w:rStyle w:val="29"/>
          <w:rFonts w:ascii="Times New Roman" w:hAnsi="Times New Roman" w:eastAsia="黑体"/>
        </w:rPr>
      </w:pPr>
      <w:r>
        <w:rPr>
          <w:rFonts w:hint="eastAsia" w:ascii="Times New Roman" w:hAnsi="Times New Roman" w:eastAsia="黑体"/>
          <w:sz w:val="32"/>
          <w:szCs w:val="32"/>
        </w:rPr>
        <w:t>八、</w:t>
      </w:r>
      <w:r>
        <w:rPr>
          <w:rStyle w:val="29"/>
          <w:rFonts w:hint="eastAsia" w:ascii="Times New Roman" w:hAnsi="Times New Roman" w:eastAsia="黑体"/>
          <w:b w:val="0"/>
        </w:rPr>
        <w:t>政府性基金预算支出决算情况说明</w:t>
      </w:r>
      <w:bookmarkEnd w:id="40"/>
      <w:bookmarkEnd w:id="41"/>
    </w:p>
    <w:p>
      <w:pPr>
        <w:pageBreakBefore w:val="0"/>
        <w:kinsoku/>
        <w:wordWrap/>
        <w:overflowPunct/>
        <w:topLinePunct w:val="0"/>
        <w:bidi w:val="0"/>
        <w:spacing w:line="592" w:lineRule="exact"/>
        <w:ind w:firstLine="640"/>
        <w:textAlignment w:val="auto"/>
        <w:rPr>
          <w:rFonts w:ascii="Times New Roman" w:hAnsi="Times New Roman" w:eastAsia="仿宋_GB2312"/>
          <w:sz w:val="32"/>
          <w:szCs w:val="32"/>
        </w:rPr>
      </w:pPr>
      <w:r>
        <w:rPr>
          <w:rFonts w:hint="eastAsia" w:ascii="Times New Roman" w:hAnsi="Times New Roman" w:eastAsia="仿宋_GB2312"/>
          <w:sz w:val="32"/>
          <w:szCs w:val="32"/>
        </w:rPr>
        <w:t>2023年度政府性基金预算财政拨款支出</w:t>
      </w:r>
      <w:r>
        <w:rPr>
          <w:rFonts w:ascii="Times New Roman" w:hAnsi="Times New Roman" w:eastAsia="仿宋"/>
          <w:b/>
          <w:sz w:val="32"/>
          <w:szCs w:val="32"/>
        </w:rPr>
        <w:t>0</w:t>
      </w:r>
      <w:r>
        <w:rPr>
          <w:rFonts w:hint="eastAsia" w:ascii="Times New Roman" w:hAnsi="Times New Roman" w:eastAsia="仿宋_GB2312"/>
          <w:sz w:val="32"/>
          <w:szCs w:val="32"/>
        </w:rPr>
        <w:t>万元。</w:t>
      </w:r>
    </w:p>
    <w:p>
      <w:pPr>
        <w:pageBreakBefore w:val="0"/>
        <w:numPr>
          <w:ilvl w:val="0"/>
          <w:numId w:val="3"/>
        </w:numPr>
        <w:kinsoku/>
        <w:wordWrap/>
        <w:overflowPunct/>
        <w:topLinePunct w:val="0"/>
        <w:bidi w:val="0"/>
        <w:spacing w:line="592" w:lineRule="exact"/>
        <w:ind w:firstLine="640"/>
        <w:textAlignment w:val="auto"/>
        <w:outlineLvl w:val="1"/>
        <w:rPr>
          <w:rStyle w:val="29"/>
          <w:rFonts w:ascii="Times New Roman" w:hAnsi="Times New Roman" w:eastAsia="黑体"/>
          <w:b w:val="0"/>
        </w:rPr>
      </w:pPr>
      <w:bookmarkStart w:id="42" w:name="_Toc15396611"/>
      <w:bookmarkStart w:id="43" w:name="_Toc15377219"/>
      <w:r>
        <w:rPr>
          <w:rStyle w:val="29"/>
          <w:rFonts w:hint="eastAsia" w:ascii="Times New Roman" w:hAnsi="Times New Roman" w:eastAsia="黑体"/>
          <w:b w:val="0"/>
        </w:rPr>
        <w:t>国有资本经营预算支出决算情况说明</w:t>
      </w:r>
      <w:bookmarkEnd w:id="42"/>
      <w:bookmarkEnd w:id="43"/>
    </w:p>
    <w:p>
      <w:pPr>
        <w:pageBreakBefore w:val="0"/>
        <w:kinsoku/>
        <w:wordWrap/>
        <w:overflowPunct/>
        <w:topLinePunct w:val="0"/>
        <w:bidi w:val="0"/>
        <w:spacing w:line="592" w:lineRule="exact"/>
        <w:ind w:firstLine="640"/>
        <w:textAlignment w:val="auto"/>
        <w:rPr>
          <w:rFonts w:ascii="Times New Roman" w:hAnsi="Times New Roman" w:eastAsia="方正小标宋简体" w:cs="方正小标宋简体"/>
          <w:sz w:val="44"/>
          <w:szCs w:val="44"/>
        </w:rPr>
      </w:pPr>
      <w:r>
        <w:rPr>
          <w:rFonts w:hint="eastAsia" w:ascii="Times New Roman" w:hAnsi="Times New Roman" w:eastAsia="仿宋_GB2312"/>
          <w:sz w:val="32"/>
          <w:szCs w:val="32"/>
        </w:rPr>
        <w:t>2023年度国有资本经营预算财政拨款支出</w:t>
      </w:r>
      <w:r>
        <w:rPr>
          <w:rFonts w:ascii="Times New Roman" w:hAnsi="Times New Roman" w:eastAsia="仿宋"/>
          <w:b/>
          <w:sz w:val="32"/>
          <w:szCs w:val="32"/>
        </w:rPr>
        <w:t>0</w:t>
      </w:r>
      <w:r>
        <w:rPr>
          <w:rFonts w:hint="eastAsia" w:ascii="Times New Roman" w:hAnsi="Times New Roman" w:eastAsia="仿宋_GB2312"/>
          <w:sz w:val="32"/>
          <w:szCs w:val="32"/>
        </w:rPr>
        <w:t>万元。</w:t>
      </w:r>
    </w:p>
    <w:p>
      <w:pPr>
        <w:pageBreakBefore w:val="0"/>
        <w:numPr>
          <w:ilvl w:val="0"/>
          <w:numId w:val="3"/>
        </w:numPr>
        <w:kinsoku/>
        <w:wordWrap/>
        <w:overflowPunct/>
        <w:topLinePunct w:val="0"/>
        <w:bidi w:val="0"/>
        <w:spacing w:line="592" w:lineRule="exact"/>
        <w:ind w:firstLine="640"/>
        <w:textAlignment w:val="auto"/>
        <w:outlineLvl w:val="1"/>
        <w:rPr>
          <w:rStyle w:val="29"/>
          <w:rFonts w:ascii="Times New Roman" w:hAnsi="Times New Roman" w:eastAsia="黑体"/>
          <w:b w:val="0"/>
        </w:rPr>
      </w:pPr>
      <w:bookmarkStart w:id="44" w:name="_Toc15396612"/>
      <w:bookmarkStart w:id="45" w:name="_Toc15377221"/>
      <w:r>
        <w:rPr>
          <w:rStyle w:val="29"/>
          <w:rFonts w:hint="eastAsia" w:ascii="Times New Roman" w:hAnsi="Times New Roman" w:eastAsia="黑体"/>
          <w:b w:val="0"/>
        </w:rPr>
        <w:t>其他重要事项的情况说明</w:t>
      </w:r>
      <w:bookmarkEnd w:id="44"/>
      <w:bookmarkEnd w:id="45"/>
    </w:p>
    <w:p>
      <w:pPr>
        <w:pageBreakBefore w:val="0"/>
        <w:kinsoku/>
        <w:wordWrap/>
        <w:overflowPunct/>
        <w:topLinePunct w:val="0"/>
        <w:bidi w:val="0"/>
        <w:spacing w:line="592" w:lineRule="exact"/>
        <w:ind w:firstLine="642" w:firstLineChars="200"/>
        <w:textAlignment w:val="auto"/>
        <w:outlineLvl w:val="2"/>
        <w:rPr>
          <w:rFonts w:ascii="Times New Roman" w:hAnsi="Times New Roman" w:eastAsia="仿宋"/>
          <w:sz w:val="32"/>
          <w:szCs w:val="32"/>
        </w:rPr>
      </w:pPr>
      <w:bookmarkStart w:id="46" w:name="_Toc15377222"/>
      <w:r>
        <w:rPr>
          <w:rFonts w:hint="eastAsia" w:ascii="Times New Roman" w:hAnsi="Times New Roman" w:eastAsia="仿宋"/>
          <w:b/>
          <w:sz w:val="32"/>
          <w:szCs w:val="32"/>
        </w:rPr>
        <w:t>（一）机关运行经费支出情况</w:t>
      </w:r>
      <w:bookmarkEnd w:id="46"/>
    </w:p>
    <w:p>
      <w:pPr>
        <w:pageBreakBefore w:val="0"/>
        <w:kinsoku/>
        <w:wordWrap/>
        <w:overflowPunct/>
        <w:topLinePunct w:val="0"/>
        <w:bidi w:val="0"/>
        <w:spacing w:line="592"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rPr>
        <w:t>2023年度，</w:t>
      </w:r>
      <w:r>
        <w:rPr>
          <w:rFonts w:ascii="Times New Roman" w:hAnsi="Times New Roman" w:eastAsia="仿宋_GB2312"/>
          <w:b/>
          <w:sz w:val="32"/>
          <w:szCs w:val="32"/>
        </w:rPr>
        <w:t>广安市金融工作局</w:t>
      </w:r>
      <w:r>
        <w:rPr>
          <w:rFonts w:hint="eastAsia" w:ascii="Times New Roman" w:hAnsi="Times New Roman" w:eastAsia="仿宋_GB2312"/>
          <w:sz w:val="32"/>
          <w:szCs w:val="32"/>
        </w:rPr>
        <w:t>机关运行经费支出</w:t>
      </w:r>
      <w:r>
        <w:rPr>
          <w:rFonts w:ascii="Times New Roman" w:hAnsi="Times New Roman" w:eastAsia="仿宋"/>
          <w:b/>
          <w:sz w:val="32"/>
          <w:szCs w:val="32"/>
        </w:rPr>
        <w:t>55.68</w:t>
      </w:r>
      <w:r>
        <w:rPr>
          <w:rFonts w:hint="eastAsia" w:ascii="Times New Roman" w:hAnsi="Times New Roman" w:eastAsia="仿宋_GB2312"/>
          <w:sz w:val="32"/>
          <w:szCs w:val="32"/>
        </w:rPr>
        <w:t>万元，比2022年度增加</w:t>
      </w:r>
      <w:r>
        <w:rPr>
          <w:rFonts w:hint="eastAsia" w:eastAsia="仿宋_GB2312"/>
          <w:sz w:val="32"/>
          <w:szCs w:val="32"/>
          <w:lang w:val="en-US" w:eastAsia="zh-CN"/>
        </w:rPr>
        <w:t>4.64</w:t>
      </w:r>
      <w:r>
        <w:rPr>
          <w:rFonts w:hint="eastAsia" w:ascii="Times New Roman" w:hAnsi="Times New Roman" w:eastAsia="仿宋_GB2312"/>
          <w:sz w:val="32"/>
          <w:szCs w:val="32"/>
        </w:rPr>
        <w:t>万元，增长</w:t>
      </w:r>
      <w:r>
        <w:rPr>
          <w:rFonts w:hint="eastAsia" w:eastAsia="仿宋_GB2312"/>
          <w:sz w:val="32"/>
          <w:szCs w:val="32"/>
          <w:lang w:val="en-US" w:eastAsia="zh-CN"/>
        </w:rPr>
        <w:t>9</w:t>
      </w:r>
      <w:r>
        <w:rPr>
          <w:rFonts w:ascii="Times New Roman" w:hAnsi="Times New Roman" w:eastAsia="仿宋_GB2312"/>
          <w:sz w:val="32"/>
          <w:szCs w:val="32"/>
        </w:rPr>
        <w:t>%</w:t>
      </w:r>
      <w:r>
        <w:rPr>
          <w:rFonts w:hint="eastAsia" w:ascii="Times New Roman" w:hAnsi="Times New Roman" w:eastAsia="仿宋_GB2312"/>
          <w:sz w:val="32"/>
          <w:szCs w:val="32"/>
        </w:rPr>
        <w:t>。主要原因是</w:t>
      </w:r>
      <w:r>
        <w:rPr>
          <w:rFonts w:hint="eastAsia" w:eastAsia="仿宋_GB2312"/>
          <w:sz w:val="32"/>
          <w:szCs w:val="32"/>
          <w:lang w:val="en-US" w:eastAsia="zh-CN"/>
        </w:rPr>
        <w:t>为增加引导银行业金融机构信贷投入，加大了融资对接和宣传力度，</w:t>
      </w:r>
      <w:r>
        <w:rPr>
          <w:rFonts w:hint="eastAsia" w:eastAsia="仿宋"/>
          <w:sz w:val="32"/>
          <w:szCs w:val="32"/>
          <w:highlight w:val="none"/>
          <w:lang w:val="en-US" w:eastAsia="zh-CN"/>
        </w:rPr>
        <w:t>2023年召开了省政协副主席莅临广安召开融资对接会，</w:t>
      </w:r>
      <w:r>
        <w:rPr>
          <w:rFonts w:hint="eastAsia" w:eastAsia="仿宋_GB2312"/>
          <w:sz w:val="32"/>
          <w:szCs w:val="32"/>
          <w:lang w:val="en-US" w:eastAsia="zh-CN"/>
        </w:rPr>
        <w:t>办公费等相关机关运行费随之增加</w:t>
      </w:r>
      <w:r>
        <w:rPr>
          <w:rFonts w:hint="eastAsia" w:eastAsia="仿宋_GB2312"/>
          <w:sz w:val="32"/>
          <w:szCs w:val="32"/>
          <w:highlight w:val="none"/>
          <w:lang w:val="en-US" w:eastAsia="zh-CN"/>
        </w:rPr>
        <w:t>。</w:t>
      </w:r>
    </w:p>
    <w:p>
      <w:pPr>
        <w:pageBreakBefore w:val="0"/>
        <w:kinsoku/>
        <w:wordWrap/>
        <w:overflowPunct/>
        <w:topLinePunct w:val="0"/>
        <w:autoSpaceDE w:val="0"/>
        <w:autoSpaceDN w:val="0"/>
        <w:bidi w:val="0"/>
        <w:adjustRightInd w:val="0"/>
        <w:spacing w:line="592" w:lineRule="exact"/>
        <w:ind w:firstLine="642" w:firstLineChars="200"/>
        <w:jc w:val="left"/>
        <w:textAlignment w:val="auto"/>
        <w:outlineLvl w:val="2"/>
        <w:rPr>
          <w:rFonts w:ascii="Times New Roman" w:hAnsi="Times New Roman" w:eastAsia="仿宋"/>
          <w:b/>
          <w:sz w:val="32"/>
          <w:szCs w:val="32"/>
        </w:rPr>
      </w:pPr>
      <w:bookmarkStart w:id="47" w:name="_Toc15377223"/>
      <w:r>
        <w:rPr>
          <w:rFonts w:hint="eastAsia" w:ascii="Times New Roman" w:hAnsi="Times New Roman" w:eastAsia="仿宋"/>
          <w:b/>
          <w:sz w:val="32"/>
          <w:szCs w:val="32"/>
        </w:rPr>
        <w:t>（二）政府采购支出情况</w:t>
      </w:r>
      <w:bookmarkEnd w:id="47"/>
    </w:p>
    <w:p>
      <w:pPr>
        <w:pageBreakBefore w:val="0"/>
        <w:kinsoku/>
        <w:wordWrap/>
        <w:overflowPunct/>
        <w:topLinePunct w:val="0"/>
        <w:bidi w:val="0"/>
        <w:spacing w:line="592"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2023年度，</w:t>
      </w:r>
      <w:r>
        <w:rPr>
          <w:rFonts w:ascii="Times New Roman" w:hAnsi="Times New Roman" w:eastAsia="仿宋_GB2312"/>
          <w:b/>
          <w:sz w:val="32"/>
          <w:szCs w:val="32"/>
        </w:rPr>
        <w:t>广安市金融工作局</w:t>
      </w:r>
      <w:r>
        <w:rPr>
          <w:rFonts w:hint="eastAsia" w:ascii="Times New Roman" w:hAnsi="Times New Roman" w:eastAsia="仿宋_GB2312"/>
          <w:sz w:val="32"/>
          <w:szCs w:val="32"/>
        </w:rPr>
        <w:t>政府采购支出总额</w:t>
      </w:r>
      <w:r>
        <w:rPr>
          <w:rFonts w:ascii="Times New Roman" w:hAnsi="Times New Roman" w:eastAsia="仿宋"/>
          <w:b/>
          <w:sz w:val="32"/>
          <w:szCs w:val="32"/>
        </w:rPr>
        <w:t>0</w:t>
      </w:r>
      <w:r>
        <w:rPr>
          <w:rFonts w:hint="eastAsia" w:ascii="Times New Roman" w:hAnsi="Times New Roman" w:eastAsia="仿宋_GB2312"/>
          <w:sz w:val="32"/>
          <w:szCs w:val="32"/>
        </w:rPr>
        <w:t>万元。</w:t>
      </w:r>
    </w:p>
    <w:p>
      <w:pPr>
        <w:pageBreakBefore w:val="0"/>
        <w:kinsoku/>
        <w:wordWrap/>
        <w:overflowPunct/>
        <w:topLinePunct w:val="0"/>
        <w:autoSpaceDE w:val="0"/>
        <w:autoSpaceDN w:val="0"/>
        <w:bidi w:val="0"/>
        <w:adjustRightInd w:val="0"/>
        <w:spacing w:line="592" w:lineRule="exact"/>
        <w:ind w:firstLine="642" w:firstLineChars="200"/>
        <w:jc w:val="left"/>
        <w:textAlignment w:val="auto"/>
        <w:outlineLvl w:val="2"/>
        <w:rPr>
          <w:rFonts w:ascii="Times New Roman" w:hAnsi="Times New Roman" w:eastAsia="仿宋"/>
          <w:b/>
          <w:sz w:val="32"/>
          <w:szCs w:val="32"/>
        </w:rPr>
      </w:pPr>
      <w:bookmarkStart w:id="48" w:name="_Toc15377224"/>
      <w:r>
        <w:rPr>
          <w:rFonts w:hint="eastAsia" w:ascii="Times New Roman" w:hAnsi="Times New Roman" w:eastAsia="仿宋"/>
          <w:b/>
          <w:sz w:val="32"/>
          <w:szCs w:val="32"/>
        </w:rPr>
        <w:t>（三）国有资产占有使用情况</w:t>
      </w:r>
      <w:bookmarkEnd w:id="48"/>
    </w:p>
    <w:p>
      <w:pPr>
        <w:pageBreakBefore w:val="0"/>
        <w:kinsoku/>
        <w:wordWrap/>
        <w:overflowPunct/>
        <w:topLinePunct w:val="0"/>
        <w:autoSpaceDE w:val="0"/>
        <w:autoSpaceDN w:val="0"/>
        <w:bidi w:val="0"/>
        <w:adjustRightInd w:val="0"/>
        <w:spacing w:line="592" w:lineRule="exact"/>
        <w:ind w:firstLine="640" w:firstLineChars="200"/>
        <w:jc w:val="left"/>
        <w:textAlignment w:val="auto"/>
        <w:rPr>
          <w:rFonts w:ascii="Times New Roman" w:hAnsi="Times New Roman" w:eastAsia="仿宋_GB2312"/>
          <w:sz w:val="32"/>
          <w:szCs w:val="32"/>
        </w:rPr>
      </w:pPr>
      <w:r>
        <w:rPr>
          <w:rFonts w:hint="eastAsia" w:ascii="Times New Roman" w:hAnsi="Times New Roman" w:eastAsia="仿宋_GB2312"/>
          <w:sz w:val="32"/>
          <w:szCs w:val="32"/>
        </w:rPr>
        <w:t>截至2023年</w:t>
      </w:r>
      <w:r>
        <w:rPr>
          <w:rFonts w:ascii="Times New Roman" w:hAnsi="Times New Roman" w:eastAsia="仿宋_GB2312"/>
          <w:sz w:val="32"/>
          <w:szCs w:val="32"/>
        </w:rPr>
        <w:t>12</w:t>
      </w:r>
      <w:r>
        <w:rPr>
          <w:rFonts w:hint="eastAsia" w:ascii="Times New Roman" w:hAnsi="Times New Roman" w:eastAsia="仿宋_GB2312"/>
          <w:sz w:val="32"/>
          <w:szCs w:val="32"/>
        </w:rPr>
        <w:t>月</w:t>
      </w:r>
      <w:r>
        <w:rPr>
          <w:rFonts w:ascii="Times New Roman" w:hAnsi="Times New Roman" w:eastAsia="仿宋_GB2312"/>
          <w:sz w:val="32"/>
          <w:szCs w:val="32"/>
        </w:rPr>
        <w:t>31</w:t>
      </w:r>
      <w:r>
        <w:rPr>
          <w:rFonts w:hint="eastAsia" w:ascii="Times New Roman" w:hAnsi="Times New Roman" w:eastAsia="仿宋_GB2312"/>
          <w:sz w:val="32"/>
          <w:szCs w:val="32"/>
        </w:rPr>
        <w:t>日，</w:t>
      </w:r>
      <w:r>
        <w:rPr>
          <w:rFonts w:ascii="Times New Roman" w:hAnsi="Times New Roman" w:eastAsia="仿宋_GB2312"/>
          <w:b/>
          <w:sz w:val="32"/>
          <w:szCs w:val="32"/>
        </w:rPr>
        <w:t>广安市金融工作局</w:t>
      </w:r>
      <w:r>
        <w:rPr>
          <w:rFonts w:hint="eastAsia" w:ascii="Times New Roman" w:hAnsi="Times New Roman" w:eastAsia="仿宋_GB2312"/>
          <w:sz w:val="32"/>
          <w:szCs w:val="32"/>
        </w:rPr>
        <w:t>共有车辆</w:t>
      </w:r>
      <w:r>
        <w:rPr>
          <w:rFonts w:hint="eastAsia" w:ascii="Times New Roman" w:hAnsi="Times New Roman" w:eastAsia="仿宋_GB2312"/>
          <w:b/>
          <w:sz w:val="32"/>
          <w:szCs w:val="32"/>
        </w:rPr>
        <w:t>0</w:t>
      </w:r>
      <w:r>
        <w:rPr>
          <w:rFonts w:hint="eastAsia" w:ascii="Times New Roman" w:hAnsi="Times New Roman" w:eastAsia="仿宋_GB2312"/>
          <w:sz w:val="32"/>
          <w:szCs w:val="32"/>
        </w:rPr>
        <w:t>辆，单价</w:t>
      </w:r>
      <w:r>
        <w:rPr>
          <w:rFonts w:ascii="Times New Roman" w:hAnsi="Times New Roman" w:eastAsia="仿宋_GB2312"/>
          <w:sz w:val="32"/>
          <w:szCs w:val="32"/>
        </w:rPr>
        <w:t>100</w:t>
      </w:r>
      <w:r>
        <w:rPr>
          <w:rFonts w:hint="eastAsia" w:ascii="Times New Roman" w:hAnsi="Times New Roman" w:eastAsia="仿宋_GB2312"/>
          <w:sz w:val="32"/>
          <w:szCs w:val="32"/>
        </w:rPr>
        <w:t>万元以上设备（不含车辆）</w:t>
      </w:r>
      <w:r>
        <w:rPr>
          <w:rFonts w:ascii="Times New Roman" w:hAnsi="Times New Roman" w:eastAsia="仿宋_GB2312"/>
          <w:b/>
          <w:sz w:val="32"/>
          <w:szCs w:val="32"/>
        </w:rPr>
        <w:t>0</w:t>
      </w:r>
      <w:r>
        <w:rPr>
          <w:rFonts w:hint="eastAsia" w:ascii="Times New Roman" w:hAnsi="Times New Roman" w:eastAsia="仿宋_GB2312"/>
          <w:sz w:val="32"/>
          <w:szCs w:val="32"/>
        </w:rPr>
        <w:t>台（套）。</w:t>
      </w:r>
    </w:p>
    <w:p>
      <w:pPr>
        <w:pageBreakBefore w:val="0"/>
        <w:kinsoku/>
        <w:wordWrap/>
        <w:overflowPunct/>
        <w:topLinePunct w:val="0"/>
        <w:autoSpaceDE w:val="0"/>
        <w:autoSpaceDN w:val="0"/>
        <w:bidi w:val="0"/>
        <w:adjustRightInd w:val="0"/>
        <w:spacing w:line="592" w:lineRule="exact"/>
        <w:ind w:firstLine="642" w:firstLineChars="200"/>
        <w:jc w:val="left"/>
        <w:textAlignment w:val="auto"/>
        <w:outlineLvl w:val="2"/>
        <w:rPr>
          <w:rFonts w:ascii="Times New Roman" w:hAnsi="Times New Roman" w:eastAsia="仿宋"/>
          <w:b/>
          <w:sz w:val="32"/>
          <w:szCs w:val="32"/>
        </w:rPr>
      </w:pPr>
      <w:r>
        <w:rPr>
          <w:rFonts w:hint="eastAsia" w:ascii="Times New Roman" w:hAnsi="Times New Roman" w:eastAsia="仿宋"/>
          <w:b/>
          <w:sz w:val="32"/>
          <w:szCs w:val="32"/>
        </w:rPr>
        <w:t>（四）预算绩效管理情况</w:t>
      </w:r>
    </w:p>
    <w:p>
      <w:pPr>
        <w:pageBreakBefore w:val="0"/>
        <w:kinsoku/>
        <w:wordWrap/>
        <w:overflowPunct/>
        <w:topLinePunct w:val="0"/>
        <w:bidi w:val="0"/>
        <w:spacing w:line="592"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根据预算绩效管理要求，本单位在2023年度预算编制阶段，组织对</w:t>
      </w:r>
      <w:r>
        <w:rPr>
          <w:rFonts w:hint="eastAsia" w:ascii="Times New Roman" w:hAnsi="Times New Roman" w:eastAsia="仿宋_GB2312"/>
          <w:color w:val="000000" w:themeColor="text1"/>
          <w:sz w:val="32"/>
          <w:szCs w:val="32"/>
          <w:highlight w:val="none"/>
          <w14:textFill>
            <w14:solidFill>
              <w14:schemeClr w14:val="tx1"/>
            </w14:solidFill>
          </w14:textFill>
        </w:rPr>
        <w:t>金融服务中心</w:t>
      </w:r>
      <w:r>
        <w:rPr>
          <w:rFonts w:hint="eastAsia" w:eastAsia="仿宋_GB2312"/>
          <w:color w:val="000000" w:themeColor="text1"/>
          <w:sz w:val="32"/>
          <w:szCs w:val="32"/>
          <w:highlight w:val="none"/>
          <w:lang w:eastAsia="zh-CN"/>
          <w14:textFill>
            <w14:solidFill>
              <w14:schemeClr w14:val="tx1"/>
            </w14:solidFill>
          </w14:textFill>
        </w:rPr>
        <w:t>、处置非法集资、金融大讲堂</w:t>
      </w:r>
      <w:r>
        <w:rPr>
          <w:rFonts w:hint="eastAsia" w:eastAsia="仿宋_GB2312"/>
          <w:color w:val="000000" w:themeColor="text1"/>
          <w:sz w:val="32"/>
          <w:szCs w:val="32"/>
          <w:highlight w:val="none"/>
          <w:lang w:val="en-US" w:eastAsia="zh-CN"/>
          <w14:textFill>
            <w14:solidFill>
              <w14:schemeClr w14:val="tx1"/>
            </w14:solidFill>
          </w14:textFill>
        </w:rPr>
        <w:t>3</w:t>
      </w:r>
      <w:r>
        <w:rPr>
          <w:rFonts w:hint="eastAsia" w:ascii="Times New Roman" w:hAnsi="Times New Roman" w:eastAsia="仿宋_GB2312"/>
          <w:color w:val="000000" w:themeColor="text1"/>
          <w:sz w:val="32"/>
          <w:szCs w:val="32"/>
          <w:highlight w:val="none"/>
          <w14:textFill>
            <w14:solidFill>
              <w14:schemeClr w14:val="tx1"/>
            </w14:solidFill>
          </w14:textFill>
        </w:rPr>
        <w:t>个项目开展了预算事前绩效评估，对</w:t>
      </w:r>
      <w:r>
        <w:rPr>
          <w:rFonts w:hint="eastAsia" w:eastAsia="仿宋_GB2312"/>
          <w:color w:val="000000" w:themeColor="text1"/>
          <w:sz w:val="32"/>
          <w:szCs w:val="32"/>
          <w:highlight w:val="none"/>
          <w:lang w:val="en-US" w:eastAsia="zh-CN"/>
          <w14:textFill>
            <w14:solidFill>
              <w14:schemeClr w14:val="tx1"/>
            </w14:solidFill>
          </w14:textFill>
        </w:rPr>
        <w:t>3</w:t>
      </w:r>
      <w:r>
        <w:rPr>
          <w:rFonts w:hint="eastAsia" w:ascii="Times New Roman" w:hAnsi="Times New Roman" w:eastAsia="仿宋_GB2312"/>
          <w:color w:val="000000" w:themeColor="text1"/>
          <w:sz w:val="32"/>
          <w:szCs w:val="32"/>
          <w:highlight w:val="none"/>
          <w14:textFill>
            <w14:solidFill>
              <w14:schemeClr w14:val="tx1"/>
            </w14:solidFill>
          </w14:textFill>
        </w:rPr>
        <w:t>个项目编制了绩效目标，预算执行过程中，选取</w:t>
      </w:r>
      <w:r>
        <w:rPr>
          <w:rFonts w:hint="eastAsia" w:eastAsia="仿宋_GB2312"/>
          <w:color w:val="000000" w:themeColor="text1"/>
          <w:sz w:val="32"/>
          <w:szCs w:val="32"/>
          <w:highlight w:val="none"/>
          <w:lang w:val="en-US" w:eastAsia="zh-CN"/>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个项目开展绩效监控，组织对</w:t>
      </w:r>
      <w:r>
        <w:rPr>
          <w:rFonts w:hint="eastAsia" w:eastAsia="仿宋_GB2312"/>
          <w:color w:val="000000" w:themeColor="text1"/>
          <w:sz w:val="32"/>
          <w:szCs w:val="32"/>
          <w:highlight w:val="none"/>
          <w:lang w:val="en-US" w:eastAsia="zh-CN"/>
          <w14:textFill>
            <w14:solidFill>
              <w14:schemeClr w14:val="tx1"/>
            </w14:solidFill>
          </w14:textFill>
        </w:rPr>
        <w:t>3</w:t>
      </w:r>
      <w:r>
        <w:rPr>
          <w:rFonts w:hint="eastAsia" w:ascii="Times New Roman" w:hAnsi="Times New Roman" w:eastAsia="仿宋_GB2312"/>
          <w:color w:val="000000" w:themeColor="text1"/>
          <w:sz w:val="32"/>
          <w:szCs w:val="32"/>
          <w:highlight w:val="none"/>
          <w14:textFill>
            <w14:solidFill>
              <w14:schemeClr w14:val="tx1"/>
            </w14:solidFill>
          </w14:textFill>
        </w:rPr>
        <w:t>个</w:t>
      </w:r>
      <w:r>
        <w:rPr>
          <w:rFonts w:hint="eastAsia" w:ascii="Times New Roman" w:hAnsi="Times New Roman" w:eastAsia="仿宋_GB2312"/>
          <w:sz w:val="32"/>
          <w:szCs w:val="32"/>
        </w:rPr>
        <w:t>项目开展绩效自评，绩效自评表详见第四部分附件。</w:t>
      </w:r>
    </w:p>
    <w:p>
      <w:pPr>
        <w:pageBreakBefore w:val="0"/>
        <w:kinsoku/>
        <w:wordWrap/>
        <w:overflowPunct/>
        <w:topLinePunct w:val="0"/>
        <w:bidi w:val="0"/>
        <w:spacing w:line="592"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br w:type="page"/>
      </w:r>
    </w:p>
    <w:p>
      <w:pPr>
        <w:pageBreakBefore w:val="0"/>
        <w:numPr>
          <w:ilvl w:val="0"/>
          <w:numId w:val="4"/>
        </w:numPr>
        <w:kinsoku/>
        <w:wordWrap/>
        <w:overflowPunct/>
        <w:topLinePunct w:val="0"/>
        <w:bidi w:val="0"/>
        <w:spacing w:line="592" w:lineRule="exact"/>
        <w:ind w:firstLine="660" w:firstLineChars="150"/>
        <w:jc w:val="center"/>
        <w:textAlignment w:val="auto"/>
        <w:outlineLvl w:val="0"/>
        <w:rPr>
          <w:rStyle w:val="28"/>
          <w:rFonts w:ascii="Times New Roman" w:hAnsi="Times New Roman" w:eastAsia="黑体"/>
          <w:b w:val="0"/>
        </w:rPr>
      </w:pPr>
      <w:bookmarkStart w:id="49" w:name="_Toc15377225"/>
      <w:bookmarkStart w:id="50" w:name="_Toc15396613"/>
      <w:r>
        <w:rPr>
          <w:rFonts w:hint="eastAsia" w:ascii="Times New Roman" w:hAnsi="Times New Roman" w:eastAsia="黑体"/>
          <w:sz w:val="44"/>
          <w:szCs w:val="44"/>
        </w:rPr>
        <w:t>名</w:t>
      </w:r>
      <w:r>
        <w:rPr>
          <w:rStyle w:val="28"/>
          <w:rFonts w:hint="eastAsia" w:ascii="Times New Roman" w:hAnsi="Times New Roman" w:eastAsia="黑体"/>
          <w:b w:val="0"/>
        </w:rPr>
        <w:t>词解释</w:t>
      </w:r>
      <w:bookmarkEnd w:id="49"/>
      <w:bookmarkEnd w:id="50"/>
    </w:p>
    <w:p>
      <w:pPr>
        <w:pageBreakBefore w:val="0"/>
        <w:kinsoku/>
        <w:wordWrap/>
        <w:overflowPunct/>
        <w:topLinePunct w:val="0"/>
        <w:bidi w:val="0"/>
        <w:spacing w:line="592" w:lineRule="exact"/>
        <w:jc w:val="left"/>
        <w:textAlignment w:val="auto"/>
        <w:rPr>
          <w:rFonts w:ascii="Times New Roman" w:hAnsi="Times New Roman"/>
          <w:b/>
          <w:sz w:val="44"/>
          <w:szCs w:val="44"/>
        </w:rPr>
      </w:pPr>
    </w:p>
    <w:p>
      <w:pPr>
        <w:pStyle w:val="26"/>
        <w:pageBreakBefore w:val="0"/>
        <w:kinsoku/>
        <w:wordWrap/>
        <w:overflowPunct/>
        <w:topLinePunct w:val="0"/>
        <w:bidi w:val="0"/>
        <w:spacing w:line="592"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1.</w:t>
      </w:r>
      <w:r>
        <w:rPr>
          <w:rFonts w:hint="eastAsia" w:ascii="Times New Roman" w:hAnsi="Times New Roman" w:eastAsia="仿宋_GB2312"/>
          <w:color w:val="auto"/>
          <w:sz w:val="32"/>
          <w:szCs w:val="32"/>
        </w:rPr>
        <w:t>财政拨款收入：指单位从同级财政部门取得的财政预算资金。</w:t>
      </w:r>
    </w:p>
    <w:p>
      <w:pPr>
        <w:pStyle w:val="26"/>
        <w:pageBreakBefore w:val="0"/>
        <w:kinsoku/>
        <w:wordWrap/>
        <w:overflowPunct/>
        <w:topLinePunct w:val="0"/>
        <w:bidi w:val="0"/>
        <w:spacing w:line="592"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2.</w:t>
      </w:r>
      <w:r>
        <w:rPr>
          <w:rFonts w:hint="eastAsia" w:ascii="Times New Roman" w:hAnsi="Times New Roman" w:eastAsia="仿宋_GB2312"/>
          <w:color w:val="auto"/>
          <w:sz w:val="32"/>
          <w:szCs w:val="32"/>
        </w:rPr>
        <w:t>事业收入：指事业单位开展专业业务活动及辅助活动取得的收入。</w:t>
      </w:r>
    </w:p>
    <w:p>
      <w:pPr>
        <w:pStyle w:val="26"/>
        <w:pageBreakBefore w:val="0"/>
        <w:kinsoku/>
        <w:wordWrap/>
        <w:overflowPunct/>
        <w:topLinePunct w:val="0"/>
        <w:bidi w:val="0"/>
        <w:spacing w:line="592"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3.</w:t>
      </w:r>
      <w:r>
        <w:rPr>
          <w:rFonts w:hint="eastAsia" w:ascii="Times New Roman" w:hAnsi="Times New Roman" w:eastAsia="仿宋_GB2312"/>
          <w:color w:val="auto"/>
          <w:sz w:val="32"/>
          <w:szCs w:val="32"/>
        </w:rPr>
        <w:t>经营收入：指事业单位在专业业务活动及其辅助活动之外开展非独立核算经营活动取得的收入。</w:t>
      </w:r>
    </w:p>
    <w:p>
      <w:pPr>
        <w:pStyle w:val="26"/>
        <w:pageBreakBefore w:val="0"/>
        <w:kinsoku/>
        <w:wordWrap/>
        <w:overflowPunct/>
        <w:topLinePunct w:val="0"/>
        <w:bidi w:val="0"/>
        <w:spacing w:line="592"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4.</w:t>
      </w:r>
      <w:r>
        <w:rPr>
          <w:rFonts w:hint="eastAsia" w:ascii="Times New Roman" w:hAnsi="Times New Roman" w:eastAsia="仿宋_GB2312"/>
          <w:color w:val="auto"/>
          <w:sz w:val="32"/>
          <w:szCs w:val="32"/>
        </w:rPr>
        <w:t>其他收入：指单位取得的除上述收入以外的各项收入。</w:t>
      </w:r>
      <w:r>
        <w:rPr>
          <w:rFonts w:ascii="Times New Roman" w:hAnsi="Times New Roman" w:eastAsia="仿宋_GB2312"/>
          <w:color w:val="auto"/>
          <w:sz w:val="32"/>
          <w:szCs w:val="32"/>
        </w:rPr>
        <w:t xml:space="preserve"> </w:t>
      </w:r>
    </w:p>
    <w:p>
      <w:pPr>
        <w:pStyle w:val="26"/>
        <w:pageBreakBefore w:val="0"/>
        <w:kinsoku/>
        <w:wordWrap/>
        <w:overflowPunct/>
        <w:topLinePunct w:val="0"/>
        <w:bidi w:val="0"/>
        <w:spacing w:line="592"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5.</w:t>
      </w:r>
      <w:r>
        <w:rPr>
          <w:rFonts w:hint="eastAsia" w:ascii="Times New Roman" w:hAnsi="Times New Roman" w:eastAsia="仿宋_GB2312"/>
          <w:sz w:val="32"/>
          <w:szCs w:val="32"/>
        </w:rPr>
        <w:t>使用非财政拨款结余（含专用结余）</w:t>
      </w:r>
      <w:r>
        <w:rPr>
          <w:rFonts w:hint="eastAsia" w:ascii="Times New Roman" w:hAnsi="Times New Roman" w:eastAsia="仿宋_GB2312"/>
          <w:color w:val="auto"/>
          <w:sz w:val="32"/>
          <w:szCs w:val="32"/>
        </w:rPr>
        <w:t>：指事业单位使用以前年度积累的非财政拨款结余弥补当年收支差额的金额。</w:t>
      </w:r>
      <w:r>
        <w:rPr>
          <w:rFonts w:ascii="Times New Roman" w:hAnsi="Times New Roman" w:eastAsia="仿宋_GB2312"/>
          <w:color w:val="auto"/>
          <w:sz w:val="32"/>
          <w:szCs w:val="32"/>
        </w:rPr>
        <w:t xml:space="preserve"> </w:t>
      </w:r>
    </w:p>
    <w:p>
      <w:pPr>
        <w:pStyle w:val="26"/>
        <w:pageBreakBefore w:val="0"/>
        <w:kinsoku/>
        <w:wordWrap/>
        <w:overflowPunct/>
        <w:topLinePunct w:val="0"/>
        <w:bidi w:val="0"/>
        <w:spacing w:line="592"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6.</w:t>
      </w:r>
      <w:r>
        <w:rPr>
          <w:rFonts w:hint="eastAsia" w:ascii="Times New Roman" w:hAnsi="Times New Roman" w:eastAsia="仿宋_GB2312"/>
          <w:color w:val="auto"/>
          <w:sz w:val="32"/>
          <w:szCs w:val="32"/>
        </w:rPr>
        <w:t>年初结转和结余：指以前年度尚未完成、结转到本年按有关规定继续使用的资金。</w:t>
      </w:r>
      <w:r>
        <w:rPr>
          <w:rFonts w:ascii="Times New Roman" w:hAnsi="Times New Roman" w:eastAsia="仿宋_GB2312"/>
          <w:color w:val="auto"/>
          <w:sz w:val="32"/>
          <w:szCs w:val="32"/>
        </w:rPr>
        <w:t xml:space="preserve"> </w:t>
      </w:r>
    </w:p>
    <w:p>
      <w:pPr>
        <w:pStyle w:val="26"/>
        <w:pageBreakBefore w:val="0"/>
        <w:kinsoku/>
        <w:wordWrap/>
        <w:overflowPunct/>
        <w:topLinePunct w:val="0"/>
        <w:bidi w:val="0"/>
        <w:spacing w:line="592"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7.</w:t>
      </w:r>
      <w:r>
        <w:rPr>
          <w:rFonts w:hint="eastAsia" w:ascii="Times New Roman" w:hAnsi="Times New Roman" w:eastAsia="仿宋_GB2312"/>
          <w:color w:val="auto"/>
          <w:sz w:val="32"/>
          <w:szCs w:val="32"/>
        </w:rPr>
        <w:t>结余分配：指事业单位按照会计制度规定缴纳的所得税、提取的专用结余以及转入非财政拨款结余的金额等。</w:t>
      </w:r>
    </w:p>
    <w:p>
      <w:pPr>
        <w:pStyle w:val="26"/>
        <w:pageBreakBefore w:val="0"/>
        <w:kinsoku/>
        <w:wordWrap/>
        <w:overflowPunct/>
        <w:topLinePunct w:val="0"/>
        <w:bidi w:val="0"/>
        <w:spacing w:line="592"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8</w:t>
      </w:r>
      <w:r>
        <w:rPr>
          <w:rFonts w:hint="eastAsia" w:ascii="Times New Roman" w:hAnsi="Times New Roman" w:eastAsia="仿宋_GB2312"/>
          <w:color w:val="auto"/>
          <w:sz w:val="32"/>
          <w:szCs w:val="32"/>
        </w:rPr>
        <w:t>.年末结转和结余：指单位按有关规定结转到下年或以后年度继续使用的资金。</w:t>
      </w:r>
    </w:p>
    <w:p>
      <w:pPr>
        <w:pageBreakBefore w:val="0"/>
        <w:kinsoku/>
        <w:wordWrap/>
        <w:overflowPunct/>
        <w:topLinePunct w:val="0"/>
        <w:bidi w:val="0"/>
        <w:snapToGrid w:val="0"/>
        <w:spacing w:line="59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9.</w:t>
      </w:r>
      <w:r>
        <w:rPr>
          <w:rStyle w:val="17"/>
          <w:rFonts w:hint="default" w:ascii="Times New Roman" w:hAnsi="Times New Roman" w:eastAsia="仿宋" w:cs="Times New Roman"/>
          <w:b w:val="0"/>
          <w:bCs w:val="0"/>
          <w:color w:val="000000"/>
          <w:sz w:val="32"/>
          <w:szCs w:val="32"/>
        </w:rPr>
        <w:t>社会保障和就业（类）</w:t>
      </w:r>
      <w:r>
        <w:rPr>
          <w:rStyle w:val="17"/>
          <w:rFonts w:hint="eastAsia" w:eastAsia="仿宋" w:cs="Times New Roman"/>
          <w:b w:val="0"/>
          <w:bCs w:val="0"/>
          <w:color w:val="000000"/>
          <w:sz w:val="32"/>
          <w:szCs w:val="32"/>
          <w:lang w:eastAsia="zh-CN"/>
        </w:rPr>
        <w:t>行政事业单位养老支出</w:t>
      </w:r>
      <w:r>
        <w:rPr>
          <w:rStyle w:val="17"/>
          <w:rFonts w:hint="default" w:ascii="Times New Roman" w:hAnsi="Times New Roman" w:eastAsia="仿宋" w:cs="Times New Roman"/>
          <w:b w:val="0"/>
          <w:bCs w:val="0"/>
          <w:color w:val="000000"/>
          <w:sz w:val="32"/>
          <w:szCs w:val="32"/>
        </w:rPr>
        <w:t>（款）</w:t>
      </w:r>
      <w:r>
        <w:rPr>
          <w:rStyle w:val="17"/>
          <w:rFonts w:hint="eastAsia" w:eastAsia="仿宋" w:cs="Times New Roman"/>
          <w:b w:val="0"/>
          <w:bCs w:val="0"/>
          <w:color w:val="000000"/>
          <w:sz w:val="32"/>
          <w:szCs w:val="32"/>
          <w:lang w:eastAsia="zh-CN"/>
        </w:rPr>
        <w:t>机关事业单位基本养老保险缴费支出</w:t>
      </w:r>
      <w:r>
        <w:rPr>
          <w:rStyle w:val="17"/>
          <w:rFonts w:hint="default" w:ascii="Times New Roman" w:hAnsi="Times New Roman" w:eastAsia="仿宋" w:cs="Times New Roman"/>
          <w:b w:val="0"/>
          <w:bCs w:val="0"/>
          <w:color w:val="000000"/>
          <w:sz w:val="32"/>
          <w:szCs w:val="32"/>
        </w:rPr>
        <w:t>（项）</w:t>
      </w:r>
      <w:r>
        <w:rPr>
          <w:rStyle w:val="17"/>
          <w:rFonts w:hint="eastAsia" w:eastAsia="仿宋" w:cs="Times New Roman"/>
          <w:b w:val="0"/>
          <w:bCs w:val="0"/>
          <w:color w:val="000000"/>
          <w:sz w:val="32"/>
          <w:szCs w:val="32"/>
          <w:lang w:eastAsia="zh-CN"/>
        </w:rPr>
        <w:t>：</w:t>
      </w:r>
      <w:r>
        <w:rPr>
          <w:rStyle w:val="17"/>
          <w:rFonts w:hint="default" w:ascii="Times New Roman" w:hAnsi="Times New Roman" w:eastAsia="仿宋" w:cs="Times New Roman"/>
          <w:b w:val="0"/>
          <w:bCs w:val="0"/>
          <w:color w:val="000000"/>
          <w:sz w:val="32"/>
          <w:szCs w:val="32"/>
        </w:rPr>
        <w:t xml:space="preserve"> </w:t>
      </w:r>
      <w:r>
        <w:rPr>
          <w:rFonts w:hint="default" w:ascii="Times New Roman" w:hAnsi="Times New Roman" w:eastAsia="仿宋_GB2312" w:cs="Times New Roman"/>
          <w:color w:val="auto"/>
          <w:sz w:val="32"/>
          <w:szCs w:val="32"/>
          <w:highlight w:val="none"/>
        </w:rPr>
        <w:t>指</w:t>
      </w:r>
      <w:r>
        <w:rPr>
          <w:rFonts w:hint="eastAsia" w:eastAsia="仿宋_GB2312" w:cs="Times New Roman"/>
          <w:color w:val="auto"/>
          <w:sz w:val="32"/>
          <w:szCs w:val="32"/>
          <w:highlight w:val="none"/>
          <w:lang w:eastAsia="zh-CN"/>
        </w:rPr>
        <w:t>反映机关事业单位实施养老保险制度由单位缴纳的基本养老保险费支出</w:t>
      </w:r>
      <w:r>
        <w:rPr>
          <w:rFonts w:hint="default" w:ascii="Times New Roman" w:hAnsi="Times New Roman" w:eastAsia="仿宋_GB2312" w:cs="Times New Roman"/>
          <w:color w:val="auto"/>
          <w:sz w:val="32"/>
          <w:szCs w:val="32"/>
          <w:highlight w:val="none"/>
        </w:rPr>
        <w:t>。</w:t>
      </w:r>
    </w:p>
    <w:p>
      <w:pPr>
        <w:pageBreakBefore w:val="0"/>
        <w:kinsoku/>
        <w:wordWrap/>
        <w:overflowPunct/>
        <w:topLinePunct w:val="0"/>
        <w:bidi w:val="0"/>
        <w:spacing w:line="590" w:lineRule="exact"/>
        <w:ind w:firstLine="640" w:firstLineChars="200"/>
        <w:textAlignment w:val="auto"/>
        <w:rPr>
          <w:rFonts w:hint="default" w:ascii="Times New Roman" w:hAnsi="Times New Roman" w:eastAsia="仿宋" w:cs="Times New Roman"/>
          <w:b w:val="0"/>
          <w:bCs w:val="0"/>
          <w:color w:val="000000"/>
          <w:sz w:val="32"/>
          <w:szCs w:val="32"/>
        </w:rPr>
      </w:pPr>
      <w:r>
        <w:rPr>
          <w:rStyle w:val="17"/>
          <w:rFonts w:hint="eastAsia" w:ascii="Times New Roman" w:hAnsi="Times New Roman" w:eastAsia="仿宋" w:cs="Times New Roman"/>
          <w:b w:val="0"/>
          <w:bCs w:val="0"/>
          <w:color w:val="000000"/>
          <w:sz w:val="32"/>
          <w:szCs w:val="32"/>
          <w:lang w:val="en-US" w:eastAsia="zh-CN"/>
        </w:rPr>
        <w:t>10.</w:t>
      </w:r>
      <w:r>
        <w:rPr>
          <w:rFonts w:hint="default" w:ascii="Times New Roman" w:hAnsi="Times New Roman" w:eastAsia="仿宋" w:cs="Times New Roman"/>
          <w:b w:val="0"/>
          <w:bCs w:val="0"/>
          <w:color w:val="000000" w:themeColor="text1"/>
          <w:sz w:val="32"/>
          <w:szCs w:val="32"/>
          <w14:textFill>
            <w14:solidFill>
              <w14:schemeClr w14:val="tx1"/>
            </w14:solidFill>
          </w14:textFill>
        </w:rPr>
        <w:t>卫生健康</w:t>
      </w:r>
      <w:r>
        <w:rPr>
          <w:rStyle w:val="17"/>
          <w:rFonts w:hint="default" w:ascii="Times New Roman" w:hAnsi="Times New Roman" w:eastAsia="仿宋" w:cs="Times New Roman"/>
          <w:b w:val="0"/>
          <w:bCs w:val="0"/>
          <w:color w:val="000000"/>
          <w:sz w:val="32"/>
          <w:szCs w:val="32"/>
        </w:rPr>
        <w:t>（类）</w:t>
      </w:r>
      <w:r>
        <w:rPr>
          <w:rStyle w:val="17"/>
          <w:rFonts w:hint="eastAsia" w:ascii="Times New Roman" w:hAnsi="Times New Roman" w:eastAsia="仿宋" w:cs="Times New Roman"/>
          <w:b w:val="0"/>
          <w:bCs w:val="0"/>
          <w:color w:val="000000"/>
          <w:sz w:val="32"/>
          <w:szCs w:val="32"/>
          <w:lang w:eastAsia="zh-CN"/>
        </w:rPr>
        <w:t>行政事业单位医疗</w:t>
      </w:r>
      <w:r>
        <w:rPr>
          <w:rStyle w:val="17"/>
          <w:rFonts w:hint="default" w:ascii="Times New Roman" w:hAnsi="Times New Roman" w:eastAsia="仿宋" w:cs="Times New Roman"/>
          <w:b w:val="0"/>
          <w:bCs w:val="0"/>
          <w:color w:val="000000"/>
          <w:sz w:val="32"/>
          <w:szCs w:val="32"/>
        </w:rPr>
        <w:t>（款）</w:t>
      </w:r>
      <w:r>
        <w:rPr>
          <w:rStyle w:val="17"/>
          <w:rFonts w:hint="eastAsia" w:ascii="Times New Roman" w:hAnsi="Times New Roman" w:eastAsia="仿宋" w:cs="Times New Roman"/>
          <w:b w:val="0"/>
          <w:bCs w:val="0"/>
          <w:color w:val="000000"/>
          <w:sz w:val="32"/>
          <w:szCs w:val="32"/>
          <w:lang w:eastAsia="zh-CN"/>
        </w:rPr>
        <w:t>行政单位医疗</w:t>
      </w:r>
      <w:r>
        <w:rPr>
          <w:rStyle w:val="17"/>
          <w:rFonts w:hint="default" w:ascii="Times New Roman" w:hAnsi="Times New Roman" w:eastAsia="仿宋" w:cs="Times New Roman"/>
          <w:b w:val="0"/>
          <w:bCs w:val="0"/>
          <w:color w:val="000000"/>
          <w:sz w:val="32"/>
          <w:szCs w:val="32"/>
        </w:rPr>
        <w:t>（项）</w:t>
      </w:r>
      <w:r>
        <w:rPr>
          <w:rStyle w:val="17"/>
          <w:rFonts w:hint="eastAsia" w:eastAsia="仿宋" w:cs="Times New Roman"/>
          <w:b w:val="0"/>
          <w:bCs w:val="0"/>
          <w:color w:val="000000"/>
          <w:sz w:val="32"/>
          <w:szCs w:val="32"/>
          <w:lang w:eastAsia="zh-CN"/>
        </w:rPr>
        <w:t>：</w:t>
      </w:r>
      <w:r>
        <w:rPr>
          <w:rStyle w:val="17"/>
          <w:rFonts w:hint="default" w:ascii="Times New Roman" w:hAnsi="Times New Roman" w:eastAsia="仿宋" w:cs="Times New Roman"/>
          <w:b w:val="0"/>
          <w:bCs w:val="0"/>
          <w:color w:val="000000"/>
          <w:sz w:val="32"/>
          <w:szCs w:val="32"/>
        </w:rPr>
        <w:t xml:space="preserve"> </w:t>
      </w:r>
      <w:r>
        <w:rPr>
          <w:rFonts w:hint="default" w:ascii="Times New Roman" w:hAnsi="Times New Roman" w:eastAsia="仿宋_GB2312" w:cs="Times New Roman"/>
          <w:color w:val="auto"/>
          <w:sz w:val="32"/>
          <w:szCs w:val="32"/>
          <w:highlight w:val="none"/>
        </w:rPr>
        <w:t>指</w:t>
      </w:r>
      <w:r>
        <w:rPr>
          <w:rFonts w:hint="eastAsia" w:eastAsia="仿宋_GB2312" w:cs="Times New Roman"/>
          <w:color w:val="auto"/>
          <w:sz w:val="32"/>
          <w:szCs w:val="32"/>
          <w:highlight w:val="none"/>
          <w:lang w:eastAsia="zh-CN"/>
        </w:rPr>
        <w:t>反映财政部门安排的行政单位（包括实行公务员管理的事业单位）基本医疗保险缴费经费，未参加医疗保险的行政单位的公费医疗经费，按国家规定享受离休人员、红军老战士待遇人员的医疗经费</w:t>
      </w:r>
      <w:r>
        <w:rPr>
          <w:rFonts w:hint="default" w:ascii="Times New Roman" w:hAnsi="Times New Roman" w:eastAsia="仿宋_GB2312" w:cs="Times New Roman"/>
          <w:color w:val="auto"/>
          <w:sz w:val="32"/>
          <w:szCs w:val="32"/>
          <w:highlight w:val="none"/>
        </w:rPr>
        <w:t>。</w:t>
      </w:r>
    </w:p>
    <w:p>
      <w:pPr>
        <w:pageBreakBefore w:val="0"/>
        <w:kinsoku/>
        <w:wordWrap/>
        <w:overflowPunct/>
        <w:topLinePunct w:val="0"/>
        <w:bidi w:val="0"/>
        <w:snapToGrid w:val="0"/>
        <w:spacing w:line="590" w:lineRule="exact"/>
        <w:ind w:firstLine="640" w:firstLineChars="200"/>
        <w:textAlignment w:val="auto"/>
        <w:rPr>
          <w:rFonts w:hint="default" w:ascii="Times New Roman" w:hAnsi="Times New Roman" w:eastAsia="仿宋" w:cs="Times New Roman"/>
          <w:b w:val="0"/>
          <w:bCs w:val="0"/>
          <w:color w:val="000000"/>
          <w:sz w:val="32"/>
          <w:szCs w:val="32"/>
        </w:rPr>
      </w:pPr>
      <w:r>
        <w:rPr>
          <w:rStyle w:val="17"/>
          <w:rFonts w:hint="eastAsia" w:ascii="Times New Roman" w:hAnsi="Times New Roman" w:eastAsia="仿宋" w:cs="Times New Roman"/>
          <w:b w:val="0"/>
          <w:bCs w:val="0"/>
          <w:color w:val="000000"/>
          <w:sz w:val="32"/>
          <w:szCs w:val="32"/>
          <w:lang w:val="en-US" w:eastAsia="zh-CN"/>
        </w:rPr>
        <w:t>11</w:t>
      </w:r>
      <w:r>
        <w:rPr>
          <w:rStyle w:val="17"/>
          <w:rFonts w:hint="default" w:ascii="Times New Roman" w:hAnsi="Times New Roman" w:eastAsia="仿宋" w:cs="Times New Roman"/>
          <w:b w:val="0"/>
          <w:bCs w:val="0"/>
          <w:color w:val="000000"/>
          <w:sz w:val="32"/>
          <w:szCs w:val="32"/>
        </w:rPr>
        <w:t>.</w:t>
      </w:r>
      <w:r>
        <w:rPr>
          <w:rFonts w:hint="default" w:ascii="Times New Roman" w:hAnsi="Times New Roman" w:eastAsia="仿宋" w:cs="Times New Roman"/>
          <w:b w:val="0"/>
          <w:bCs w:val="0"/>
          <w:color w:val="000000" w:themeColor="text1"/>
          <w:sz w:val="32"/>
          <w:szCs w:val="32"/>
          <w14:textFill>
            <w14:solidFill>
              <w14:schemeClr w14:val="tx1"/>
            </w14:solidFill>
          </w14:textFill>
        </w:rPr>
        <w:t>卫生健康</w:t>
      </w:r>
      <w:r>
        <w:rPr>
          <w:rStyle w:val="17"/>
          <w:rFonts w:hint="default" w:ascii="Times New Roman" w:hAnsi="Times New Roman" w:eastAsia="仿宋" w:cs="Times New Roman"/>
          <w:b w:val="0"/>
          <w:bCs w:val="0"/>
          <w:color w:val="000000"/>
          <w:sz w:val="32"/>
          <w:szCs w:val="32"/>
        </w:rPr>
        <w:t>（类）</w:t>
      </w:r>
      <w:r>
        <w:rPr>
          <w:rStyle w:val="17"/>
          <w:rFonts w:hint="eastAsia" w:ascii="Times New Roman" w:hAnsi="Times New Roman" w:eastAsia="仿宋" w:cs="Times New Roman"/>
          <w:b w:val="0"/>
          <w:bCs w:val="0"/>
          <w:color w:val="000000"/>
          <w:sz w:val="32"/>
          <w:szCs w:val="32"/>
          <w:lang w:eastAsia="zh-CN"/>
        </w:rPr>
        <w:t>行政事业单位医疗</w:t>
      </w:r>
      <w:r>
        <w:rPr>
          <w:rStyle w:val="17"/>
          <w:rFonts w:hint="default" w:ascii="Times New Roman" w:hAnsi="Times New Roman" w:eastAsia="仿宋" w:cs="Times New Roman"/>
          <w:b w:val="0"/>
          <w:bCs w:val="0"/>
          <w:color w:val="000000"/>
          <w:sz w:val="32"/>
          <w:szCs w:val="32"/>
        </w:rPr>
        <w:t>（款）</w:t>
      </w:r>
      <w:r>
        <w:rPr>
          <w:rStyle w:val="17"/>
          <w:rFonts w:hint="eastAsia" w:ascii="Times New Roman" w:hAnsi="Times New Roman" w:eastAsia="仿宋" w:cs="Times New Roman"/>
          <w:b w:val="0"/>
          <w:bCs w:val="0"/>
          <w:color w:val="000000"/>
          <w:sz w:val="32"/>
          <w:szCs w:val="32"/>
          <w:lang w:eastAsia="zh-CN"/>
        </w:rPr>
        <w:t>事业单位医疗</w:t>
      </w:r>
      <w:r>
        <w:rPr>
          <w:rStyle w:val="17"/>
          <w:rFonts w:hint="default" w:ascii="Times New Roman" w:hAnsi="Times New Roman" w:eastAsia="仿宋" w:cs="Times New Roman"/>
          <w:b w:val="0"/>
          <w:bCs w:val="0"/>
          <w:color w:val="000000"/>
          <w:sz w:val="32"/>
          <w:szCs w:val="32"/>
        </w:rPr>
        <w:t>（项）</w:t>
      </w:r>
      <w:r>
        <w:rPr>
          <w:rStyle w:val="17"/>
          <w:rFonts w:hint="eastAsia" w:eastAsia="仿宋" w:cs="Times New Roman"/>
          <w:b w:val="0"/>
          <w:bCs w:val="0"/>
          <w:color w:val="000000"/>
          <w:sz w:val="32"/>
          <w:szCs w:val="32"/>
          <w:lang w:eastAsia="zh-CN"/>
        </w:rPr>
        <w:t>：</w:t>
      </w:r>
      <w:r>
        <w:rPr>
          <w:rStyle w:val="17"/>
          <w:rFonts w:hint="default" w:ascii="Times New Roman" w:hAnsi="Times New Roman" w:eastAsia="仿宋" w:cs="Times New Roman"/>
          <w:b w:val="0"/>
          <w:bCs w:val="0"/>
          <w:color w:val="000000"/>
          <w:sz w:val="32"/>
          <w:szCs w:val="32"/>
        </w:rPr>
        <w:t xml:space="preserve"> </w:t>
      </w:r>
      <w:r>
        <w:rPr>
          <w:rFonts w:hint="default" w:ascii="Times New Roman" w:hAnsi="Times New Roman" w:eastAsia="仿宋_GB2312" w:cs="Times New Roman"/>
          <w:color w:val="auto"/>
          <w:sz w:val="32"/>
          <w:szCs w:val="32"/>
          <w:highlight w:val="none"/>
        </w:rPr>
        <w:t>指</w:t>
      </w:r>
      <w:r>
        <w:rPr>
          <w:rFonts w:hint="eastAsia" w:eastAsia="仿宋_GB2312" w:cs="Times New Roman"/>
          <w:color w:val="auto"/>
          <w:sz w:val="32"/>
          <w:szCs w:val="32"/>
          <w:highlight w:val="none"/>
          <w:lang w:eastAsia="zh-CN"/>
        </w:rPr>
        <w:t>反映财政部门安排的事业单位基本医疗保险缴费经费，未参加医疗保险的行政单位的公费医疗经费，按国家规定享受离休人员待遇的医疗经费</w:t>
      </w:r>
      <w:r>
        <w:rPr>
          <w:rFonts w:hint="default" w:ascii="Times New Roman" w:hAnsi="Times New Roman" w:eastAsia="仿宋_GB2312" w:cs="Times New Roman"/>
          <w:color w:val="auto"/>
          <w:sz w:val="32"/>
          <w:szCs w:val="32"/>
          <w:highlight w:val="none"/>
        </w:rPr>
        <w:t>。</w:t>
      </w:r>
    </w:p>
    <w:p>
      <w:pPr>
        <w:pageBreakBefore w:val="0"/>
        <w:kinsoku/>
        <w:wordWrap/>
        <w:overflowPunct/>
        <w:topLinePunct w:val="0"/>
        <w:bidi w:val="0"/>
        <w:spacing w:line="590" w:lineRule="exact"/>
        <w:ind w:firstLine="640" w:firstLineChars="200"/>
        <w:textAlignment w:val="auto"/>
        <w:rPr>
          <w:rFonts w:hint="default" w:ascii="Times New Roman" w:hAnsi="Times New Roman" w:eastAsia="仿宋" w:cs="Times New Roman"/>
          <w:b w:val="0"/>
          <w:bCs w:val="0"/>
          <w:color w:val="000000"/>
          <w:sz w:val="32"/>
          <w:szCs w:val="32"/>
        </w:rPr>
      </w:pPr>
      <w:r>
        <w:rPr>
          <w:rStyle w:val="17"/>
          <w:rFonts w:hint="eastAsia" w:ascii="Times New Roman" w:hAnsi="Times New Roman" w:eastAsia="仿宋" w:cs="Times New Roman"/>
          <w:b w:val="0"/>
          <w:bCs w:val="0"/>
          <w:color w:val="000000"/>
          <w:sz w:val="32"/>
          <w:szCs w:val="32"/>
          <w:lang w:val="en-US" w:eastAsia="zh-CN"/>
        </w:rPr>
        <w:t>12.</w:t>
      </w:r>
      <w:r>
        <w:rPr>
          <w:rFonts w:hint="default" w:ascii="Times New Roman" w:hAnsi="Times New Roman" w:eastAsia="仿宋" w:cs="Times New Roman"/>
          <w:b w:val="0"/>
          <w:bCs w:val="0"/>
          <w:color w:val="000000" w:themeColor="text1"/>
          <w:sz w:val="32"/>
          <w:szCs w:val="32"/>
          <w14:textFill>
            <w14:solidFill>
              <w14:schemeClr w14:val="tx1"/>
            </w14:solidFill>
          </w14:textFill>
        </w:rPr>
        <w:t>卫生健康</w:t>
      </w:r>
      <w:r>
        <w:rPr>
          <w:rStyle w:val="17"/>
          <w:rFonts w:hint="default" w:ascii="Times New Roman" w:hAnsi="Times New Roman" w:eastAsia="仿宋" w:cs="Times New Roman"/>
          <w:b w:val="0"/>
          <w:bCs w:val="0"/>
          <w:color w:val="000000"/>
          <w:sz w:val="32"/>
          <w:szCs w:val="32"/>
        </w:rPr>
        <w:t>（类）</w:t>
      </w:r>
      <w:r>
        <w:rPr>
          <w:rStyle w:val="17"/>
          <w:rFonts w:hint="eastAsia" w:ascii="Times New Roman" w:hAnsi="Times New Roman" w:eastAsia="仿宋" w:cs="Times New Roman"/>
          <w:b w:val="0"/>
          <w:bCs w:val="0"/>
          <w:color w:val="000000"/>
          <w:sz w:val="32"/>
          <w:szCs w:val="32"/>
          <w:lang w:eastAsia="zh-CN"/>
        </w:rPr>
        <w:t>行政事业单位医疗</w:t>
      </w:r>
      <w:r>
        <w:rPr>
          <w:rStyle w:val="17"/>
          <w:rFonts w:hint="default" w:ascii="Times New Roman" w:hAnsi="Times New Roman" w:eastAsia="仿宋" w:cs="Times New Roman"/>
          <w:b w:val="0"/>
          <w:bCs w:val="0"/>
          <w:color w:val="000000"/>
          <w:sz w:val="32"/>
          <w:szCs w:val="32"/>
        </w:rPr>
        <w:t>（款）</w:t>
      </w:r>
      <w:r>
        <w:rPr>
          <w:rStyle w:val="17"/>
          <w:rFonts w:hint="eastAsia" w:ascii="Times New Roman" w:hAnsi="Times New Roman" w:eastAsia="仿宋" w:cs="Times New Roman"/>
          <w:b w:val="0"/>
          <w:bCs w:val="0"/>
          <w:color w:val="000000"/>
          <w:sz w:val="32"/>
          <w:szCs w:val="32"/>
          <w:lang w:eastAsia="zh-CN"/>
        </w:rPr>
        <w:t>公务员医疗补助</w:t>
      </w:r>
      <w:r>
        <w:rPr>
          <w:rStyle w:val="17"/>
          <w:rFonts w:hint="default" w:ascii="Times New Roman" w:hAnsi="Times New Roman" w:eastAsia="仿宋" w:cs="Times New Roman"/>
          <w:b w:val="0"/>
          <w:bCs w:val="0"/>
          <w:color w:val="000000"/>
          <w:sz w:val="32"/>
          <w:szCs w:val="32"/>
        </w:rPr>
        <w:t>（项）</w:t>
      </w:r>
      <w:r>
        <w:rPr>
          <w:rStyle w:val="17"/>
          <w:rFonts w:hint="eastAsia" w:eastAsia="仿宋" w:cs="Times New Roman"/>
          <w:b w:val="0"/>
          <w:bCs w:val="0"/>
          <w:color w:val="000000"/>
          <w:sz w:val="32"/>
          <w:szCs w:val="32"/>
          <w:lang w:eastAsia="zh-CN"/>
        </w:rPr>
        <w:t>：</w:t>
      </w:r>
      <w:r>
        <w:rPr>
          <w:rFonts w:hint="default" w:ascii="Times New Roman" w:hAnsi="Times New Roman" w:eastAsia="仿宋_GB2312" w:cs="Times New Roman"/>
          <w:color w:val="auto"/>
          <w:sz w:val="32"/>
          <w:szCs w:val="32"/>
          <w:highlight w:val="none"/>
        </w:rPr>
        <w:t>指</w:t>
      </w:r>
      <w:r>
        <w:rPr>
          <w:rFonts w:hint="eastAsia" w:eastAsia="仿宋_GB2312" w:cs="Times New Roman"/>
          <w:color w:val="auto"/>
          <w:sz w:val="32"/>
          <w:szCs w:val="32"/>
          <w:highlight w:val="none"/>
          <w:lang w:eastAsia="zh-CN"/>
        </w:rPr>
        <w:t>反映财政部门安排的公务员医疗补助经费</w:t>
      </w:r>
      <w:r>
        <w:rPr>
          <w:rFonts w:hint="default" w:ascii="Times New Roman" w:hAnsi="Times New Roman" w:eastAsia="仿宋_GB2312" w:cs="Times New Roman"/>
          <w:color w:val="auto"/>
          <w:sz w:val="32"/>
          <w:szCs w:val="32"/>
          <w:highlight w:val="none"/>
        </w:rPr>
        <w:t>。</w:t>
      </w:r>
    </w:p>
    <w:p>
      <w:pPr>
        <w:pageBreakBefore w:val="0"/>
        <w:kinsoku/>
        <w:wordWrap/>
        <w:overflowPunct/>
        <w:topLinePunct w:val="0"/>
        <w:bidi w:val="0"/>
        <w:spacing w:line="590" w:lineRule="exact"/>
        <w:ind w:firstLine="640" w:firstLineChars="200"/>
        <w:textAlignment w:val="auto"/>
        <w:rPr>
          <w:rFonts w:hint="eastAsia" w:ascii="Times New Roman" w:hAnsi="Times New Roman" w:eastAsia="仿宋" w:cs="Times New Roman"/>
          <w:b w:val="0"/>
          <w:bCs w:val="0"/>
          <w:color w:val="000000"/>
          <w:sz w:val="32"/>
          <w:szCs w:val="32"/>
          <w:lang w:eastAsia="zh-CN"/>
        </w:rPr>
      </w:pPr>
      <w:r>
        <w:rPr>
          <w:rStyle w:val="17"/>
          <w:rFonts w:hint="eastAsia" w:ascii="Times New Roman" w:hAnsi="Times New Roman" w:eastAsia="仿宋" w:cs="Times New Roman"/>
          <w:b w:val="0"/>
          <w:bCs w:val="0"/>
          <w:color w:val="000000"/>
          <w:sz w:val="32"/>
          <w:szCs w:val="32"/>
          <w:lang w:val="en-US" w:eastAsia="zh-CN"/>
        </w:rPr>
        <w:t>13</w:t>
      </w:r>
      <w:r>
        <w:rPr>
          <w:rStyle w:val="17"/>
          <w:rFonts w:hint="default" w:ascii="Times New Roman" w:hAnsi="Times New Roman" w:eastAsia="仿宋" w:cs="Times New Roman"/>
          <w:b w:val="0"/>
          <w:bCs w:val="0"/>
          <w:color w:val="000000"/>
          <w:sz w:val="32"/>
          <w:szCs w:val="32"/>
        </w:rPr>
        <w:t>.</w:t>
      </w:r>
      <w:r>
        <w:rPr>
          <w:rStyle w:val="17"/>
          <w:rFonts w:hint="eastAsia" w:eastAsia="仿宋" w:cs="Times New Roman"/>
          <w:b w:val="0"/>
          <w:bCs w:val="0"/>
          <w:color w:val="000000"/>
          <w:sz w:val="32"/>
          <w:szCs w:val="32"/>
          <w:lang w:eastAsia="zh-CN"/>
        </w:rPr>
        <w:t>金融支出</w:t>
      </w:r>
      <w:r>
        <w:rPr>
          <w:rStyle w:val="17"/>
          <w:rFonts w:hint="default" w:ascii="Times New Roman" w:hAnsi="Times New Roman" w:eastAsia="仿宋" w:cs="Times New Roman"/>
          <w:b w:val="0"/>
          <w:bCs w:val="0"/>
          <w:color w:val="000000"/>
          <w:sz w:val="32"/>
          <w:szCs w:val="32"/>
        </w:rPr>
        <w:t>（类）</w:t>
      </w:r>
      <w:r>
        <w:rPr>
          <w:rStyle w:val="17"/>
          <w:rFonts w:hint="eastAsia" w:eastAsia="仿宋" w:cs="Times New Roman"/>
          <w:b w:val="0"/>
          <w:bCs w:val="0"/>
          <w:color w:val="000000"/>
          <w:sz w:val="32"/>
          <w:szCs w:val="32"/>
          <w:lang w:eastAsia="zh-CN"/>
        </w:rPr>
        <w:t>金融部门行政支出</w:t>
      </w:r>
      <w:r>
        <w:rPr>
          <w:rStyle w:val="17"/>
          <w:rFonts w:hint="default" w:ascii="Times New Roman" w:hAnsi="Times New Roman" w:eastAsia="仿宋" w:cs="Times New Roman"/>
          <w:b w:val="0"/>
          <w:bCs w:val="0"/>
          <w:color w:val="000000"/>
          <w:sz w:val="32"/>
          <w:szCs w:val="32"/>
        </w:rPr>
        <w:t>（款）</w:t>
      </w:r>
      <w:r>
        <w:rPr>
          <w:rStyle w:val="17"/>
          <w:rFonts w:hint="eastAsia" w:eastAsia="仿宋" w:cs="Times New Roman"/>
          <w:b w:val="0"/>
          <w:bCs w:val="0"/>
          <w:color w:val="000000"/>
          <w:sz w:val="32"/>
          <w:szCs w:val="32"/>
          <w:lang w:eastAsia="zh-CN"/>
        </w:rPr>
        <w:t>行政运行</w:t>
      </w:r>
      <w:r>
        <w:rPr>
          <w:rStyle w:val="17"/>
          <w:rFonts w:hint="default" w:ascii="Times New Roman" w:hAnsi="Times New Roman" w:eastAsia="仿宋" w:cs="Times New Roman"/>
          <w:b w:val="0"/>
          <w:bCs w:val="0"/>
          <w:color w:val="000000"/>
          <w:sz w:val="32"/>
          <w:szCs w:val="32"/>
        </w:rPr>
        <w:t>（项）</w:t>
      </w:r>
      <w:r>
        <w:rPr>
          <w:rStyle w:val="17"/>
          <w:rFonts w:hint="eastAsia" w:eastAsia="仿宋" w:cs="Times New Roman"/>
          <w:b w:val="0"/>
          <w:bCs w:val="0"/>
          <w:color w:val="000000"/>
          <w:sz w:val="32"/>
          <w:szCs w:val="32"/>
          <w:lang w:eastAsia="zh-CN"/>
        </w:rPr>
        <w:t>：</w:t>
      </w:r>
      <w:r>
        <w:rPr>
          <w:rStyle w:val="17"/>
          <w:rFonts w:hint="default" w:ascii="Times New Roman" w:hAnsi="Times New Roman" w:eastAsia="仿宋" w:cs="Times New Roman"/>
          <w:b w:val="0"/>
          <w:bCs w:val="0"/>
          <w:color w:val="000000"/>
          <w:sz w:val="32"/>
          <w:szCs w:val="32"/>
        </w:rPr>
        <w:t xml:space="preserve"> </w:t>
      </w:r>
      <w:r>
        <w:rPr>
          <w:rStyle w:val="17"/>
          <w:rFonts w:hint="eastAsia" w:ascii="Times New Roman" w:hAnsi="Times New Roman" w:eastAsia="仿宋" w:cs="Times New Roman"/>
          <w:b w:val="0"/>
          <w:bCs w:val="0"/>
          <w:color w:val="000000"/>
          <w:sz w:val="32"/>
          <w:szCs w:val="32"/>
          <w:lang w:eastAsia="zh-CN"/>
        </w:rPr>
        <w:t>指反映</w:t>
      </w:r>
      <w:r>
        <w:rPr>
          <w:rFonts w:hint="eastAsia" w:eastAsia="仿宋_GB2312" w:cs="Times New Roman"/>
          <w:color w:val="auto"/>
          <w:sz w:val="32"/>
          <w:szCs w:val="32"/>
          <w:highlight w:val="none"/>
          <w:lang w:eastAsia="zh-CN"/>
        </w:rPr>
        <w:t>行政单位（包括实行公务员管理的事业单位）的基本支出。</w:t>
      </w:r>
    </w:p>
    <w:p>
      <w:pPr>
        <w:pageBreakBefore w:val="0"/>
        <w:kinsoku/>
        <w:wordWrap/>
        <w:overflowPunct/>
        <w:topLinePunct w:val="0"/>
        <w:bidi w:val="0"/>
        <w:spacing w:line="590" w:lineRule="exact"/>
        <w:ind w:firstLine="640" w:firstLineChars="200"/>
        <w:textAlignment w:val="auto"/>
        <w:rPr>
          <w:rFonts w:hint="default" w:ascii="Times New Roman" w:hAnsi="Times New Roman" w:eastAsia="仿宋" w:cs="Times New Roman"/>
          <w:b w:val="0"/>
          <w:bCs w:val="0"/>
          <w:color w:val="000000"/>
          <w:sz w:val="32"/>
          <w:szCs w:val="32"/>
        </w:rPr>
      </w:pPr>
      <w:r>
        <w:rPr>
          <w:rStyle w:val="17"/>
          <w:rFonts w:hint="eastAsia" w:ascii="Times New Roman" w:hAnsi="Times New Roman" w:eastAsia="仿宋" w:cs="Times New Roman"/>
          <w:b w:val="0"/>
          <w:bCs w:val="0"/>
          <w:color w:val="000000"/>
          <w:sz w:val="32"/>
          <w:szCs w:val="32"/>
          <w:lang w:val="en-US" w:eastAsia="zh-CN"/>
        </w:rPr>
        <w:t>14</w:t>
      </w:r>
      <w:r>
        <w:rPr>
          <w:rStyle w:val="17"/>
          <w:rFonts w:hint="default" w:ascii="Times New Roman" w:hAnsi="Times New Roman" w:eastAsia="仿宋" w:cs="Times New Roman"/>
          <w:b w:val="0"/>
          <w:bCs w:val="0"/>
          <w:color w:val="000000"/>
          <w:sz w:val="32"/>
          <w:szCs w:val="32"/>
        </w:rPr>
        <w:t>.</w:t>
      </w:r>
      <w:r>
        <w:rPr>
          <w:rStyle w:val="17"/>
          <w:rFonts w:hint="eastAsia" w:eastAsia="仿宋" w:cs="Times New Roman"/>
          <w:b w:val="0"/>
          <w:bCs w:val="0"/>
          <w:color w:val="000000"/>
          <w:sz w:val="32"/>
          <w:szCs w:val="32"/>
          <w:lang w:eastAsia="zh-CN"/>
        </w:rPr>
        <w:t>金融支出</w:t>
      </w:r>
      <w:r>
        <w:rPr>
          <w:rStyle w:val="17"/>
          <w:rFonts w:hint="default" w:ascii="Times New Roman" w:hAnsi="Times New Roman" w:eastAsia="仿宋" w:cs="Times New Roman"/>
          <w:b w:val="0"/>
          <w:bCs w:val="0"/>
          <w:color w:val="000000"/>
          <w:sz w:val="32"/>
          <w:szCs w:val="32"/>
        </w:rPr>
        <w:t>（类）</w:t>
      </w:r>
      <w:r>
        <w:rPr>
          <w:rStyle w:val="17"/>
          <w:rFonts w:hint="eastAsia" w:eastAsia="仿宋" w:cs="Times New Roman"/>
          <w:b w:val="0"/>
          <w:bCs w:val="0"/>
          <w:color w:val="000000"/>
          <w:sz w:val="32"/>
          <w:szCs w:val="32"/>
          <w:lang w:eastAsia="zh-CN"/>
        </w:rPr>
        <w:t>金融部门行政支出</w:t>
      </w:r>
      <w:r>
        <w:rPr>
          <w:rStyle w:val="17"/>
          <w:rFonts w:hint="default" w:ascii="Times New Roman" w:hAnsi="Times New Roman" w:eastAsia="仿宋" w:cs="Times New Roman"/>
          <w:b w:val="0"/>
          <w:bCs w:val="0"/>
          <w:color w:val="000000"/>
          <w:sz w:val="32"/>
          <w:szCs w:val="32"/>
        </w:rPr>
        <w:t>（款）</w:t>
      </w:r>
      <w:r>
        <w:rPr>
          <w:rStyle w:val="17"/>
          <w:rFonts w:hint="eastAsia" w:eastAsia="仿宋" w:cs="Times New Roman"/>
          <w:b w:val="0"/>
          <w:bCs w:val="0"/>
          <w:color w:val="000000"/>
          <w:sz w:val="32"/>
          <w:szCs w:val="32"/>
          <w:lang w:eastAsia="zh-CN"/>
        </w:rPr>
        <w:t>机关服务</w:t>
      </w:r>
      <w:r>
        <w:rPr>
          <w:rStyle w:val="17"/>
          <w:rFonts w:hint="default" w:ascii="Times New Roman" w:hAnsi="Times New Roman" w:eastAsia="仿宋" w:cs="Times New Roman"/>
          <w:b w:val="0"/>
          <w:bCs w:val="0"/>
          <w:color w:val="000000"/>
          <w:sz w:val="32"/>
          <w:szCs w:val="32"/>
        </w:rPr>
        <w:t>（项）</w:t>
      </w:r>
      <w:r>
        <w:rPr>
          <w:rStyle w:val="17"/>
          <w:rFonts w:hint="eastAsia" w:eastAsia="仿宋" w:cs="Times New Roman"/>
          <w:b w:val="0"/>
          <w:bCs w:val="0"/>
          <w:color w:val="000000"/>
          <w:sz w:val="32"/>
          <w:szCs w:val="32"/>
          <w:lang w:eastAsia="zh-CN"/>
        </w:rPr>
        <w:t>：</w:t>
      </w:r>
      <w:r>
        <w:rPr>
          <w:rStyle w:val="17"/>
          <w:rFonts w:hint="eastAsia" w:ascii="Times New Roman" w:hAnsi="Times New Roman" w:eastAsia="仿宋" w:cs="Times New Roman"/>
          <w:b w:val="0"/>
          <w:bCs w:val="0"/>
          <w:color w:val="000000"/>
          <w:sz w:val="32"/>
          <w:szCs w:val="32"/>
          <w:lang w:eastAsia="zh-CN"/>
        </w:rPr>
        <w:t>指反映</w:t>
      </w:r>
      <w:r>
        <w:rPr>
          <w:rFonts w:hint="eastAsia" w:eastAsia="仿宋_GB2312" w:cs="Times New Roman"/>
          <w:color w:val="auto"/>
          <w:sz w:val="32"/>
          <w:szCs w:val="32"/>
          <w:highlight w:val="none"/>
          <w:lang w:eastAsia="zh-CN"/>
        </w:rPr>
        <w:t>行政单位（包括实行公务员管理的事业单位）提供后勤服务的各类后勤服务中心、医务室等附属事业单位的支出</w:t>
      </w:r>
      <w:r>
        <w:rPr>
          <w:rStyle w:val="17"/>
          <w:rFonts w:hint="default" w:ascii="Times New Roman" w:hAnsi="Times New Roman" w:eastAsia="仿宋" w:cs="Times New Roman"/>
          <w:b w:val="0"/>
          <w:bCs w:val="0"/>
          <w:color w:val="000000"/>
          <w:sz w:val="32"/>
          <w:szCs w:val="32"/>
        </w:rPr>
        <w:t>。</w:t>
      </w:r>
    </w:p>
    <w:p>
      <w:pPr>
        <w:pageBreakBefore w:val="0"/>
        <w:kinsoku/>
        <w:wordWrap/>
        <w:overflowPunct/>
        <w:topLinePunct w:val="0"/>
        <w:bidi w:val="0"/>
        <w:spacing w:line="590" w:lineRule="exact"/>
        <w:ind w:firstLine="640" w:firstLineChars="200"/>
        <w:textAlignment w:val="auto"/>
        <w:rPr>
          <w:rStyle w:val="17"/>
          <w:rFonts w:hint="default" w:ascii="Times New Roman" w:hAnsi="Times New Roman" w:eastAsia="仿宋" w:cs="Times New Roman"/>
          <w:b w:val="0"/>
          <w:bCs w:val="0"/>
          <w:color w:val="000000"/>
          <w:sz w:val="32"/>
          <w:szCs w:val="32"/>
        </w:rPr>
      </w:pPr>
      <w:r>
        <w:rPr>
          <w:rStyle w:val="17"/>
          <w:rFonts w:hint="eastAsia" w:ascii="Times New Roman" w:hAnsi="Times New Roman" w:eastAsia="仿宋" w:cs="Times New Roman"/>
          <w:b w:val="0"/>
          <w:bCs w:val="0"/>
          <w:color w:val="000000"/>
          <w:sz w:val="32"/>
          <w:szCs w:val="32"/>
          <w:lang w:val="en-US" w:eastAsia="zh-CN"/>
        </w:rPr>
        <w:t>15</w:t>
      </w:r>
      <w:r>
        <w:rPr>
          <w:rStyle w:val="17"/>
          <w:rFonts w:hint="default" w:ascii="Times New Roman" w:hAnsi="Times New Roman" w:eastAsia="仿宋" w:cs="Times New Roman"/>
          <w:b w:val="0"/>
          <w:bCs w:val="0"/>
          <w:color w:val="000000"/>
          <w:sz w:val="32"/>
          <w:szCs w:val="32"/>
        </w:rPr>
        <w:t>.</w:t>
      </w:r>
      <w:r>
        <w:rPr>
          <w:rStyle w:val="17"/>
          <w:rFonts w:hint="eastAsia" w:eastAsia="仿宋" w:cs="Times New Roman"/>
          <w:b w:val="0"/>
          <w:bCs w:val="0"/>
          <w:color w:val="000000"/>
          <w:sz w:val="32"/>
          <w:szCs w:val="32"/>
          <w:lang w:eastAsia="zh-CN"/>
        </w:rPr>
        <w:t>金融支出</w:t>
      </w:r>
      <w:r>
        <w:rPr>
          <w:rStyle w:val="17"/>
          <w:rFonts w:hint="default" w:ascii="Times New Roman" w:hAnsi="Times New Roman" w:eastAsia="仿宋" w:cs="Times New Roman"/>
          <w:b w:val="0"/>
          <w:bCs w:val="0"/>
          <w:color w:val="000000"/>
          <w:sz w:val="32"/>
          <w:szCs w:val="32"/>
        </w:rPr>
        <w:t>（类）</w:t>
      </w:r>
      <w:r>
        <w:rPr>
          <w:rStyle w:val="17"/>
          <w:rFonts w:hint="eastAsia" w:eastAsia="仿宋" w:cs="Times New Roman"/>
          <w:b w:val="0"/>
          <w:bCs w:val="0"/>
          <w:color w:val="000000"/>
          <w:sz w:val="32"/>
          <w:szCs w:val="32"/>
          <w:lang w:eastAsia="zh-CN"/>
        </w:rPr>
        <w:t>金融部门行政支出</w:t>
      </w:r>
      <w:r>
        <w:rPr>
          <w:rStyle w:val="17"/>
          <w:rFonts w:hint="default" w:ascii="Times New Roman" w:hAnsi="Times New Roman" w:eastAsia="仿宋" w:cs="Times New Roman"/>
          <w:b w:val="0"/>
          <w:bCs w:val="0"/>
          <w:color w:val="000000"/>
          <w:sz w:val="32"/>
          <w:szCs w:val="32"/>
        </w:rPr>
        <w:t>（款）</w:t>
      </w:r>
      <w:r>
        <w:rPr>
          <w:rStyle w:val="17"/>
          <w:rFonts w:hint="eastAsia" w:eastAsia="仿宋" w:cs="Times New Roman"/>
          <w:b w:val="0"/>
          <w:bCs w:val="0"/>
          <w:color w:val="000000"/>
          <w:sz w:val="32"/>
          <w:szCs w:val="32"/>
          <w:lang w:eastAsia="zh-CN"/>
        </w:rPr>
        <w:t>事业运行</w:t>
      </w:r>
      <w:r>
        <w:rPr>
          <w:rStyle w:val="17"/>
          <w:rFonts w:hint="default" w:ascii="Times New Roman" w:hAnsi="Times New Roman" w:eastAsia="仿宋" w:cs="Times New Roman"/>
          <w:b w:val="0"/>
          <w:bCs w:val="0"/>
          <w:color w:val="000000"/>
          <w:sz w:val="32"/>
          <w:szCs w:val="32"/>
        </w:rPr>
        <w:t>（项）</w:t>
      </w:r>
      <w:r>
        <w:rPr>
          <w:rStyle w:val="17"/>
          <w:rFonts w:hint="eastAsia" w:eastAsia="仿宋" w:cs="Times New Roman"/>
          <w:b w:val="0"/>
          <w:bCs w:val="0"/>
          <w:color w:val="000000"/>
          <w:sz w:val="32"/>
          <w:szCs w:val="32"/>
          <w:lang w:eastAsia="zh-CN"/>
        </w:rPr>
        <w:t>：指反映事业单位的基本支出，不包括（</w:t>
      </w:r>
      <w:r>
        <w:rPr>
          <w:rFonts w:hint="eastAsia" w:eastAsia="仿宋_GB2312" w:cs="Times New Roman"/>
          <w:color w:val="auto"/>
          <w:sz w:val="32"/>
          <w:szCs w:val="32"/>
          <w:highlight w:val="none"/>
          <w:lang w:eastAsia="zh-CN"/>
        </w:rPr>
        <w:t>包括实行公务员管理的事业单位</w:t>
      </w:r>
      <w:r>
        <w:rPr>
          <w:rStyle w:val="17"/>
          <w:rFonts w:hint="eastAsia" w:eastAsia="仿宋" w:cs="Times New Roman"/>
          <w:b w:val="0"/>
          <w:bCs w:val="0"/>
          <w:color w:val="000000"/>
          <w:sz w:val="32"/>
          <w:szCs w:val="32"/>
          <w:lang w:eastAsia="zh-CN"/>
        </w:rPr>
        <w:t>）后勤服务中心、医务室等附属事业单位</w:t>
      </w:r>
      <w:r>
        <w:rPr>
          <w:rStyle w:val="17"/>
          <w:rFonts w:hint="default" w:ascii="Times New Roman" w:hAnsi="Times New Roman" w:eastAsia="仿宋" w:cs="Times New Roman"/>
          <w:b w:val="0"/>
          <w:bCs w:val="0"/>
          <w:color w:val="000000"/>
          <w:sz w:val="32"/>
          <w:szCs w:val="32"/>
        </w:rPr>
        <w:t>。</w:t>
      </w:r>
    </w:p>
    <w:p>
      <w:pPr>
        <w:pageBreakBefore w:val="0"/>
        <w:kinsoku/>
        <w:wordWrap/>
        <w:overflowPunct/>
        <w:topLinePunct w:val="0"/>
        <w:bidi w:val="0"/>
        <w:spacing w:line="590" w:lineRule="exact"/>
        <w:ind w:firstLine="640" w:firstLineChars="200"/>
        <w:textAlignment w:val="auto"/>
        <w:rPr>
          <w:rStyle w:val="17"/>
          <w:rFonts w:hint="default" w:ascii="Times New Roman" w:hAnsi="Times New Roman" w:eastAsia="仿宋" w:cs="Times New Roman"/>
          <w:b w:val="0"/>
          <w:bCs w:val="0"/>
          <w:color w:val="000000"/>
          <w:sz w:val="32"/>
          <w:szCs w:val="32"/>
        </w:rPr>
      </w:pPr>
      <w:r>
        <w:rPr>
          <w:rStyle w:val="17"/>
          <w:rFonts w:hint="eastAsia" w:ascii="Times New Roman" w:hAnsi="Times New Roman" w:eastAsia="仿宋" w:cs="Times New Roman"/>
          <w:b w:val="0"/>
          <w:bCs w:val="0"/>
          <w:color w:val="000000"/>
          <w:sz w:val="32"/>
          <w:szCs w:val="32"/>
          <w:lang w:val="en-US" w:eastAsia="zh-CN"/>
        </w:rPr>
        <w:t>16</w:t>
      </w:r>
      <w:r>
        <w:rPr>
          <w:rStyle w:val="17"/>
          <w:rFonts w:hint="default" w:ascii="Times New Roman" w:hAnsi="Times New Roman" w:eastAsia="仿宋" w:cs="Times New Roman"/>
          <w:b w:val="0"/>
          <w:bCs w:val="0"/>
          <w:color w:val="000000"/>
          <w:sz w:val="32"/>
          <w:szCs w:val="32"/>
        </w:rPr>
        <w:t>.</w:t>
      </w:r>
      <w:r>
        <w:rPr>
          <w:rStyle w:val="17"/>
          <w:rFonts w:hint="eastAsia" w:eastAsia="仿宋" w:cs="Times New Roman"/>
          <w:b w:val="0"/>
          <w:bCs w:val="0"/>
          <w:color w:val="000000"/>
          <w:sz w:val="32"/>
          <w:szCs w:val="32"/>
          <w:lang w:eastAsia="zh-CN"/>
        </w:rPr>
        <w:t>金融支出</w:t>
      </w:r>
      <w:r>
        <w:rPr>
          <w:rStyle w:val="17"/>
          <w:rFonts w:hint="default" w:ascii="Times New Roman" w:hAnsi="Times New Roman" w:eastAsia="仿宋" w:cs="Times New Roman"/>
          <w:b w:val="0"/>
          <w:bCs w:val="0"/>
          <w:color w:val="000000"/>
          <w:sz w:val="32"/>
          <w:szCs w:val="32"/>
        </w:rPr>
        <w:t>（类）</w:t>
      </w:r>
      <w:r>
        <w:rPr>
          <w:rStyle w:val="17"/>
          <w:rFonts w:hint="eastAsia" w:eastAsia="仿宋" w:cs="Times New Roman"/>
          <w:b w:val="0"/>
          <w:bCs w:val="0"/>
          <w:color w:val="000000"/>
          <w:sz w:val="32"/>
          <w:szCs w:val="32"/>
          <w:lang w:eastAsia="zh-CN"/>
        </w:rPr>
        <w:t>金融部门行政支出</w:t>
      </w:r>
      <w:r>
        <w:rPr>
          <w:rStyle w:val="17"/>
          <w:rFonts w:hint="default" w:ascii="Times New Roman" w:hAnsi="Times New Roman" w:eastAsia="仿宋" w:cs="Times New Roman"/>
          <w:b w:val="0"/>
          <w:bCs w:val="0"/>
          <w:color w:val="000000"/>
          <w:sz w:val="32"/>
          <w:szCs w:val="32"/>
        </w:rPr>
        <w:t>（款）</w:t>
      </w:r>
      <w:r>
        <w:rPr>
          <w:rStyle w:val="17"/>
          <w:rFonts w:hint="eastAsia" w:eastAsia="仿宋" w:cs="Times New Roman"/>
          <w:b w:val="0"/>
          <w:bCs w:val="0"/>
          <w:color w:val="000000"/>
          <w:sz w:val="32"/>
          <w:szCs w:val="32"/>
          <w:lang w:eastAsia="zh-CN"/>
        </w:rPr>
        <w:t>金融部门其他行政支出</w:t>
      </w:r>
      <w:r>
        <w:rPr>
          <w:rStyle w:val="17"/>
          <w:rFonts w:hint="default" w:ascii="Times New Roman" w:hAnsi="Times New Roman" w:eastAsia="仿宋" w:cs="Times New Roman"/>
          <w:b w:val="0"/>
          <w:bCs w:val="0"/>
          <w:color w:val="000000"/>
          <w:sz w:val="32"/>
          <w:szCs w:val="32"/>
        </w:rPr>
        <w:t>（项）</w:t>
      </w:r>
      <w:r>
        <w:rPr>
          <w:rStyle w:val="17"/>
          <w:rFonts w:hint="eastAsia" w:eastAsia="仿宋" w:cs="Times New Roman"/>
          <w:b w:val="0"/>
          <w:bCs w:val="0"/>
          <w:color w:val="000000"/>
          <w:sz w:val="32"/>
          <w:szCs w:val="32"/>
          <w:lang w:eastAsia="zh-CN"/>
        </w:rPr>
        <w:t>：指反映金融部门除上述项目以外其他用于行政方面的支出</w:t>
      </w:r>
      <w:r>
        <w:rPr>
          <w:rStyle w:val="17"/>
          <w:rFonts w:hint="default" w:ascii="Times New Roman" w:hAnsi="Times New Roman" w:eastAsia="仿宋" w:cs="Times New Roman"/>
          <w:b w:val="0"/>
          <w:bCs w:val="0"/>
          <w:color w:val="000000"/>
          <w:sz w:val="32"/>
          <w:szCs w:val="32"/>
        </w:rPr>
        <w:t>。</w:t>
      </w:r>
    </w:p>
    <w:p>
      <w:pPr>
        <w:pageBreakBefore w:val="0"/>
        <w:kinsoku/>
        <w:wordWrap/>
        <w:overflowPunct/>
        <w:topLinePunct w:val="0"/>
        <w:bidi w:val="0"/>
        <w:spacing w:line="590" w:lineRule="exact"/>
        <w:ind w:firstLine="640" w:firstLineChars="200"/>
        <w:textAlignment w:val="auto"/>
        <w:rPr>
          <w:rStyle w:val="17"/>
          <w:rFonts w:hint="default" w:ascii="Times New Roman" w:hAnsi="Times New Roman" w:eastAsia="仿宋" w:cs="Times New Roman"/>
          <w:b w:val="0"/>
          <w:bCs w:val="0"/>
          <w:color w:val="000000"/>
          <w:sz w:val="32"/>
          <w:szCs w:val="32"/>
        </w:rPr>
      </w:pPr>
      <w:r>
        <w:rPr>
          <w:rStyle w:val="17"/>
          <w:rFonts w:hint="eastAsia" w:ascii="Times New Roman" w:hAnsi="Times New Roman" w:eastAsia="仿宋" w:cs="Times New Roman"/>
          <w:b w:val="0"/>
          <w:bCs w:val="0"/>
          <w:color w:val="000000"/>
          <w:sz w:val="32"/>
          <w:szCs w:val="32"/>
          <w:lang w:val="en-US" w:eastAsia="zh-CN"/>
        </w:rPr>
        <w:t>17</w:t>
      </w:r>
      <w:r>
        <w:rPr>
          <w:rStyle w:val="17"/>
          <w:rFonts w:hint="default" w:ascii="Times New Roman" w:hAnsi="Times New Roman" w:eastAsia="仿宋" w:cs="Times New Roman"/>
          <w:b w:val="0"/>
          <w:bCs w:val="0"/>
          <w:color w:val="000000"/>
          <w:sz w:val="32"/>
          <w:szCs w:val="32"/>
        </w:rPr>
        <w:t>.</w:t>
      </w:r>
      <w:r>
        <w:rPr>
          <w:rStyle w:val="17"/>
          <w:rFonts w:hint="eastAsia" w:eastAsia="仿宋" w:cs="Times New Roman"/>
          <w:b w:val="0"/>
          <w:bCs w:val="0"/>
          <w:color w:val="000000"/>
          <w:sz w:val="32"/>
          <w:szCs w:val="32"/>
          <w:lang w:eastAsia="zh-CN"/>
        </w:rPr>
        <w:t>金融支出</w:t>
      </w:r>
      <w:r>
        <w:rPr>
          <w:rStyle w:val="17"/>
          <w:rFonts w:hint="default" w:ascii="Times New Roman" w:hAnsi="Times New Roman" w:eastAsia="仿宋" w:cs="Times New Roman"/>
          <w:b w:val="0"/>
          <w:bCs w:val="0"/>
          <w:color w:val="000000"/>
          <w:sz w:val="32"/>
          <w:szCs w:val="32"/>
        </w:rPr>
        <w:t>（类）</w:t>
      </w:r>
      <w:r>
        <w:rPr>
          <w:rStyle w:val="17"/>
          <w:rFonts w:hint="eastAsia" w:eastAsia="仿宋" w:cs="Times New Roman"/>
          <w:b w:val="0"/>
          <w:bCs w:val="0"/>
          <w:color w:val="000000"/>
          <w:sz w:val="32"/>
          <w:szCs w:val="32"/>
          <w:lang w:eastAsia="zh-CN"/>
        </w:rPr>
        <w:t>金融部门监管支出</w:t>
      </w:r>
      <w:r>
        <w:rPr>
          <w:rStyle w:val="17"/>
          <w:rFonts w:hint="default" w:ascii="Times New Roman" w:hAnsi="Times New Roman" w:eastAsia="仿宋" w:cs="Times New Roman"/>
          <w:b w:val="0"/>
          <w:bCs w:val="0"/>
          <w:color w:val="000000"/>
          <w:sz w:val="32"/>
          <w:szCs w:val="32"/>
        </w:rPr>
        <w:t>（款）</w:t>
      </w:r>
      <w:r>
        <w:rPr>
          <w:rStyle w:val="17"/>
          <w:rFonts w:hint="eastAsia" w:eastAsia="仿宋" w:cs="Times New Roman"/>
          <w:b w:val="0"/>
          <w:bCs w:val="0"/>
          <w:color w:val="000000"/>
          <w:sz w:val="32"/>
          <w:szCs w:val="32"/>
          <w:lang w:eastAsia="zh-CN"/>
        </w:rPr>
        <w:t>金融部门其他监管支出</w:t>
      </w:r>
      <w:r>
        <w:rPr>
          <w:rStyle w:val="17"/>
          <w:rFonts w:hint="default" w:ascii="Times New Roman" w:hAnsi="Times New Roman" w:eastAsia="仿宋" w:cs="Times New Roman"/>
          <w:b w:val="0"/>
          <w:bCs w:val="0"/>
          <w:color w:val="000000"/>
          <w:sz w:val="32"/>
          <w:szCs w:val="32"/>
        </w:rPr>
        <w:t>（项）</w:t>
      </w:r>
      <w:r>
        <w:rPr>
          <w:rStyle w:val="17"/>
          <w:rFonts w:hint="eastAsia" w:eastAsia="仿宋" w:cs="Times New Roman"/>
          <w:b w:val="0"/>
          <w:bCs w:val="0"/>
          <w:color w:val="000000"/>
          <w:sz w:val="32"/>
          <w:szCs w:val="32"/>
          <w:lang w:eastAsia="zh-CN"/>
        </w:rPr>
        <w:t>：指反映金融部门除上述项目以外其他用于监管方面的支出</w:t>
      </w:r>
      <w:r>
        <w:rPr>
          <w:rStyle w:val="17"/>
          <w:rFonts w:hint="default" w:ascii="Times New Roman" w:hAnsi="Times New Roman" w:eastAsia="仿宋" w:cs="Times New Roman"/>
          <w:b w:val="0"/>
          <w:bCs w:val="0"/>
          <w:color w:val="000000"/>
          <w:sz w:val="32"/>
          <w:szCs w:val="32"/>
        </w:rPr>
        <w:t>。</w:t>
      </w:r>
    </w:p>
    <w:p>
      <w:pPr>
        <w:pageBreakBefore w:val="0"/>
        <w:kinsoku/>
        <w:wordWrap/>
        <w:overflowPunct/>
        <w:topLinePunct w:val="0"/>
        <w:bidi w:val="0"/>
        <w:spacing w:line="590" w:lineRule="exact"/>
        <w:ind w:firstLine="640" w:firstLineChars="200"/>
        <w:textAlignment w:val="auto"/>
        <w:rPr>
          <w:rStyle w:val="17"/>
          <w:rFonts w:hint="default" w:ascii="Times New Roman" w:hAnsi="Times New Roman" w:eastAsia="仿宋" w:cs="Times New Roman"/>
          <w:b w:val="0"/>
          <w:bCs w:val="0"/>
          <w:color w:val="000000"/>
          <w:sz w:val="32"/>
          <w:szCs w:val="32"/>
        </w:rPr>
      </w:pPr>
      <w:r>
        <w:rPr>
          <w:rStyle w:val="17"/>
          <w:rFonts w:hint="eastAsia" w:ascii="Times New Roman" w:hAnsi="Times New Roman" w:eastAsia="仿宋" w:cs="Times New Roman"/>
          <w:b w:val="0"/>
          <w:bCs w:val="0"/>
          <w:color w:val="000000"/>
          <w:sz w:val="32"/>
          <w:szCs w:val="32"/>
          <w:lang w:val="en-US" w:eastAsia="zh-CN"/>
        </w:rPr>
        <w:t>18</w:t>
      </w:r>
      <w:r>
        <w:rPr>
          <w:rStyle w:val="17"/>
          <w:rFonts w:hint="default" w:ascii="Times New Roman" w:hAnsi="Times New Roman" w:eastAsia="仿宋" w:cs="Times New Roman"/>
          <w:b w:val="0"/>
          <w:bCs w:val="0"/>
          <w:color w:val="000000"/>
          <w:sz w:val="32"/>
          <w:szCs w:val="32"/>
        </w:rPr>
        <w:t>.</w:t>
      </w:r>
      <w:r>
        <w:rPr>
          <w:rStyle w:val="17"/>
          <w:rFonts w:hint="eastAsia" w:eastAsia="仿宋" w:cs="Times New Roman"/>
          <w:b w:val="0"/>
          <w:bCs w:val="0"/>
          <w:color w:val="000000"/>
          <w:sz w:val="32"/>
          <w:szCs w:val="32"/>
          <w:lang w:eastAsia="zh-CN"/>
        </w:rPr>
        <w:t>金融支出</w:t>
      </w:r>
      <w:r>
        <w:rPr>
          <w:rStyle w:val="17"/>
          <w:rFonts w:hint="default" w:ascii="Times New Roman" w:hAnsi="Times New Roman" w:eastAsia="仿宋" w:cs="Times New Roman"/>
          <w:b w:val="0"/>
          <w:bCs w:val="0"/>
          <w:color w:val="000000"/>
          <w:sz w:val="32"/>
          <w:szCs w:val="32"/>
        </w:rPr>
        <w:t>（类）</w:t>
      </w:r>
      <w:r>
        <w:rPr>
          <w:rStyle w:val="17"/>
          <w:rFonts w:hint="eastAsia" w:eastAsia="仿宋" w:cs="Times New Roman"/>
          <w:b w:val="0"/>
          <w:bCs w:val="0"/>
          <w:color w:val="000000"/>
          <w:sz w:val="32"/>
          <w:szCs w:val="32"/>
          <w:lang w:eastAsia="zh-CN"/>
        </w:rPr>
        <w:t>金融发展支出</w:t>
      </w:r>
      <w:r>
        <w:rPr>
          <w:rStyle w:val="17"/>
          <w:rFonts w:hint="default" w:ascii="Times New Roman" w:hAnsi="Times New Roman" w:eastAsia="仿宋" w:cs="Times New Roman"/>
          <w:b w:val="0"/>
          <w:bCs w:val="0"/>
          <w:color w:val="000000"/>
          <w:sz w:val="32"/>
          <w:szCs w:val="32"/>
        </w:rPr>
        <w:t>（款）</w:t>
      </w:r>
      <w:r>
        <w:rPr>
          <w:rStyle w:val="17"/>
          <w:rFonts w:hint="eastAsia" w:ascii="Times New Roman" w:hAnsi="Times New Roman" w:eastAsia="仿宋" w:cs="Times New Roman"/>
          <w:b w:val="0"/>
          <w:bCs w:val="0"/>
          <w:color w:val="000000"/>
          <w:sz w:val="32"/>
          <w:szCs w:val="32"/>
          <w:lang w:eastAsia="zh-CN"/>
        </w:rPr>
        <w:t>其他</w:t>
      </w:r>
      <w:r>
        <w:rPr>
          <w:rStyle w:val="17"/>
          <w:rFonts w:hint="eastAsia" w:eastAsia="仿宋" w:cs="Times New Roman"/>
          <w:b w:val="0"/>
          <w:bCs w:val="0"/>
          <w:color w:val="000000"/>
          <w:sz w:val="32"/>
          <w:szCs w:val="32"/>
          <w:lang w:eastAsia="zh-CN"/>
        </w:rPr>
        <w:t>金融发展支出</w:t>
      </w:r>
      <w:r>
        <w:rPr>
          <w:rStyle w:val="17"/>
          <w:rFonts w:hint="default" w:ascii="Times New Roman" w:hAnsi="Times New Roman" w:eastAsia="仿宋" w:cs="Times New Roman"/>
          <w:b w:val="0"/>
          <w:bCs w:val="0"/>
          <w:color w:val="000000"/>
          <w:sz w:val="32"/>
          <w:szCs w:val="32"/>
        </w:rPr>
        <w:t>（项）</w:t>
      </w:r>
      <w:r>
        <w:rPr>
          <w:rStyle w:val="17"/>
          <w:rFonts w:hint="eastAsia" w:eastAsia="仿宋" w:cs="Times New Roman"/>
          <w:b w:val="0"/>
          <w:bCs w:val="0"/>
          <w:color w:val="000000"/>
          <w:sz w:val="32"/>
          <w:szCs w:val="32"/>
          <w:lang w:eastAsia="zh-CN"/>
        </w:rPr>
        <w:t>：指反映除上述项目以外其他用于金融发展方面的支出</w:t>
      </w:r>
      <w:r>
        <w:rPr>
          <w:rStyle w:val="17"/>
          <w:rFonts w:hint="default" w:ascii="Times New Roman" w:hAnsi="Times New Roman" w:eastAsia="仿宋" w:cs="Times New Roman"/>
          <w:b w:val="0"/>
          <w:bCs w:val="0"/>
          <w:color w:val="000000"/>
          <w:sz w:val="32"/>
          <w:szCs w:val="32"/>
        </w:rPr>
        <w:t>。</w:t>
      </w:r>
    </w:p>
    <w:p>
      <w:pPr>
        <w:pageBreakBefore w:val="0"/>
        <w:kinsoku/>
        <w:wordWrap/>
        <w:overflowPunct/>
        <w:topLinePunct w:val="0"/>
        <w:bidi w:val="0"/>
        <w:spacing w:line="590" w:lineRule="exact"/>
        <w:ind w:firstLine="640" w:firstLineChars="200"/>
        <w:textAlignment w:val="auto"/>
        <w:rPr>
          <w:rStyle w:val="17"/>
          <w:rFonts w:hint="default" w:ascii="Times New Roman" w:hAnsi="Times New Roman" w:eastAsia="仿宋" w:cs="Times New Roman"/>
          <w:b w:val="0"/>
          <w:bCs w:val="0"/>
          <w:color w:val="000000"/>
          <w:sz w:val="32"/>
          <w:szCs w:val="32"/>
        </w:rPr>
      </w:pPr>
      <w:r>
        <w:rPr>
          <w:rStyle w:val="17"/>
          <w:rFonts w:hint="eastAsia" w:ascii="Times New Roman" w:hAnsi="Times New Roman" w:eastAsia="仿宋" w:cs="Times New Roman"/>
          <w:b w:val="0"/>
          <w:bCs w:val="0"/>
          <w:color w:val="000000"/>
          <w:sz w:val="32"/>
          <w:szCs w:val="32"/>
          <w:lang w:val="en-US" w:eastAsia="zh-CN"/>
        </w:rPr>
        <w:t>19</w:t>
      </w:r>
      <w:r>
        <w:rPr>
          <w:rStyle w:val="17"/>
          <w:rFonts w:hint="default" w:ascii="Times New Roman" w:hAnsi="Times New Roman" w:eastAsia="仿宋" w:cs="Times New Roman"/>
          <w:b w:val="0"/>
          <w:bCs w:val="0"/>
          <w:color w:val="000000"/>
          <w:sz w:val="32"/>
          <w:szCs w:val="32"/>
        </w:rPr>
        <w:t>.</w:t>
      </w:r>
      <w:r>
        <w:rPr>
          <w:rStyle w:val="17"/>
          <w:rFonts w:hint="eastAsia" w:eastAsia="仿宋" w:cs="Times New Roman"/>
          <w:b w:val="0"/>
          <w:bCs w:val="0"/>
          <w:color w:val="000000"/>
          <w:sz w:val="32"/>
          <w:szCs w:val="32"/>
          <w:lang w:eastAsia="zh-CN"/>
        </w:rPr>
        <w:t>金融支出</w:t>
      </w:r>
      <w:r>
        <w:rPr>
          <w:rStyle w:val="17"/>
          <w:rFonts w:hint="default" w:ascii="Times New Roman" w:hAnsi="Times New Roman" w:eastAsia="仿宋" w:cs="Times New Roman"/>
          <w:b w:val="0"/>
          <w:bCs w:val="0"/>
          <w:color w:val="000000"/>
          <w:sz w:val="32"/>
          <w:szCs w:val="32"/>
        </w:rPr>
        <w:t>（类）</w:t>
      </w:r>
      <w:r>
        <w:rPr>
          <w:rStyle w:val="17"/>
          <w:rFonts w:hint="eastAsia" w:ascii="Times New Roman" w:hAnsi="Times New Roman" w:eastAsia="仿宋" w:cs="Times New Roman"/>
          <w:b w:val="0"/>
          <w:bCs w:val="0"/>
          <w:color w:val="000000"/>
          <w:sz w:val="32"/>
          <w:szCs w:val="32"/>
          <w:lang w:eastAsia="zh-CN"/>
        </w:rPr>
        <w:t>其他</w:t>
      </w:r>
      <w:r>
        <w:rPr>
          <w:rStyle w:val="17"/>
          <w:rFonts w:hint="eastAsia" w:eastAsia="仿宋" w:cs="Times New Roman"/>
          <w:b w:val="0"/>
          <w:bCs w:val="0"/>
          <w:color w:val="000000"/>
          <w:sz w:val="32"/>
          <w:szCs w:val="32"/>
          <w:lang w:eastAsia="zh-CN"/>
        </w:rPr>
        <w:t>金融支出</w:t>
      </w:r>
      <w:r>
        <w:rPr>
          <w:rStyle w:val="17"/>
          <w:rFonts w:hint="default" w:ascii="Times New Roman" w:hAnsi="Times New Roman" w:eastAsia="仿宋" w:cs="Times New Roman"/>
          <w:b w:val="0"/>
          <w:bCs w:val="0"/>
          <w:color w:val="000000"/>
          <w:sz w:val="32"/>
          <w:szCs w:val="32"/>
        </w:rPr>
        <w:t>（款）</w:t>
      </w:r>
      <w:r>
        <w:rPr>
          <w:rStyle w:val="17"/>
          <w:rFonts w:hint="eastAsia" w:ascii="Times New Roman" w:hAnsi="Times New Roman" w:eastAsia="仿宋" w:cs="Times New Roman"/>
          <w:b w:val="0"/>
          <w:bCs w:val="0"/>
          <w:color w:val="000000"/>
          <w:sz w:val="32"/>
          <w:szCs w:val="32"/>
          <w:lang w:eastAsia="zh-CN"/>
        </w:rPr>
        <w:t>其他</w:t>
      </w:r>
      <w:r>
        <w:rPr>
          <w:rStyle w:val="17"/>
          <w:rFonts w:hint="eastAsia" w:eastAsia="仿宋" w:cs="Times New Roman"/>
          <w:b w:val="0"/>
          <w:bCs w:val="0"/>
          <w:color w:val="000000"/>
          <w:sz w:val="32"/>
          <w:szCs w:val="32"/>
          <w:lang w:eastAsia="zh-CN"/>
        </w:rPr>
        <w:t>金融支出</w:t>
      </w:r>
      <w:r>
        <w:rPr>
          <w:rStyle w:val="17"/>
          <w:rFonts w:hint="default" w:ascii="Times New Roman" w:hAnsi="Times New Roman" w:eastAsia="仿宋" w:cs="Times New Roman"/>
          <w:b w:val="0"/>
          <w:bCs w:val="0"/>
          <w:color w:val="000000"/>
          <w:sz w:val="32"/>
          <w:szCs w:val="32"/>
        </w:rPr>
        <w:t>（项）</w:t>
      </w:r>
      <w:r>
        <w:rPr>
          <w:rStyle w:val="17"/>
          <w:rFonts w:hint="eastAsia" w:eastAsia="仿宋" w:cs="Times New Roman"/>
          <w:b w:val="0"/>
          <w:bCs w:val="0"/>
          <w:color w:val="000000"/>
          <w:sz w:val="32"/>
          <w:szCs w:val="32"/>
          <w:lang w:eastAsia="zh-CN"/>
        </w:rPr>
        <w:t>：指反映除上述项目以外其他用于金融方面的支出</w:t>
      </w:r>
      <w:r>
        <w:rPr>
          <w:rStyle w:val="17"/>
          <w:rFonts w:hint="default" w:ascii="Times New Roman" w:hAnsi="Times New Roman" w:eastAsia="仿宋" w:cs="Times New Roman"/>
          <w:b w:val="0"/>
          <w:bCs w:val="0"/>
          <w:color w:val="000000"/>
          <w:sz w:val="32"/>
          <w:szCs w:val="32"/>
        </w:rPr>
        <w:t>。</w:t>
      </w:r>
    </w:p>
    <w:p>
      <w:pPr>
        <w:pageBreakBefore w:val="0"/>
        <w:kinsoku/>
        <w:wordWrap/>
        <w:overflowPunct/>
        <w:topLinePunct w:val="0"/>
        <w:bidi w:val="0"/>
        <w:spacing w:line="590" w:lineRule="exact"/>
        <w:ind w:firstLine="640" w:firstLineChars="200"/>
        <w:textAlignment w:val="auto"/>
        <w:rPr>
          <w:rStyle w:val="17"/>
          <w:rFonts w:hint="default" w:ascii="Times New Roman" w:hAnsi="Times New Roman" w:eastAsia="仿宋" w:cs="Times New Roman"/>
          <w:b w:val="0"/>
          <w:bCs w:val="0"/>
          <w:color w:val="000000"/>
          <w:sz w:val="32"/>
          <w:szCs w:val="32"/>
        </w:rPr>
      </w:pPr>
      <w:r>
        <w:rPr>
          <w:rStyle w:val="17"/>
          <w:rFonts w:hint="eastAsia" w:ascii="Times New Roman" w:hAnsi="Times New Roman" w:eastAsia="仿宋" w:cs="Times New Roman"/>
          <w:b w:val="0"/>
          <w:bCs w:val="0"/>
          <w:color w:val="000000"/>
          <w:sz w:val="32"/>
          <w:szCs w:val="32"/>
          <w:lang w:val="en-US" w:eastAsia="zh-CN"/>
        </w:rPr>
        <w:t>20</w:t>
      </w:r>
      <w:r>
        <w:rPr>
          <w:rStyle w:val="17"/>
          <w:rFonts w:hint="default" w:ascii="Times New Roman" w:hAnsi="Times New Roman" w:eastAsia="仿宋" w:cs="Times New Roman"/>
          <w:b w:val="0"/>
          <w:bCs w:val="0"/>
          <w:color w:val="000000"/>
          <w:sz w:val="32"/>
          <w:szCs w:val="32"/>
        </w:rPr>
        <w:t>.</w:t>
      </w:r>
      <w:r>
        <w:rPr>
          <w:rStyle w:val="17"/>
          <w:rFonts w:hint="eastAsia" w:ascii="Times New Roman" w:hAnsi="Times New Roman" w:eastAsia="仿宋" w:cs="Times New Roman"/>
          <w:b w:val="0"/>
          <w:bCs w:val="0"/>
          <w:color w:val="000000"/>
          <w:sz w:val="32"/>
          <w:szCs w:val="32"/>
          <w:lang w:eastAsia="zh-CN"/>
        </w:rPr>
        <w:t>其他</w:t>
      </w:r>
      <w:r>
        <w:rPr>
          <w:rStyle w:val="17"/>
          <w:rFonts w:hint="eastAsia" w:eastAsia="仿宋" w:cs="Times New Roman"/>
          <w:b w:val="0"/>
          <w:bCs w:val="0"/>
          <w:color w:val="000000"/>
          <w:sz w:val="32"/>
          <w:szCs w:val="32"/>
          <w:lang w:eastAsia="zh-CN"/>
        </w:rPr>
        <w:t>支出</w:t>
      </w:r>
      <w:r>
        <w:rPr>
          <w:rStyle w:val="17"/>
          <w:rFonts w:hint="default" w:ascii="Times New Roman" w:hAnsi="Times New Roman" w:eastAsia="仿宋" w:cs="Times New Roman"/>
          <w:b w:val="0"/>
          <w:bCs w:val="0"/>
          <w:color w:val="000000"/>
          <w:sz w:val="32"/>
          <w:szCs w:val="32"/>
        </w:rPr>
        <w:t>（类）</w:t>
      </w:r>
      <w:r>
        <w:rPr>
          <w:rStyle w:val="17"/>
          <w:rFonts w:hint="eastAsia" w:ascii="Times New Roman" w:hAnsi="Times New Roman" w:eastAsia="仿宋" w:cs="Times New Roman"/>
          <w:b w:val="0"/>
          <w:bCs w:val="0"/>
          <w:color w:val="000000"/>
          <w:sz w:val="32"/>
          <w:szCs w:val="32"/>
          <w:lang w:eastAsia="zh-CN"/>
        </w:rPr>
        <w:t>其他</w:t>
      </w:r>
      <w:r>
        <w:rPr>
          <w:rStyle w:val="17"/>
          <w:rFonts w:hint="eastAsia" w:eastAsia="仿宋" w:cs="Times New Roman"/>
          <w:b w:val="0"/>
          <w:bCs w:val="0"/>
          <w:color w:val="000000"/>
          <w:sz w:val="32"/>
          <w:szCs w:val="32"/>
          <w:lang w:eastAsia="zh-CN"/>
        </w:rPr>
        <w:t>支出</w:t>
      </w:r>
      <w:r>
        <w:rPr>
          <w:rStyle w:val="17"/>
          <w:rFonts w:hint="default" w:ascii="Times New Roman" w:hAnsi="Times New Roman" w:eastAsia="仿宋" w:cs="Times New Roman"/>
          <w:b w:val="0"/>
          <w:bCs w:val="0"/>
          <w:color w:val="000000"/>
          <w:sz w:val="32"/>
          <w:szCs w:val="32"/>
        </w:rPr>
        <w:t>（款）</w:t>
      </w:r>
      <w:r>
        <w:rPr>
          <w:rStyle w:val="17"/>
          <w:rFonts w:hint="eastAsia" w:ascii="Times New Roman" w:hAnsi="Times New Roman" w:eastAsia="仿宋" w:cs="Times New Roman"/>
          <w:b w:val="0"/>
          <w:bCs w:val="0"/>
          <w:color w:val="000000"/>
          <w:sz w:val="32"/>
          <w:szCs w:val="32"/>
          <w:lang w:eastAsia="zh-CN"/>
        </w:rPr>
        <w:t>其他</w:t>
      </w:r>
      <w:r>
        <w:rPr>
          <w:rStyle w:val="17"/>
          <w:rFonts w:hint="eastAsia" w:eastAsia="仿宋" w:cs="Times New Roman"/>
          <w:b w:val="0"/>
          <w:bCs w:val="0"/>
          <w:color w:val="000000"/>
          <w:sz w:val="32"/>
          <w:szCs w:val="32"/>
          <w:lang w:eastAsia="zh-CN"/>
        </w:rPr>
        <w:t>支出</w:t>
      </w:r>
      <w:r>
        <w:rPr>
          <w:rStyle w:val="17"/>
          <w:rFonts w:hint="default" w:ascii="Times New Roman" w:hAnsi="Times New Roman" w:eastAsia="仿宋" w:cs="Times New Roman"/>
          <w:b w:val="0"/>
          <w:bCs w:val="0"/>
          <w:color w:val="000000"/>
          <w:sz w:val="32"/>
          <w:szCs w:val="32"/>
        </w:rPr>
        <w:t>（项）</w:t>
      </w:r>
      <w:r>
        <w:rPr>
          <w:rStyle w:val="17"/>
          <w:rFonts w:hint="eastAsia" w:eastAsia="仿宋" w:cs="Times New Roman"/>
          <w:b w:val="0"/>
          <w:bCs w:val="0"/>
          <w:color w:val="000000"/>
          <w:sz w:val="32"/>
          <w:szCs w:val="32"/>
          <w:lang w:eastAsia="zh-CN"/>
        </w:rPr>
        <w:t>：指反映除上述项目以外其他不能划分到具体功能科目中的支出项目</w:t>
      </w:r>
      <w:r>
        <w:rPr>
          <w:rStyle w:val="17"/>
          <w:rFonts w:hint="default" w:ascii="Times New Roman" w:hAnsi="Times New Roman" w:eastAsia="仿宋" w:cs="Times New Roman"/>
          <w:b w:val="0"/>
          <w:bCs w:val="0"/>
          <w:color w:val="000000"/>
          <w:sz w:val="32"/>
          <w:szCs w:val="32"/>
        </w:rPr>
        <w:t>。</w:t>
      </w:r>
    </w:p>
    <w:p>
      <w:pPr>
        <w:pageBreakBefore w:val="0"/>
        <w:kinsoku/>
        <w:wordWrap/>
        <w:overflowPunct/>
        <w:topLinePunct w:val="0"/>
        <w:bidi w:val="0"/>
        <w:spacing w:line="59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.基本支出：指为保障机构正常运转、完成日常工作任务而发生的人员支出和公用支出。</w:t>
      </w:r>
    </w:p>
    <w:p>
      <w:pPr>
        <w:pageBreakBefore w:val="0"/>
        <w:kinsoku/>
        <w:wordWrap/>
        <w:overflowPunct/>
        <w:topLinePunct w:val="0"/>
        <w:bidi w:val="0"/>
        <w:spacing w:line="59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 xml:space="preserve">.项目支出：指在基本支出之外为完成特定行政任务和事业发展目标所发生的支出。 </w:t>
      </w:r>
    </w:p>
    <w:p>
      <w:pPr>
        <w:pageBreakBefore w:val="0"/>
        <w:kinsoku/>
        <w:wordWrap/>
        <w:overflowPunct/>
        <w:topLinePunct w:val="0"/>
        <w:bidi w:val="0"/>
        <w:spacing w:line="59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.经营支出：指事业单位在专业业务活动及其辅助活动之外开展非独立核算经营活动发生的支出。</w:t>
      </w:r>
    </w:p>
    <w:p>
      <w:pPr>
        <w:pStyle w:val="26"/>
        <w:pageBreakBefore w:val="0"/>
        <w:kinsoku/>
        <w:wordWrap/>
        <w:overflowPunct/>
        <w:topLinePunct w:val="0"/>
        <w:bidi w:val="0"/>
        <w:spacing w:line="59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rPr>
        <w:t>.“三公”经费：指</w:t>
      </w:r>
      <w:r>
        <w:rPr>
          <w:rFonts w:hint="default" w:ascii="Times New Roman" w:hAnsi="Times New Roman" w:eastAsia="仿宋_GB2312"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ageBreakBefore w:val="0"/>
        <w:kinsoku/>
        <w:wordWrap/>
        <w:overflowPunct/>
        <w:topLinePunct w:val="0"/>
        <w:bidi w:val="0"/>
        <w:spacing w:line="592"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val="0"/>
        <w:spacing w:line="592" w:lineRule="exact"/>
        <w:jc w:val="center"/>
        <w:textAlignment w:val="auto"/>
        <w:outlineLvl w:val="0"/>
        <w:rPr>
          <w:rStyle w:val="28"/>
          <w:rFonts w:ascii="Times New Roman" w:hAnsi="Times New Roman" w:eastAsia="黑体"/>
          <w:b w:val="0"/>
          <w:highlight w:val="none"/>
        </w:rPr>
      </w:pPr>
      <w:bookmarkStart w:id="51" w:name="_Toc15377226"/>
      <w:r>
        <w:rPr>
          <w:rFonts w:ascii="Times New Roman" w:hAnsi="Times New Roman"/>
          <w:b/>
          <w:sz w:val="44"/>
          <w:szCs w:val="44"/>
        </w:rPr>
        <w:br w:type="page"/>
      </w:r>
      <w:bookmarkStart w:id="52" w:name="_Toc15396614"/>
      <w:r>
        <w:rPr>
          <w:rFonts w:hint="eastAsia" w:ascii="Times New Roman" w:hAnsi="Times New Roman" w:eastAsia="黑体"/>
          <w:sz w:val="44"/>
          <w:szCs w:val="44"/>
          <w:highlight w:val="none"/>
        </w:rPr>
        <w:t>第</w:t>
      </w:r>
      <w:r>
        <w:rPr>
          <w:rStyle w:val="28"/>
          <w:rFonts w:hint="eastAsia" w:ascii="Times New Roman" w:hAnsi="Times New Roman" w:eastAsia="黑体"/>
          <w:b w:val="0"/>
          <w:highlight w:val="none"/>
        </w:rPr>
        <w:t>四部分 附件</w:t>
      </w:r>
      <w:bookmarkEnd w:id="52"/>
    </w:p>
    <w:p>
      <w:pPr>
        <w:spacing w:line="600" w:lineRule="exact"/>
        <w:jc w:val="center"/>
        <w:outlineLvl w:val="0"/>
        <w:rPr>
          <w:rStyle w:val="34"/>
          <w:rFonts w:hint="eastAsia" w:ascii="Times New Roman" w:hAnsi="Times New Roman" w:eastAsia="黑体"/>
          <w:highlight w:val="none"/>
          <w:lang w:eastAsia="zh-CN"/>
        </w:rPr>
      </w:pPr>
      <w:bookmarkStart w:id="53" w:name="_Toc15396618"/>
      <w:r>
        <w:rPr>
          <w:rFonts w:hint="eastAsia" w:ascii="黑体" w:hAnsi="黑体" w:eastAsia="黑体" w:cs="方正小标宋简体"/>
          <w:sz w:val="36"/>
          <w:szCs w:val="36"/>
          <w:highlight w:val="none"/>
        </w:rPr>
        <w:t>广安市</w:t>
      </w:r>
      <w:r>
        <w:rPr>
          <w:rFonts w:hint="eastAsia" w:ascii="黑体" w:hAnsi="黑体" w:eastAsia="黑体" w:cs="方正小标宋简体"/>
          <w:sz w:val="36"/>
          <w:szCs w:val="36"/>
          <w:highlight w:val="none"/>
          <w:lang w:eastAsia="zh-CN"/>
        </w:rPr>
        <w:t>金融工作局</w:t>
      </w:r>
    </w:p>
    <w:p>
      <w:pPr>
        <w:pageBreakBefore w:val="0"/>
        <w:kinsoku/>
        <w:overflowPunct/>
        <w:topLinePunct w:val="0"/>
        <w:bidi w:val="0"/>
        <w:spacing w:line="336" w:lineRule="auto"/>
        <w:jc w:val="center"/>
        <w:outlineLvl w:val="0"/>
        <w:rPr>
          <w:rFonts w:ascii="Times New Roman" w:hAnsi="Times New Roman" w:eastAsia="黑体" w:cs="方正小标宋简体"/>
          <w:sz w:val="36"/>
          <w:szCs w:val="36"/>
          <w:highlight w:val="none"/>
        </w:rPr>
      </w:pPr>
      <w:bookmarkStart w:id="54" w:name="_Toc15396616"/>
      <w:r>
        <w:rPr>
          <w:rFonts w:hint="eastAsia" w:ascii="Times New Roman" w:hAnsi="Times New Roman" w:eastAsia="黑体" w:cs="方正小标宋简体"/>
          <w:sz w:val="36"/>
          <w:szCs w:val="36"/>
          <w:highlight w:val="none"/>
        </w:rPr>
        <w:t>20</w:t>
      </w:r>
      <w:r>
        <w:rPr>
          <w:rFonts w:hint="eastAsia" w:eastAsia="黑体" w:cs="方正小标宋简体"/>
          <w:sz w:val="36"/>
          <w:szCs w:val="36"/>
          <w:highlight w:val="none"/>
          <w:lang w:val="en-US" w:eastAsia="zh-CN"/>
        </w:rPr>
        <w:t>23</w:t>
      </w:r>
      <w:r>
        <w:rPr>
          <w:rFonts w:hint="eastAsia" w:ascii="Times New Roman" w:hAnsi="Times New Roman" w:eastAsia="黑体" w:cs="方正小标宋简体"/>
          <w:sz w:val="36"/>
          <w:szCs w:val="36"/>
          <w:highlight w:val="none"/>
        </w:rPr>
        <w:t>年部门整体支出绩效评价报告</w:t>
      </w:r>
      <w:bookmarkEnd w:id="54"/>
    </w:p>
    <w:p>
      <w:pPr>
        <w:pageBreakBefore w:val="0"/>
        <w:kinsoku/>
        <w:overflowPunct/>
        <w:topLinePunct w:val="0"/>
        <w:bidi w:val="0"/>
        <w:spacing w:line="336" w:lineRule="auto"/>
        <w:ind w:firstLine="640" w:firstLineChars="200"/>
        <w:rPr>
          <w:rFonts w:ascii="Times New Roman" w:hAnsi="Times New Roman" w:eastAsia="黑体" w:cs="黑体"/>
          <w:sz w:val="32"/>
          <w:szCs w:val="32"/>
        </w:rPr>
      </w:pPr>
    </w:p>
    <w:p>
      <w:pPr>
        <w:pageBreakBefore w:val="0"/>
        <w:kinsoku/>
        <w:overflowPunct/>
        <w:topLinePunct w:val="0"/>
        <w:bidi w:val="0"/>
        <w:spacing w:line="336" w:lineRule="auto"/>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一、部门（单位）概况</w:t>
      </w:r>
    </w:p>
    <w:p>
      <w:pPr>
        <w:pageBreakBefore w:val="0"/>
        <w:kinsoku/>
        <w:overflowPunct/>
        <w:topLinePunct w:val="0"/>
        <w:bidi w:val="0"/>
        <w:spacing w:line="336" w:lineRule="auto"/>
        <w:ind w:firstLine="640" w:firstLineChars="200"/>
        <w:rPr>
          <w:rFonts w:ascii="Times New Roman" w:hAnsi="Times New Roman" w:eastAsia="仿宋" w:cs="仿宋_GB2312"/>
          <w:sz w:val="32"/>
          <w:szCs w:val="32"/>
        </w:rPr>
      </w:pPr>
      <w:r>
        <w:rPr>
          <w:rFonts w:ascii="Times New Roman" w:hAnsi="Times New Roman" w:eastAsia="仿宋" w:cs="仿宋_GB2312"/>
          <w:sz w:val="32"/>
          <w:szCs w:val="32"/>
        </w:rPr>
        <w:t>（一）机构组成。</w:t>
      </w:r>
    </w:p>
    <w:p>
      <w:pPr>
        <w:spacing w:line="600" w:lineRule="exact"/>
        <w:ind w:firstLine="660" w:firstLineChars="200"/>
        <w:rPr>
          <w:rFonts w:ascii="仿宋_GB2312" w:hAnsi="Calibri" w:eastAsia="仿宋_GB2312"/>
          <w:sz w:val="32"/>
          <w:szCs w:val="32"/>
          <w:highlight w:val="none"/>
        </w:rPr>
      </w:pPr>
      <w:r>
        <w:rPr>
          <w:rFonts w:hint="default" w:ascii="Times New Roman" w:hAnsi="Times New Roman" w:eastAsia="方正仿宋_GBK" w:cs="Times New Roman"/>
          <w:color w:val="auto"/>
          <w:sz w:val="33"/>
          <w:szCs w:val="33"/>
        </w:rPr>
        <w:t>市金融</w:t>
      </w:r>
      <w:r>
        <w:rPr>
          <w:rFonts w:hint="default" w:ascii="Times New Roman" w:hAnsi="Times New Roman" w:eastAsia="方正仿宋_GBK" w:cs="Times New Roman"/>
          <w:color w:val="auto"/>
          <w:sz w:val="33"/>
          <w:szCs w:val="33"/>
          <w:lang w:eastAsia="zh-CN"/>
        </w:rPr>
        <w:t>工作局</w:t>
      </w:r>
      <w:r>
        <w:rPr>
          <w:rFonts w:hint="default" w:ascii="Times New Roman" w:hAnsi="Times New Roman" w:eastAsia="方正仿宋_GBK" w:cs="Times New Roman"/>
          <w:color w:val="auto"/>
          <w:sz w:val="33"/>
          <w:szCs w:val="33"/>
        </w:rPr>
        <w:t>为广安市人民政府办公室</w:t>
      </w:r>
      <w:r>
        <w:rPr>
          <w:rFonts w:hint="default" w:ascii="Times New Roman" w:hAnsi="Times New Roman" w:eastAsia="方正仿宋_GBK" w:cs="Times New Roman"/>
          <w:color w:val="auto"/>
          <w:sz w:val="33"/>
          <w:szCs w:val="33"/>
          <w:lang w:eastAsia="zh-CN"/>
        </w:rPr>
        <w:t>组成部门</w:t>
      </w:r>
      <w:r>
        <w:rPr>
          <w:rFonts w:hint="default" w:ascii="Times New Roman" w:hAnsi="Times New Roman" w:eastAsia="方正仿宋_GBK" w:cs="Times New Roman"/>
          <w:color w:val="auto"/>
          <w:sz w:val="33"/>
          <w:szCs w:val="33"/>
        </w:rPr>
        <w:t>，内设</w:t>
      </w:r>
      <w:r>
        <w:rPr>
          <w:rFonts w:hint="default" w:ascii="Times New Roman" w:hAnsi="Times New Roman" w:eastAsia="方正仿宋_GBK" w:cs="Times New Roman"/>
          <w:color w:val="auto"/>
          <w:sz w:val="33"/>
          <w:szCs w:val="33"/>
          <w:lang w:eastAsia="zh-CN"/>
        </w:rPr>
        <w:t>三</w:t>
      </w:r>
      <w:r>
        <w:rPr>
          <w:rFonts w:hint="default" w:ascii="Times New Roman" w:hAnsi="Times New Roman" w:eastAsia="方正仿宋_GBK" w:cs="Times New Roman"/>
          <w:color w:val="auto"/>
          <w:sz w:val="33"/>
          <w:szCs w:val="33"/>
        </w:rPr>
        <w:t>个科室，</w:t>
      </w:r>
      <w:r>
        <w:rPr>
          <w:rFonts w:hint="default" w:ascii="Times New Roman" w:hAnsi="Times New Roman" w:eastAsia="方正仿宋_GBK" w:cs="Times New Roman"/>
          <w:color w:val="auto"/>
          <w:sz w:val="33"/>
          <w:szCs w:val="33"/>
          <w:lang w:eastAsia="zh-CN"/>
        </w:rPr>
        <w:t>办公室</w:t>
      </w:r>
      <w:r>
        <w:rPr>
          <w:rFonts w:hint="default" w:ascii="Times New Roman" w:hAnsi="Times New Roman" w:eastAsia="方正仿宋_GBK" w:cs="Times New Roman"/>
          <w:color w:val="auto"/>
          <w:sz w:val="33"/>
          <w:szCs w:val="33"/>
        </w:rPr>
        <w:t>、金融科</w:t>
      </w:r>
      <w:r>
        <w:rPr>
          <w:rFonts w:hint="default" w:ascii="Times New Roman" w:hAnsi="Times New Roman" w:eastAsia="方正仿宋_GBK" w:cs="Times New Roman"/>
          <w:color w:val="auto"/>
          <w:sz w:val="33"/>
          <w:szCs w:val="33"/>
          <w:lang w:eastAsia="zh-CN"/>
        </w:rPr>
        <w:t>、监管科</w:t>
      </w:r>
      <w:r>
        <w:rPr>
          <w:rFonts w:hint="eastAsia" w:ascii="Times New Roman" w:hAnsi="Times New Roman" w:eastAsia="方正仿宋_GBK" w:cs="Times New Roman"/>
          <w:color w:val="auto"/>
          <w:sz w:val="33"/>
          <w:szCs w:val="33"/>
          <w:lang w:eastAsia="zh-CN"/>
        </w:rPr>
        <w:t>，下设金融服务中心</w:t>
      </w:r>
      <w:r>
        <w:rPr>
          <w:rFonts w:hint="default" w:ascii="Times New Roman" w:hAnsi="Times New Roman" w:eastAsia="方正仿宋_GBK" w:cs="Times New Roman"/>
          <w:color w:val="auto"/>
          <w:sz w:val="33"/>
          <w:szCs w:val="33"/>
        </w:rPr>
        <w:t>。</w:t>
      </w:r>
    </w:p>
    <w:p>
      <w:pPr>
        <w:pageBreakBefore w:val="0"/>
        <w:numPr>
          <w:ilvl w:val="0"/>
          <w:numId w:val="5"/>
        </w:numPr>
        <w:kinsoku/>
        <w:overflowPunct/>
        <w:topLinePunct w:val="0"/>
        <w:bidi w:val="0"/>
        <w:spacing w:line="336" w:lineRule="auto"/>
        <w:ind w:firstLine="640" w:firstLineChars="200"/>
        <w:rPr>
          <w:rFonts w:ascii="Times New Roman" w:hAnsi="Times New Roman" w:eastAsia="仿宋" w:cs="仿宋_GB2312"/>
          <w:sz w:val="32"/>
          <w:szCs w:val="32"/>
          <w:highlight w:val="none"/>
        </w:rPr>
      </w:pPr>
      <w:r>
        <w:rPr>
          <w:rFonts w:ascii="Times New Roman" w:hAnsi="Times New Roman" w:eastAsia="仿宋" w:cs="仿宋_GB2312"/>
          <w:sz w:val="32"/>
          <w:szCs w:val="32"/>
          <w:highlight w:val="none"/>
        </w:rPr>
        <w:t>机构职能。</w:t>
      </w:r>
    </w:p>
    <w:p>
      <w:pPr>
        <w:keepNext w:val="0"/>
        <w:keepLines w:val="0"/>
        <w:pageBreakBefore w:val="0"/>
        <w:kinsoku/>
        <w:wordWrap/>
        <w:overflowPunct/>
        <w:autoSpaceDE/>
        <w:autoSpaceDN/>
        <w:bidi w:val="0"/>
        <w:adjustRightInd/>
        <w:snapToGrid/>
        <w:spacing w:line="590" w:lineRule="exact"/>
        <w:ind w:left="0" w:leftChars="0" w:right="0" w:rightChars="0" w:firstLine="660" w:firstLineChars="200"/>
        <w:jc w:val="both"/>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lang w:val="en-US" w:eastAsia="zh-CN"/>
        </w:rPr>
        <w:t>1.</w:t>
      </w:r>
      <w:r>
        <w:rPr>
          <w:rFonts w:hint="default" w:ascii="Times New Roman" w:hAnsi="Times New Roman" w:eastAsia="方正仿宋_GBK" w:cs="Times New Roman"/>
          <w:color w:val="auto"/>
          <w:sz w:val="33"/>
          <w:szCs w:val="33"/>
        </w:rPr>
        <w:t>坚持和加强党对金融工作的集中统一领导，贯彻落实中、省关于金融工作的法律、法规、方针政策和决策部署。</w:t>
      </w:r>
    </w:p>
    <w:p>
      <w:pPr>
        <w:keepNext w:val="0"/>
        <w:keepLines w:val="0"/>
        <w:pageBreakBefore w:val="0"/>
        <w:kinsoku/>
        <w:wordWrap/>
        <w:overflowPunct/>
        <w:autoSpaceDE/>
        <w:autoSpaceDN/>
        <w:bidi w:val="0"/>
        <w:adjustRightInd/>
        <w:snapToGrid/>
        <w:spacing w:line="590" w:lineRule="exact"/>
        <w:ind w:left="0" w:leftChars="0" w:right="0" w:rightChars="0" w:firstLine="660" w:firstLineChars="200"/>
        <w:jc w:val="both"/>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lang w:val="en-US" w:eastAsia="zh-CN"/>
        </w:rPr>
        <w:t>2.</w:t>
      </w:r>
      <w:r>
        <w:rPr>
          <w:rFonts w:hint="default" w:ascii="Times New Roman" w:hAnsi="Times New Roman" w:eastAsia="方正仿宋_GBK" w:cs="Times New Roman"/>
          <w:color w:val="auto"/>
          <w:sz w:val="33"/>
          <w:szCs w:val="33"/>
        </w:rPr>
        <w:t>会同有关部门拟定地方金融政策措施和全市金融业发展中长期规划并组织实施。</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60" w:firstLineChars="20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lang w:val="en-US" w:eastAsia="zh-CN"/>
        </w:rPr>
        <w:t>3.</w:t>
      </w:r>
      <w:r>
        <w:rPr>
          <w:rFonts w:hint="default" w:ascii="Times New Roman" w:hAnsi="Times New Roman" w:eastAsia="方正仿宋_GBK" w:cs="Times New Roman"/>
          <w:color w:val="auto"/>
          <w:sz w:val="33"/>
          <w:szCs w:val="33"/>
        </w:rPr>
        <w:t>统筹、协调推进全市金融业服务实体经济、防控金融风险、深化金融改革。推动地方政府与金融机构合作。加强金融对外合作交流。</w:t>
      </w:r>
    </w:p>
    <w:p>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rPr>
          <w:rFonts w:hint="default" w:ascii="Times New Roman" w:hAnsi="Times New Roman" w:eastAsia="方正仿宋_GBK" w:cs="Times New Roman"/>
          <w:color w:val="auto"/>
          <w:sz w:val="33"/>
          <w:szCs w:val="33"/>
        </w:rPr>
      </w:pPr>
      <w:r>
        <w:rPr>
          <w:rFonts w:hint="eastAsia" w:ascii="Times New Roman" w:hAnsi="Times New Roman" w:eastAsia="方正仿宋_GBK" w:cs="Times New Roman"/>
          <w:color w:val="auto"/>
          <w:sz w:val="33"/>
          <w:szCs w:val="33"/>
          <w:lang w:val="en-US" w:eastAsia="zh-CN"/>
        </w:rPr>
        <w:t xml:space="preserve">    </w:t>
      </w:r>
      <w:r>
        <w:rPr>
          <w:rFonts w:hint="default" w:ascii="Times New Roman" w:hAnsi="Times New Roman" w:eastAsia="方正仿宋_GBK" w:cs="Times New Roman"/>
          <w:color w:val="auto"/>
          <w:sz w:val="33"/>
          <w:szCs w:val="33"/>
          <w:lang w:val="en-US" w:eastAsia="zh-CN"/>
        </w:rPr>
        <w:t>4.</w:t>
      </w:r>
      <w:r>
        <w:rPr>
          <w:rFonts w:hint="default" w:ascii="Times New Roman" w:hAnsi="Times New Roman" w:eastAsia="方正仿宋_GBK" w:cs="Times New Roman"/>
          <w:color w:val="auto"/>
          <w:sz w:val="33"/>
          <w:szCs w:val="33"/>
        </w:rPr>
        <w:t>会同有关部门推进地方金融业规范发展，组建、培育、壮大地方法人金融机构，引进市外金融机构，促进地方金融机构合理布局和金融资源优化配置，负责监管范围内的地方法人金融机构的改革发展和业务指导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60" w:firstLineChars="20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lang w:val="en-US" w:eastAsia="zh-CN"/>
        </w:rPr>
        <w:t>5.</w:t>
      </w:r>
      <w:r>
        <w:rPr>
          <w:rFonts w:hint="default" w:ascii="Times New Roman" w:hAnsi="Times New Roman" w:eastAsia="方正仿宋_GBK" w:cs="Times New Roman"/>
          <w:color w:val="auto"/>
          <w:sz w:val="33"/>
          <w:szCs w:val="33"/>
        </w:rPr>
        <w:t>统筹推进全市企业直接融资工作。负责全市企业上市改制、上市培育和上市协调工作。指导上市公司规范运作、并购重组。会同有关部门指导推动企业发行各种债券、开展资产证券化等工作（境外融资除外），推进多渠道直接融资。参与指导各类投资基金规范发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60" w:firstLineChars="20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lang w:val="en-US" w:eastAsia="zh-CN"/>
        </w:rPr>
        <w:t>6.</w:t>
      </w:r>
      <w:r>
        <w:rPr>
          <w:rFonts w:hint="default" w:ascii="Times New Roman" w:hAnsi="Times New Roman" w:eastAsia="方正仿宋_GBK" w:cs="Times New Roman"/>
          <w:color w:val="auto"/>
          <w:sz w:val="33"/>
          <w:szCs w:val="33"/>
        </w:rPr>
        <w:t>统筹全市地方金融要素市场体系建设。会同有关部门指导、推动全市地方金融要素市场建设，组织推进多层次资本市场发展。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60" w:firstLineChars="20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lang w:val="en-US" w:eastAsia="zh-CN"/>
        </w:rPr>
        <w:t>7.</w:t>
      </w:r>
      <w:r>
        <w:rPr>
          <w:rFonts w:hint="default" w:ascii="Times New Roman" w:hAnsi="Times New Roman" w:eastAsia="方正仿宋_GBK" w:cs="Times New Roman"/>
          <w:color w:val="auto"/>
          <w:sz w:val="33"/>
          <w:szCs w:val="33"/>
        </w:rPr>
        <w:t>配合中、省金融管理部门驻广机构做好金融监管工作，共享地方金融监管指标数据和金融业务发展情况，为中、省驻广金融管理部门和金融机构提供服务，协调解决地方金融业改革发展中的有关问题。</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60" w:firstLineChars="20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lang w:val="en-US" w:eastAsia="zh-CN"/>
        </w:rPr>
        <w:t>8.</w:t>
      </w:r>
      <w:r>
        <w:rPr>
          <w:rFonts w:hint="default" w:ascii="Times New Roman" w:hAnsi="Times New Roman" w:eastAsia="方正仿宋_GBK" w:cs="Times New Roman"/>
          <w:color w:val="auto"/>
          <w:sz w:val="33"/>
          <w:szCs w:val="33"/>
        </w:rPr>
        <w:t>推动各类金融机构为全市经济社会发展服务，参与全市投融资体制改革工作。推动地方金融统计体系建设。研究制定引导社会融资发展的政策措施，参与研究拟订政府重大项目融资方案。引导金融机构创新服务产品，扩大服务范围，延伸服务领域，提升服务效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60" w:firstLineChars="200"/>
        <w:jc w:val="both"/>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lang w:val="en-US" w:eastAsia="zh-CN"/>
        </w:rPr>
        <w:t>9.</w:t>
      </w:r>
      <w:r>
        <w:rPr>
          <w:rFonts w:hint="default" w:ascii="Times New Roman" w:hAnsi="Times New Roman" w:eastAsia="方正仿宋_GBK" w:cs="Times New Roman"/>
          <w:color w:val="auto"/>
          <w:sz w:val="33"/>
          <w:szCs w:val="33"/>
        </w:rPr>
        <w:t>依据国务院金融稳定发展委员会和中央金融管理部门制定的规则，负责全市小额贷款公司、融资担保公司、区域性股权市场、典当行、融资租赁公司、商业保理公司、地方资产管理公司的监管。加强对开展信用互助的农民专业合作社、地方权益类交易场所、大宗商品类交易场所的风险监测与行为监管。</w:t>
      </w:r>
    </w:p>
    <w:p>
      <w:pPr>
        <w:keepNext w:val="0"/>
        <w:keepLines w:val="0"/>
        <w:pageBreakBefore w:val="0"/>
        <w:kinsoku/>
        <w:wordWrap/>
        <w:overflowPunct/>
        <w:autoSpaceDE/>
        <w:autoSpaceDN/>
        <w:bidi w:val="0"/>
        <w:adjustRightInd/>
        <w:snapToGrid/>
        <w:spacing w:line="590" w:lineRule="exact"/>
        <w:ind w:left="0" w:leftChars="0" w:right="0" w:rightChars="0" w:firstLine="660" w:firstLineChars="200"/>
        <w:jc w:val="both"/>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lang w:val="en-US" w:eastAsia="zh-CN"/>
        </w:rPr>
        <w:t>10.</w:t>
      </w:r>
      <w:r>
        <w:rPr>
          <w:rFonts w:hint="default" w:ascii="Times New Roman" w:hAnsi="Times New Roman" w:eastAsia="方正仿宋_GBK" w:cs="Times New Roman"/>
          <w:color w:val="auto"/>
          <w:sz w:val="33"/>
          <w:szCs w:val="33"/>
        </w:rPr>
        <w:t>按照中、省有关规定，负责地方金融机构和金融中介机构的行业管理和服务，促进金融中介服务业发展，参与拟定促进与金融业密切相关的中介服务机构发展的政策、规划并配合有关部门实施。加强对相关金融行业协会的工作指导和监督。</w:t>
      </w:r>
    </w:p>
    <w:p>
      <w:pPr>
        <w:keepNext w:val="0"/>
        <w:keepLines w:val="0"/>
        <w:pageBreakBefore w:val="0"/>
        <w:kinsoku/>
        <w:wordWrap/>
        <w:overflowPunct/>
        <w:autoSpaceDE/>
        <w:autoSpaceDN/>
        <w:bidi w:val="0"/>
        <w:adjustRightInd/>
        <w:snapToGrid/>
        <w:spacing w:line="590" w:lineRule="exact"/>
        <w:ind w:left="0" w:leftChars="0" w:right="0" w:rightChars="0" w:firstLine="660" w:firstLineChars="200"/>
        <w:jc w:val="both"/>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lang w:val="en-US" w:eastAsia="zh-CN"/>
        </w:rPr>
        <w:t>11.</w:t>
      </w:r>
      <w:r>
        <w:rPr>
          <w:rFonts w:hint="default" w:ascii="Times New Roman" w:hAnsi="Times New Roman" w:eastAsia="方正仿宋_GBK" w:cs="Times New Roman"/>
          <w:color w:val="auto"/>
          <w:sz w:val="33"/>
          <w:szCs w:val="33"/>
        </w:rPr>
        <w:t>维护地方金融秩序。牵头会同有关部门防范、化解地方金融风险。牵头处置非法集资，协调配合有关部门打击其他非法金融活动，推进全市地方金融风险监测预警与应急处置机制建设。</w:t>
      </w:r>
    </w:p>
    <w:p>
      <w:pPr>
        <w:keepNext w:val="0"/>
        <w:keepLines w:val="0"/>
        <w:pageBreakBefore w:val="0"/>
        <w:kinsoku/>
        <w:wordWrap/>
        <w:overflowPunct/>
        <w:autoSpaceDE/>
        <w:autoSpaceDN/>
        <w:bidi w:val="0"/>
        <w:adjustRightInd/>
        <w:snapToGrid/>
        <w:spacing w:line="590" w:lineRule="exact"/>
        <w:ind w:left="0" w:leftChars="0" w:right="0" w:rightChars="0" w:firstLine="660" w:firstLineChars="200"/>
        <w:jc w:val="both"/>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lang w:val="en-US" w:eastAsia="zh-CN"/>
        </w:rPr>
        <w:t>12.</w:t>
      </w:r>
      <w:r>
        <w:rPr>
          <w:rFonts w:hint="default" w:ascii="Times New Roman" w:hAnsi="Times New Roman" w:eastAsia="方正仿宋_GBK" w:cs="Times New Roman"/>
          <w:color w:val="auto"/>
          <w:sz w:val="33"/>
          <w:szCs w:val="33"/>
        </w:rPr>
        <w:t>按照国有资产管理有关规定，配合市级有关部门研究制定国有金融资本布局方案。</w:t>
      </w:r>
    </w:p>
    <w:p>
      <w:pPr>
        <w:keepNext w:val="0"/>
        <w:keepLines w:val="0"/>
        <w:pageBreakBefore w:val="0"/>
        <w:kinsoku/>
        <w:wordWrap/>
        <w:overflowPunct/>
        <w:autoSpaceDE/>
        <w:autoSpaceDN/>
        <w:bidi w:val="0"/>
        <w:adjustRightInd/>
        <w:snapToGrid/>
        <w:spacing w:line="590" w:lineRule="exact"/>
        <w:ind w:left="0" w:leftChars="0" w:right="0" w:rightChars="0" w:firstLine="660" w:firstLineChars="200"/>
        <w:jc w:val="both"/>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lang w:val="en-US" w:eastAsia="zh-CN"/>
        </w:rPr>
        <w:t>13.</w:t>
      </w:r>
      <w:r>
        <w:rPr>
          <w:rFonts w:hint="default" w:ascii="Times New Roman" w:hAnsi="Times New Roman" w:eastAsia="方正仿宋_GBK" w:cs="Times New Roman"/>
          <w:color w:val="auto"/>
          <w:sz w:val="33"/>
          <w:szCs w:val="33"/>
        </w:rPr>
        <w:t>统筹对全市地方政府金融工作进行业务指导，推进市县协同联动机制建设，参与、指导全市金融人才资源培育和队伍建设工作。推进全市金融知识宣传普及工作。</w:t>
      </w:r>
    </w:p>
    <w:p>
      <w:pPr>
        <w:keepNext w:val="0"/>
        <w:keepLines w:val="0"/>
        <w:pageBreakBefore w:val="0"/>
        <w:kinsoku/>
        <w:wordWrap/>
        <w:overflowPunct/>
        <w:autoSpaceDE/>
        <w:autoSpaceDN/>
        <w:bidi w:val="0"/>
        <w:adjustRightInd/>
        <w:snapToGrid/>
        <w:spacing w:line="590" w:lineRule="exact"/>
        <w:ind w:left="0" w:leftChars="0" w:right="0" w:rightChars="0" w:firstLine="660" w:firstLineChars="200"/>
        <w:jc w:val="both"/>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lang w:val="en-US" w:eastAsia="zh-CN"/>
        </w:rPr>
        <w:t>14.</w:t>
      </w:r>
      <w:r>
        <w:rPr>
          <w:rFonts w:hint="default" w:ascii="Times New Roman" w:hAnsi="Times New Roman" w:eastAsia="方正仿宋_GBK" w:cs="Times New Roman"/>
          <w:color w:val="auto"/>
          <w:sz w:val="33"/>
          <w:szCs w:val="33"/>
        </w:rPr>
        <w:t>督促监管范围内的地方法人金融机构建立健全并执行安全生产和职业健康相关制度、规定、标准；组织开展本行业系统安全生产工作检查，总结推广安全生产工作经验，督促整改安全隐患。</w:t>
      </w:r>
    </w:p>
    <w:p>
      <w:pPr>
        <w:keepNext w:val="0"/>
        <w:keepLines w:val="0"/>
        <w:pageBreakBefore w:val="0"/>
        <w:kinsoku/>
        <w:wordWrap/>
        <w:overflowPunct/>
        <w:autoSpaceDE/>
        <w:autoSpaceDN/>
        <w:bidi w:val="0"/>
        <w:adjustRightInd/>
        <w:snapToGrid/>
        <w:spacing w:line="590" w:lineRule="exact"/>
        <w:ind w:left="0" w:leftChars="0" w:right="0" w:rightChars="0" w:firstLine="660" w:firstLineChars="200"/>
        <w:jc w:val="both"/>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lang w:val="en-US" w:eastAsia="zh-CN"/>
        </w:rPr>
        <w:t>15.</w:t>
      </w:r>
      <w:r>
        <w:rPr>
          <w:rFonts w:hint="default" w:ascii="Times New Roman" w:hAnsi="Times New Roman" w:eastAsia="方正仿宋_GBK" w:cs="Times New Roman"/>
          <w:color w:val="auto"/>
          <w:sz w:val="33"/>
          <w:szCs w:val="33"/>
        </w:rPr>
        <w:t>负责职责范围内的生态环境保护、审批服务便民化等工作。</w:t>
      </w:r>
    </w:p>
    <w:p>
      <w:pPr>
        <w:keepNext w:val="0"/>
        <w:keepLines w:val="0"/>
        <w:pageBreakBefore w:val="0"/>
        <w:kinsoku/>
        <w:wordWrap/>
        <w:overflowPunct/>
        <w:autoSpaceDE/>
        <w:autoSpaceDN/>
        <w:bidi w:val="0"/>
        <w:adjustRightInd/>
        <w:snapToGrid/>
        <w:spacing w:line="590" w:lineRule="exact"/>
        <w:ind w:left="0" w:leftChars="0" w:right="0" w:rightChars="0" w:firstLine="660" w:firstLineChars="200"/>
        <w:jc w:val="both"/>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lang w:val="en-US" w:eastAsia="zh-CN"/>
        </w:rPr>
        <w:t>16.</w:t>
      </w:r>
      <w:r>
        <w:rPr>
          <w:rFonts w:hint="default" w:ascii="Times New Roman" w:hAnsi="Times New Roman" w:eastAsia="方正仿宋_GBK" w:cs="Times New Roman"/>
          <w:color w:val="auto"/>
          <w:sz w:val="33"/>
          <w:szCs w:val="33"/>
        </w:rPr>
        <w:t>完成市委和市政府交办的其他任务。</w:t>
      </w:r>
    </w:p>
    <w:p>
      <w:pPr>
        <w:pageBreakBefore w:val="0"/>
        <w:kinsoku/>
        <w:overflowPunct/>
        <w:topLinePunct w:val="0"/>
        <w:bidi w:val="0"/>
        <w:spacing w:line="336" w:lineRule="auto"/>
        <w:ind w:firstLine="640" w:firstLineChars="200"/>
        <w:rPr>
          <w:rFonts w:ascii="黑体" w:hAnsi="黑体" w:eastAsia="黑体"/>
          <w:sz w:val="32"/>
          <w:szCs w:val="32"/>
          <w:highlight w:val="none"/>
        </w:rPr>
      </w:pPr>
      <w:r>
        <w:rPr>
          <w:rFonts w:ascii="Times New Roman" w:hAnsi="Times New Roman" w:eastAsia="仿宋" w:cs="仿宋_GB2312"/>
          <w:sz w:val="32"/>
          <w:szCs w:val="32"/>
          <w:highlight w:val="none"/>
        </w:rPr>
        <w:t>（三）人员概况。</w:t>
      </w:r>
    </w:p>
    <w:p>
      <w:pPr>
        <w:spacing w:line="600" w:lineRule="exact"/>
        <w:ind w:firstLine="660" w:firstLineChars="200"/>
        <w:rPr>
          <w:rFonts w:hint="eastAsia" w:ascii="Times New Roman" w:hAnsi="Times New Roman" w:eastAsia="仿宋_GB2312" w:cs="仿宋_GB2312"/>
          <w:sz w:val="32"/>
          <w:szCs w:val="32"/>
          <w:highlight w:val="none"/>
        </w:rPr>
      </w:pPr>
      <w:r>
        <w:rPr>
          <w:rFonts w:hint="default" w:ascii="Times New Roman" w:hAnsi="Times New Roman" w:eastAsia="方正仿宋_GBK" w:cs="Times New Roman"/>
          <w:color w:val="auto"/>
          <w:sz w:val="33"/>
          <w:szCs w:val="33"/>
          <w:highlight w:val="none"/>
        </w:rPr>
        <w:t>市金融</w:t>
      </w:r>
      <w:r>
        <w:rPr>
          <w:rFonts w:hint="default" w:ascii="Times New Roman" w:hAnsi="Times New Roman" w:eastAsia="方正仿宋_GBK" w:cs="Times New Roman"/>
          <w:color w:val="auto"/>
          <w:sz w:val="33"/>
          <w:szCs w:val="33"/>
          <w:highlight w:val="none"/>
          <w:lang w:eastAsia="zh-CN"/>
        </w:rPr>
        <w:t>工作局</w:t>
      </w:r>
      <w:r>
        <w:rPr>
          <w:rFonts w:hint="default" w:ascii="Times New Roman" w:hAnsi="Times New Roman" w:eastAsia="方正仿宋_GBK" w:cs="Times New Roman"/>
          <w:color w:val="auto"/>
          <w:sz w:val="33"/>
          <w:szCs w:val="33"/>
          <w:highlight w:val="none"/>
        </w:rPr>
        <w:t>行政编制</w:t>
      </w:r>
      <w:r>
        <w:rPr>
          <w:rFonts w:hint="default" w:ascii="Times New Roman" w:hAnsi="Times New Roman" w:eastAsia="方正仿宋_GBK" w:cs="Times New Roman"/>
          <w:color w:val="auto"/>
          <w:sz w:val="33"/>
          <w:szCs w:val="33"/>
          <w:highlight w:val="none"/>
          <w:lang w:val="en-US" w:eastAsia="zh-CN"/>
        </w:rPr>
        <w:t>9</w:t>
      </w:r>
      <w:r>
        <w:rPr>
          <w:rFonts w:hint="default" w:ascii="Times New Roman" w:hAnsi="Times New Roman" w:eastAsia="方正仿宋_GBK" w:cs="Times New Roman"/>
          <w:color w:val="auto"/>
          <w:sz w:val="33"/>
          <w:szCs w:val="33"/>
          <w:highlight w:val="none"/>
        </w:rPr>
        <w:t>名。设</w:t>
      </w:r>
      <w:r>
        <w:rPr>
          <w:rFonts w:hint="default" w:ascii="Times New Roman" w:hAnsi="Times New Roman" w:eastAsia="方正仿宋_GBK" w:cs="Times New Roman"/>
          <w:color w:val="auto"/>
          <w:sz w:val="33"/>
          <w:szCs w:val="33"/>
          <w:highlight w:val="none"/>
          <w:lang w:eastAsia="zh-CN"/>
        </w:rPr>
        <w:t>局长</w:t>
      </w:r>
      <w:r>
        <w:rPr>
          <w:rFonts w:hint="default" w:ascii="Times New Roman" w:hAnsi="Times New Roman" w:eastAsia="方正仿宋_GBK" w:cs="Times New Roman"/>
          <w:color w:val="auto"/>
          <w:sz w:val="33"/>
          <w:szCs w:val="33"/>
          <w:highlight w:val="none"/>
        </w:rPr>
        <w:t>1名、副</w:t>
      </w:r>
      <w:r>
        <w:rPr>
          <w:rFonts w:hint="default" w:ascii="Times New Roman" w:hAnsi="Times New Roman" w:eastAsia="方正仿宋_GBK" w:cs="Times New Roman"/>
          <w:color w:val="auto"/>
          <w:sz w:val="33"/>
          <w:szCs w:val="33"/>
          <w:highlight w:val="none"/>
          <w:lang w:eastAsia="zh-CN"/>
        </w:rPr>
        <w:t>局长</w:t>
      </w:r>
      <w:r>
        <w:rPr>
          <w:rFonts w:hint="default" w:ascii="Times New Roman" w:hAnsi="Times New Roman" w:eastAsia="方正仿宋_GBK" w:cs="Times New Roman"/>
          <w:color w:val="auto"/>
          <w:sz w:val="33"/>
          <w:szCs w:val="33"/>
          <w:highlight w:val="none"/>
          <w:lang w:val="en-US" w:eastAsia="zh-CN"/>
        </w:rPr>
        <w:t>2</w:t>
      </w:r>
      <w:r>
        <w:rPr>
          <w:rFonts w:hint="default" w:ascii="Times New Roman" w:hAnsi="Times New Roman" w:eastAsia="方正仿宋_GBK" w:cs="Times New Roman"/>
          <w:color w:val="auto"/>
          <w:sz w:val="33"/>
          <w:szCs w:val="33"/>
          <w:highlight w:val="none"/>
        </w:rPr>
        <w:t>名，正科级领导职数</w:t>
      </w:r>
      <w:r>
        <w:rPr>
          <w:rFonts w:hint="default" w:ascii="Times New Roman" w:hAnsi="Times New Roman" w:eastAsia="方正仿宋_GBK" w:cs="Times New Roman"/>
          <w:color w:val="auto"/>
          <w:sz w:val="33"/>
          <w:szCs w:val="33"/>
          <w:highlight w:val="none"/>
          <w:lang w:val="en-US" w:eastAsia="zh-CN"/>
        </w:rPr>
        <w:t>3</w:t>
      </w:r>
      <w:r>
        <w:rPr>
          <w:rFonts w:hint="default" w:ascii="Times New Roman" w:hAnsi="Times New Roman" w:eastAsia="方正仿宋_GBK" w:cs="Times New Roman"/>
          <w:color w:val="auto"/>
          <w:sz w:val="33"/>
          <w:szCs w:val="33"/>
          <w:highlight w:val="none"/>
        </w:rPr>
        <w:t>名</w:t>
      </w:r>
      <w:r>
        <w:rPr>
          <w:rFonts w:hint="default" w:ascii="Times New Roman" w:hAnsi="Times New Roman" w:eastAsia="方正仿宋_GBK" w:cs="Times New Roman"/>
          <w:color w:val="auto"/>
          <w:sz w:val="33"/>
          <w:szCs w:val="33"/>
          <w:highlight w:val="none"/>
          <w:lang w:eastAsia="zh-CN"/>
        </w:rPr>
        <w:t>，副科级职数</w:t>
      </w:r>
      <w:r>
        <w:rPr>
          <w:rFonts w:hint="default" w:ascii="Times New Roman" w:hAnsi="Times New Roman" w:eastAsia="方正仿宋_GBK" w:cs="Times New Roman"/>
          <w:color w:val="auto"/>
          <w:sz w:val="33"/>
          <w:szCs w:val="33"/>
          <w:highlight w:val="none"/>
          <w:lang w:val="en-US" w:eastAsia="zh-CN"/>
        </w:rPr>
        <w:t>1名</w:t>
      </w:r>
      <w:r>
        <w:rPr>
          <w:rFonts w:hint="default" w:ascii="Times New Roman" w:hAnsi="Times New Roman" w:eastAsia="方正仿宋_GBK" w:cs="Times New Roman"/>
          <w:color w:val="auto"/>
          <w:sz w:val="33"/>
          <w:szCs w:val="33"/>
          <w:highlight w:val="none"/>
        </w:rPr>
        <w:t>。20</w:t>
      </w:r>
      <w:r>
        <w:rPr>
          <w:rFonts w:hint="default" w:ascii="Times New Roman" w:hAnsi="Times New Roman" w:eastAsia="方正仿宋_GBK" w:cs="Times New Roman"/>
          <w:color w:val="auto"/>
          <w:sz w:val="33"/>
          <w:szCs w:val="33"/>
          <w:highlight w:val="none"/>
          <w:lang w:val="en-US" w:eastAsia="zh-CN"/>
        </w:rPr>
        <w:t>2</w:t>
      </w:r>
      <w:r>
        <w:rPr>
          <w:rFonts w:hint="eastAsia" w:eastAsia="方正仿宋_GBK" w:cs="Times New Roman"/>
          <w:color w:val="auto"/>
          <w:sz w:val="33"/>
          <w:szCs w:val="33"/>
          <w:highlight w:val="none"/>
          <w:lang w:val="en-US" w:eastAsia="zh-CN"/>
        </w:rPr>
        <w:t>3</w:t>
      </w:r>
      <w:r>
        <w:rPr>
          <w:rFonts w:hint="default" w:ascii="Times New Roman" w:hAnsi="Times New Roman" w:eastAsia="方正仿宋_GBK" w:cs="Times New Roman"/>
          <w:color w:val="auto"/>
          <w:sz w:val="33"/>
          <w:szCs w:val="33"/>
          <w:highlight w:val="none"/>
        </w:rPr>
        <w:t>年实有行政人员</w:t>
      </w:r>
      <w:r>
        <w:rPr>
          <w:rFonts w:hint="eastAsia" w:ascii="Times New Roman" w:hAnsi="Times New Roman" w:eastAsia="方正仿宋_GBK" w:cs="Times New Roman"/>
          <w:color w:val="auto"/>
          <w:sz w:val="33"/>
          <w:szCs w:val="33"/>
          <w:highlight w:val="none"/>
          <w:lang w:val="en-US" w:eastAsia="zh-CN"/>
        </w:rPr>
        <w:t>9</w:t>
      </w:r>
      <w:r>
        <w:rPr>
          <w:rFonts w:hint="default" w:ascii="Times New Roman" w:hAnsi="Times New Roman" w:eastAsia="方正仿宋_GBK" w:cs="Times New Roman"/>
          <w:color w:val="auto"/>
          <w:sz w:val="33"/>
          <w:szCs w:val="33"/>
          <w:highlight w:val="none"/>
        </w:rPr>
        <w:t>名。</w:t>
      </w:r>
      <w:r>
        <w:rPr>
          <w:rFonts w:hint="default" w:ascii="Times New Roman" w:hAnsi="Times New Roman" w:eastAsia="方正仿宋_GBK" w:cs="Times New Roman"/>
          <w:color w:val="auto"/>
          <w:sz w:val="33"/>
          <w:szCs w:val="33"/>
          <w:highlight w:val="none"/>
          <w:lang w:eastAsia="zh-CN"/>
        </w:rPr>
        <w:t>局长</w:t>
      </w:r>
      <w:r>
        <w:rPr>
          <w:rFonts w:hint="default" w:ascii="Times New Roman" w:hAnsi="Times New Roman" w:eastAsia="方正仿宋_GBK" w:cs="Times New Roman"/>
          <w:color w:val="auto"/>
          <w:sz w:val="33"/>
          <w:szCs w:val="33"/>
          <w:highlight w:val="none"/>
        </w:rPr>
        <w:t>1名</w:t>
      </w:r>
      <w:r>
        <w:rPr>
          <w:rFonts w:hint="default" w:ascii="Times New Roman" w:hAnsi="Times New Roman" w:eastAsia="方正仿宋_GBK" w:cs="Times New Roman"/>
          <w:color w:val="auto"/>
          <w:sz w:val="33"/>
          <w:szCs w:val="33"/>
          <w:highlight w:val="none"/>
          <w:lang w:eastAsia="zh-CN"/>
        </w:rPr>
        <w:t>，正县级</w:t>
      </w:r>
      <w:r>
        <w:rPr>
          <w:rFonts w:hint="default" w:ascii="Times New Roman" w:hAnsi="Times New Roman" w:eastAsia="方正仿宋_GBK" w:cs="Times New Roman"/>
          <w:color w:val="auto"/>
          <w:sz w:val="33"/>
          <w:szCs w:val="33"/>
          <w:highlight w:val="none"/>
        </w:rPr>
        <w:t>；副</w:t>
      </w:r>
      <w:r>
        <w:rPr>
          <w:rFonts w:hint="default" w:ascii="Times New Roman" w:hAnsi="Times New Roman" w:eastAsia="方正仿宋_GBK" w:cs="Times New Roman"/>
          <w:color w:val="auto"/>
          <w:sz w:val="33"/>
          <w:szCs w:val="33"/>
          <w:highlight w:val="none"/>
          <w:lang w:eastAsia="zh-CN"/>
        </w:rPr>
        <w:t>局长</w:t>
      </w:r>
      <w:r>
        <w:rPr>
          <w:rFonts w:hint="eastAsia" w:ascii="Times New Roman" w:hAnsi="Times New Roman" w:eastAsia="方正仿宋_GBK" w:cs="Times New Roman"/>
          <w:color w:val="auto"/>
          <w:sz w:val="33"/>
          <w:szCs w:val="33"/>
          <w:highlight w:val="none"/>
          <w:lang w:val="en-US" w:eastAsia="zh-CN"/>
        </w:rPr>
        <w:t>2</w:t>
      </w:r>
      <w:r>
        <w:rPr>
          <w:rFonts w:hint="default" w:ascii="Times New Roman" w:hAnsi="Times New Roman" w:eastAsia="方正仿宋_GBK" w:cs="Times New Roman"/>
          <w:color w:val="auto"/>
          <w:sz w:val="33"/>
          <w:szCs w:val="33"/>
          <w:highlight w:val="none"/>
        </w:rPr>
        <w:t>名，副县级；科级干部3名，其中正科级</w:t>
      </w:r>
      <w:r>
        <w:rPr>
          <w:rFonts w:hint="default" w:ascii="Times New Roman" w:hAnsi="Times New Roman" w:eastAsia="方正仿宋_GBK" w:cs="Times New Roman"/>
          <w:color w:val="auto"/>
          <w:sz w:val="33"/>
          <w:szCs w:val="33"/>
          <w:highlight w:val="none"/>
          <w:lang w:val="en-US" w:eastAsia="zh-CN"/>
        </w:rPr>
        <w:t>2</w:t>
      </w:r>
      <w:r>
        <w:rPr>
          <w:rFonts w:hint="default" w:ascii="Times New Roman" w:hAnsi="Times New Roman" w:eastAsia="方正仿宋_GBK" w:cs="Times New Roman"/>
          <w:color w:val="auto"/>
          <w:sz w:val="33"/>
          <w:szCs w:val="33"/>
          <w:highlight w:val="none"/>
        </w:rPr>
        <w:t>名；</w:t>
      </w:r>
      <w:r>
        <w:rPr>
          <w:rFonts w:hint="eastAsia" w:ascii="Times New Roman" w:hAnsi="Times New Roman" w:eastAsia="方正仿宋_GBK" w:cs="Times New Roman"/>
          <w:color w:val="auto"/>
          <w:sz w:val="33"/>
          <w:szCs w:val="33"/>
          <w:highlight w:val="none"/>
          <w:lang w:eastAsia="zh-CN"/>
        </w:rPr>
        <w:t>副科级</w:t>
      </w:r>
      <w:r>
        <w:rPr>
          <w:rFonts w:hint="eastAsia" w:ascii="Times New Roman" w:hAnsi="Times New Roman" w:eastAsia="方正仿宋_GBK" w:cs="Times New Roman"/>
          <w:color w:val="auto"/>
          <w:sz w:val="33"/>
          <w:szCs w:val="33"/>
          <w:highlight w:val="none"/>
          <w:lang w:val="en-US" w:eastAsia="zh-CN"/>
        </w:rPr>
        <w:t>1名，</w:t>
      </w:r>
      <w:r>
        <w:rPr>
          <w:rFonts w:hint="eastAsia" w:eastAsia="方正仿宋_GBK" w:cs="Times New Roman"/>
          <w:color w:val="auto"/>
          <w:sz w:val="33"/>
          <w:szCs w:val="33"/>
          <w:highlight w:val="none"/>
          <w:lang w:val="en-US" w:eastAsia="zh-CN"/>
        </w:rPr>
        <w:t>三</w:t>
      </w:r>
      <w:r>
        <w:rPr>
          <w:rFonts w:hint="default" w:ascii="Times New Roman" w:hAnsi="Times New Roman" w:eastAsia="方正仿宋_GBK" w:cs="Times New Roman"/>
          <w:color w:val="auto"/>
          <w:sz w:val="33"/>
          <w:szCs w:val="33"/>
          <w:highlight w:val="none"/>
          <w:lang w:eastAsia="zh-CN"/>
        </w:rPr>
        <w:t>级主任科员</w:t>
      </w:r>
      <w:r>
        <w:rPr>
          <w:rFonts w:hint="eastAsia" w:eastAsia="方正仿宋_GBK" w:cs="Times New Roman"/>
          <w:color w:val="auto"/>
          <w:sz w:val="33"/>
          <w:szCs w:val="33"/>
          <w:highlight w:val="none"/>
          <w:lang w:val="en-US" w:eastAsia="zh-CN"/>
        </w:rPr>
        <w:t>1</w:t>
      </w:r>
      <w:r>
        <w:rPr>
          <w:rFonts w:hint="default" w:ascii="Times New Roman" w:hAnsi="Times New Roman" w:eastAsia="方正仿宋_GBK" w:cs="Times New Roman"/>
          <w:color w:val="auto"/>
          <w:sz w:val="33"/>
          <w:szCs w:val="33"/>
          <w:highlight w:val="none"/>
        </w:rPr>
        <w:t>名</w:t>
      </w:r>
      <w:r>
        <w:rPr>
          <w:rFonts w:hint="eastAsia" w:eastAsia="方正仿宋_GBK" w:cs="Times New Roman"/>
          <w:color w:val="auto"/>
          <w:sz w:val="33"/>
          <w:szCs w:val="33"/>
          <w:highlight w:val="none"/>
          <w:lang w:eastAsia="zh-CN"/>
        </w:rPr>
        <w:t>，</w:t>
      </w:r>
      <w:r>
        <w:rPr>
          <w:rFonts w:hint="default" w:ascii="Times New Roman" w:hAnsi="Times New Roman" w:eastAsia="方正仿宋_GBK" w:cs="Times New Roman"/>
          <w:color w:val="auto"/>
          <w:sz w:val="33"/>
          <w:szCs w:val="33"/>
          <w:highlight w:val="none"/>
          <w:lang w:eastAsia="zh-CN"/>
        </w:rPr>
        <w:t>四级主任科员</w:t>
      </w:r>
      <w:r>
        <w:rPr>
          <w:rFonts w:hint="eastAsia" w:ascii="Times New Roman" w:hAnsi="Times New Roman" w:eastAsia="方正仿宋_GBK" w:cs="Times New Roman"/>
          <w:color w:val="auto"/>
          <w:sz w:val="33"/>
          <w:szCs w:val="33"/>
          <w:highlight w:val="none"/>
          <w:lang w:val="en-US" w:eastAsia="zh-CN"/>
        </w:rPr>
        <w:t>2</w:t>
      </w:r>
      <w:r>
        <w:rPr>
          <w:rFonts w:hint="default" w:ascii="Times New Roman" w:hAnsi="Times New Roman" w:eastAsia="方正仿宋_GBK" w:cs="Times New Roman"/>
          <w:color w:val="auto"/>
          <w:sz w:val="33"/>
          <w:szCs w:val="33"/>
          <w:highlight w:val="none"/>
        </w:rPr>
        <w:t>名</w:t>
      </w:r>
      <w:r>
        <w:rPr>
          <w:rFonts w:hint="eastAsia" w:ascii="Times New Roman" w:hAnsi="Times New Roman" w:eastAsia="方正仿宋_GBK" w:cs="Times New Roman"/>
          <w:color w:val="auto"/>
          <w:sz w:val="33"/>
          <w:szCs w:val="33"/>
          <w:highlight w:val="none"/>
          <w:lang w:eastAsia="zh-CN"/>
        </w:rPr>
        <w:t>，</w:t>
      </w:r>
      <w:r>
        <w:rPr>
          <w:rFonts w:hint="eastAsia" w:eastAsia="方正仿宋_GBK" w:cs="Times New Roman"/>
          <w:color w:val="auto"/>
          <w:sz w:val="33"/>
          <w:szCs w:val="33"/>
          <w:highlight w:val="none"/>
          <w:lang w:eastAsia="zh-CN"/>
        </w:rPr>
        <w:t>事业干部</w:t>
      </w:r>
      <w:r>
        <w:rPr>
          <w:rFonts w:hint="eastAsia" w:eastAsia="方正仿宋_GBK" w:cs="Times New Roman"/>
          <w:color w:val="auto"/>
          <w:sz w:val="33"/>
          <w:szCs w:val="33"/>
          <w:highlight w:val="none"/>
          <w:lang w:val="en-US" w:eastAsia="zh-CN"/>
        </w:rPr>
        <w:t>2名</w:t>
      </w:r>
      <w:r>
        <w:rPr>
          <w:rFonts w:hint="default" w:ascii="Times New Roman" w:hAnsi="Times New Roman" w:eastAsia="方正仿宋_GBK" w:cs="Times New Roman"/>
          <w:color w:val="auto"/>
          <w:sz w:val="33"/>
          <w:szCs w:val="33"/>
          <w:highlight w:val="none"/>
        </w:rPr>
        <w:t>。</w:t>
      </w:r>
    </w:p>
    <w:p>
      <w:pPr>
        <w:pageBreakBefore w:val="0"/>
        <w:kinsoku/>
        <w:overflowPunct/>
        <w:topLinePunct w:val="0"/>
        <w:bidi w:val="0"/>
        <w:spacing w:line="336" w:lineRule="auto"/>
        <w:ind w:firstLine="640" w:firstLineChars="200"/>
        <w:rPr>
          <w:rFonts w:ascii="Times New Roman" w:hAnsi="Times New Roman" w:eastAsia="黑体" w:cs="黑体"/>
          <w:sz w:val="32"/>
          <w:szCs w:val="32"/>
        </w:rPr>
      </w:pPr>
      <w:r>
        <w:rPr>
          <w:rFonts w:ascii="Times New Roman" w:hAnsi="Times New Roman" w:eastAsia="黑体" w:cs="黑体"/>
          <w:sz w:val="32"/>
          <w:szCs w:val="32"/>
        </w:rPr>
        <w:t>二、部门财政资金收支情况</w:t>
      </w:r>
    </w:p>
    <w:p>
      <w:pPr>
        <w:keepNext w:val="0"/>
        <w:keepLines w:val="0"/>
        <w:pageBreakBefore w:val="0"/>
        <w:widowControl w:val="0"/>
        <w:kinsoku/>
        <w:wordWrap/>
        <w:overflowPunct/>
        <w:topLinePunct/>
        <w:autoSpaceDE/>
        <w:autoSpaceDN/>
        <w:bidi w:val="0"/>
        <w:adjustRightInd/>
        <w:snapToGrid/>
        <w:spacing w:line="590" w:lineRule="exact"/>
        <w:ind w:left="0" w:leftChars="0" w:right="0" w:rightChars="0" w:firstLine="642" w:firstLineChars="200"/>
        <w:jc w:val="both"/>
        <w:textAlignment w:val="top"/>
        <w:outlineLvl w:val="9"/>
        <w:rPr>
          <w:rFonts w:hint="eastAsia" w:ascii="方正楷体_GBK" w:hAnsi="方正楷体_GBK" w:eastAsia="方正楷体_GBK" w:cs="方正楷体_GBK"/>
          <w:b/>
          <w:bCs/>
          <w:sz w:val="33"/>
          <w:szCs w:val="33"/>
        </w:rPr>
      </w:pPr>
      <w:r>
        <w:rPr>
          <w:rFonts w:hint="eastAsia" w:ascii="方正楷体_GBK" w:hAnsi="方正楷体_GBK" w:eastAsia="方正楷体_GBK" w:cs="方正楷体_GBK"/>
          <w:b/>
          <w:bCs/>
          <w:color w:val="000000"/>
          <w:kern w:val="0"/>
          <w:sz w:val="32"/>
          <w:szCs w:val="32"/>
          <w:shd w:val="clear" w:color="auto" w:fill="FFFFFF"/>
          <w:lang w:val="zh-CN"/>
        </w:rPr>
        <w:t>（一）部门财政资金收入情况。</w:t>
      </w:r>
    </w:p>
    <w:p>
      <w:pPr>
        <w:keepNext w:val="0"/>
        <w:keepLines w:val="0"/>
        <w:pageBreakBefore w:val="0"/>
        <w:widowControl w:val="0"/>
        <w:kinsoku/>
        <w:wordWrap/>
        <w:overflowPunct/>
        <w:topLinePunct/>
        <w:autoSpaceDE/>
        <w:autoSpaceDN/>
        <w:bidi w:val="0"/>
        <w:adjustRightInd/>
        <w:snapToGrid/>
        <w:spacing w:line="590" w:lineRule="exact"/>
        <w:ind w:left="0" w:leftChars="0" w:right="0" w:rightChars="0" w:firstLine="660" w:firstLineChars="200"/>
        <w:jc w:val="both"/>
        <w:textAlignment w:val="top"/>
        <w:outlineLvl w:val="9"/>
        <w:rPr>
          <w:rFonts w:hint="default" w:ascii="方正楷体_GBK" w:hAnsi="方正楷体_GBK" w:eastAsia="方正仿宋_GBK" w:cs="方正楷体_GBK"/>
          <w:b/>
          <w:sz w:val="33"/>
          <w:szCs w:val="33"/>
          <w:lang w:val="en-US" w:eastAsia="zh-CN"/>
        </w:rPr>
      </w:pPr>
      <w:r>
        <w:rPr>
          <w:rFonts w:ascii="Times New Roman" w:hAnsi="Times New Roman" w:eastAsia="方正仿宋_GBK" w:cs="Times New Roman"/>
          <w:color w:val="333333"/>
          <w:sz w:val="33"/>
          <w:szCs w:val="33"/>
        </w:rPr>
        <w:t>202</w:t>
      </w:r>
      <w:r>
        <w:rPr>
          <w:rFonts w:hint="eastAsia" w:ascii="Times New Roman" w:hAnsi="Times New Roman" w:eastAsia="方正仿宋_GBK" w:cs="Times New Roman"/>
          <w:color w:val="333333"/>
          <w:sz w:val="33"/>
          <w:szCs w:val="33"/>
          <w:lang w:val="en-US" w:eastAsia="zh-CN"/>
        </w:rPr>
        <w:t>3</w:t>
      </w:r>
      <w:r>
        <w:rPr>
          <w:rFonts w:ascii="Times New Roman" w:hAnsi="Times New Roman" w:eastAsia="方正仿宋_GBK" w:cs="Times New Roman"/>
          <w:color w:val="333333"/>
          <w:sz w:val="33"/>
          <w:szCs w:val="33"/>
        </w:rPr>
        <w:t>年，市</w:t>
      </w:r>
      <w:r>
        <w:rPr>
          <w:rFonts w:hint="eastAsia" w:ascii="Times New Roman" w:hAnsi="Times New Roman" w:eastAsia="方正仿宋_GBK" w:cs="Times New Roman"/>
          <w:color w:val="333333"/>
          <w:sz w:val="33"/>
          <w:szCs w:val="33"/>
        </w:rPr>
        <w:t>金融工作</w:t>
      </w:r>
      <w:r>
        <w:rPr>
          <w:rFonts w:ascii="Times New Roman" w:hAnsi="Times New Roman" w:eastAsia="方正仿宋_GBK" w:cs="Times New Roman"/>
          <w:color w:val="333333"/>
          <w:sz w:val="33"/>
          <w:szCs w:val="33"/>
        </w:rPr>
        <w:t>局部门</w:t>
      </w:r>
      <w:r>
        <w:rPr>
          <w:rFonts w:hint="eastAsia" w:ascii="Times New Roman" w:hAnsi="Times New Roman" w:eastAsia="方正仿宋_GBK" w:cs="Times New Roman"/>
          <w:color w:val="333333"/>
          <w:sz w:val="33"/>
          <w:szCs w:val="33"/>
          <w:lang w:eastAsia="zh-CN"/>
        </w:rPr>
        <w:t>收入为</w:t>
      </w:r>
      <w:r>
        <w:rPr>
          <w:rFonts w:hint="eastAsia" w:ascii="Times New Roman" w:hAnsi="Times New Roman" w:eastAsia="仿宋"/>
          <w:b/>
          <w:sz w:val="32"/>
          <w:szCs w:val="32"/>
        </w:rPr>
        <w:t>496.5</w:t>
      </w:r>
      <w:r>
        <w:rPr>
          <w:rFonts w:hint="eastAsia" w:ascii="Times New Roman" w:hAnsi="Times New Roman" w:eastAsia="方正仿宋_GBK" w:cs="Times New Roman"/>
          <w:color w:val="333333"/>
          <w:sz w:val="33"/>
          <w:szCs w:val="33"/>
          <w:lang w:val="en-US" w:eastAsia="zh-CN"/>
        </w:rPr>
        <w:t>万元，均为</w:t>
      </w:r>
      <w:r>
        <w:rPr>
          <w:rFonts w:ascii="Times New Roman" w:hAnsi="Times New Roman" w:eastAsia="方正仿宋_GBK" w:cs="Times New Roman"/>
          <w:color w:val="333333"/>
          <w:sz w:val="33"/>
          <w:szCs w:val="33"/>
        </w:rPr>
        <w:t>一般公共预算</w:t>
      </w:r>
      <w:r>
        <w:rPr>
          <w:rFonts w:hint="eastAsia" w:ascii="Times New Roman" w:hAnsi="Times New Roman" w:eastAsia="方正仿宋_GBK" w:cs="Times New Roman"/>
          <w:color w:val="333333"/>
          <w:sz w:val="33"/>
          <w:szCs w:val="33"/>
          <w:lang w:eastAsia="zh-CN"/>
        </w:rPr>
        <w:t>收入，占</w:t>
      </w:r>
      <w:r>
        <w:rPr>
          <w:rFonts w:hint="eastAsia" w:ascii="Times New Roman" w:hAnsi="Times New Roman" w:eastAsia="方正仿宋_GBK" w:cs="Times New Roman"/>
          <w:color w:val="333333"/>
          <w:sz w:val="33"/>
          <w:szCs w:val="33"/>
          <w:lang w:val="en-US" w:eastAsia="zh-CN"/>
        </w:rPr>
        <w:t>100%。</w:t>
      </w:r>
    </w:p>
    <w:p>
      <w:pPr>
        <w:keepNext w:val="0"/>
        <w:keepLines w:val="0"/>
        <w:pageBreakBefore w:val="0"/>
        <w:widowControl w:val="0"/>
        <w:kinsoku/>
        <w:wordWrap/>
        <w:overflowPunct/>
        <w:topLinePunct/>
        <w:autoSpaceDE/>
        <w:autoSpaceDN/>
        <w:bidi w:val="0"/>
        <w:adjustRightInd/>
        <w:snapToGrid/>
        <w:spacing w:line="590" w:lineRule="exact"/>
        <w:ind w:left="0" w:leftChars="0" w:right="0" w:rightChars="0" w:firstLine="642" w:firstLineChars="200"/>
        <w:jc w:val="both"/>
        <w:textAlignment w:val="top"/>
        <w:outlineLvl w:val="9"/>
        <w:rPr>
          <w:rFonts w:hint="eastAsia" w:ascii="方正楷体_GBK" w:hAnsi="方正楷体_GBK" w:eastAsia="方正楷体_GBK" w:cs="方正楷体_GBK"/>
          <w:b/>
          <w:bCs/>
          <w:color w:val="000000"/>
          <w:kern w:val="0"/>
          <w:sz w:val="32"/>
          <w:szCs w:val="32"/>
          <w:shd w:val="clear" w:color="auto" w:fill="FFFFFF"/>
          <w:lang w:val="zh-CN"/>
        </w:rPr>
      </w:pPr>
      <w:r>
        <w:rPr>
          <w:rFonts w:hint="eastAsia" w:ascii="方正楷体_GBK" w:hAnsi="方正楷体_GBK" w:eastAsia="方正楷体_GBK" w:cs="方正楷体_GBK"/>
          <w:b/>
          <w:bCs/>
          <w:color w:val="000000"/>
          <w:kern w:val="0"/>
          <w:sz w:val="32"/>
          <w:szCs w:val="32"/>
          <w:shd w:val="clear" w:color="auto" w:fill="FFFFFF"/>
          <w:lang w:val="zh-CN"/>
        </w:rPr>
        <w:t>（二）部门财政资金支出情况。</w:t>
      </w:r>
    </w:p>
    <w:p>
      <w:pPr>
        <w:widowControl/>
        <w:adjustRightInd w:val="0"/>
        <w:snapToGrid w:val="0"/>
        <w:spacing w:line="580" w:lineRule="exact"/>
        <w:ind w:firstLine="660" w:firstLineChars="200"/>
        <w:contextualSpacing/>
        <w:jc w:val="left"/>
        <w:rPr>
          <w:rFonts w:hint="eastAsia" w:ascii="Times New Roman" w:hAnsi="Times New Roman" w:eastAsia="方正仿宋_GBK" w:cs="方正仿宋_GBK"/>
          <w:color w:val="000000"/>
          <w:sz w:val="32"/>
          <w:szCs w:val="32"/>
        </w:rPr>
      </w:pPr>
      <w:r>
        <w:rPr>
          <w:rFonts w:ascii="Times New Roman" w:hAnsi="Times New Roman" w:eastAsia="方正仿宋_GBK" w:cs="Times New Roman"/>
          <w:color w:val="333333"/>
          <w:sz w:val="33"/>
          <w:szCs w:val="33"/>
        </w:rPr>
        <w:t>202</w:t>
      </w:r>
      <w:r>
        <w:rPr>
          <w:rFonts w:hint="eastAsia" w:ascii="Times New Roman" w:hAnsi="Times New Roman" w:eastAsia="方正仿宋_GBK" w:cs="Times New Roman"/>
          <w:color w:val="333333"/>
          <w:sz w:val="33"/>
          <w:szCs w:val="33"/>
          <w:lang w:val="en-US" w:eastAsia="zh-CN"/>
        </w:rPr>
        <w:t>3</w:t>
      </w:r>
      <w:r>
        <w:rPr>
          <w:rFonts w:ascii="Times New Roman" w:hAnsi="Times New Roman" w:eastAsia="方正仿宋_GBK" w:cs="Times New Roman"/>
          <w:color w:val="333333"/>
          <w:sz w:val="33"/>
          <w:szCs w:val="33"/>
        </w:rPr>
        <w:t>年，市</w:t>
      </w:r>
      <w:r>
        <w:rPr>
          <w:rFonts w:hint="eastAsia" w:ascii="Times New Roman" w:hAnsi="Times New Roman" w:eastAsia="方正仿宋_GBK" w:cs="Times New Roman"/>
          <w:color w:val="333333"/>
          <w:sz w:val="33"/>
          <w:szCs w:val="33"/>
        </w:rPr>
        <w:t>金融工作</w:t>
      </w:r>
      <w:r>
        <w:rPr>
          <w:rFonts w:ascii="Times New Roman" w:hAnsi="Times New Roman" w:eastAsia="方正仿宋_GBK" w:cs="Times New Roman"/>
          <w:color w:val="333333"/>
          <w:sz w:val="33"/>
          <w:szCs w:val="33"/>
        </w:rPr>
        <w:t>局部门一般公共预算支出为</w:t>
      </w:r>
      <w:r>
        <w:rPr>
          <w:rFonts w:hint="eastAsia" w:ascii="Times New Roman" w:hAnsi="Times New Roman" w:eastAsia="仿宋"/>
          <w:b/>
          <w:sz w:val="32"/>
          <w:szCs w:val="32"/>
        </w:rPr>
        <w:t>496.5</w:t>
      </w:r>
      <w:r>
        <w:rPr>
          <w:rFonts w:ascii="Times New Roman" w:hAnsi="Times New Roman" w:eastAsia="方正仿宋_GBK" w:cs="Times New Roman"/>
          <w:color w:val="333333"/>
          <w:sz w:val="33"/>
          <w:szCs w:val="33"/>
        </w:rPr>
        <w:t>万元，完成预算</w:t>
      </w:r>
      <w:r>
        <w:rPr>
          <w:rFonts w:hint="eastAsia" w:ascii="Times New Roman" w:hAnsi="Times New Roman" w:eastAsia="方正仿宋_GBK" w:cs="Times New Roman"/>
          <w:color w:val="333333"/>
          <w:sz w:val="33"/>
          <w:szCs w:val="33"/>
          <w:lang w:val="en-US" w:eastAsia="zh-CN"/>
        </w:rPr>
        <w:t>100</w:t>
      </w:r>
      <w:r>
        <w:rPr>
          <w:rFonts w:ascii="Times New Roman" w:hAnsi="Times New Roman" w:eastAsia="方正仿宋_GBK" w:cs="Times New Roman"/>
          <w:color w:val="333333"/>
          <w:sz w:val="33"/>
          <w:szCs w:val="33"/>
        </w:rPr>
        <w:t>%</w:t>
      </w:r>
      <w:r>
        <w:rPr>
          <w:rFonts w:hint="eastAsia" w:ascii="Times New Roman" w:hAnsi="Times New Roman" w:eastAsia="方正仿宋_GBK" w:cs="Times New Roman"/>
          <w:color w:val="333333"/>
          <w:sz w:val="33"/>
          <w:szCs w:val="33"/>
          <w:lang w:eastAsia="zh-CN"/>
        </w:rPr>
        <w:t>。其中：</w:t>
      </w:r>
      <w:r>
        <w:rPr>
          <w:rFonts w:hint="eastAsia" w:ascii="Times New Roman" w:hAnsi="Times New Roman" w:eastAsia="仿宋_GB2312" w:cs="仿宋_GB2312"/>
          <w:kern w:val="2"/>
          <w:sz w:val="32"/>
          <w:szCs w:val="32"/>
          <w:lang w:val="en-US" w:eastAsia="zh-CN"/>
        </w:rPr>
        <w:t>基本支出</w:t>
      </w:r>
      <w:r>
        <w:rPr>
          <w:rFonts w:hint="eastAsia" w:eastAsia="仿宋_GB2312" w:cs="仿宋_GB2312"/>
          <w:kern w:val="2"/>
          <w:sz w:val="32"/>
          <w:szCs w:val="32"/>
          <w:lang w:val="en-US" w:eastAsia="zh-CN"/>
        </w:rPr>
        <w:t>206.46</w:t>
      </w:r>
      <w:r>
        <w:rPr>
          <w:rFonts w:hint="eastAsia" w:ascii="Times New Roman" w:hAnsi="Times New Roman" w:eastAsia="仿宋_GB2312" w:cs="仿宋_GB2312"/>
          <w:kern w:val="2"/>
          <w:sz w:val="32"/>
          <w:szCs w:val="32"/>
          <w:lang w:val="en-US" w:eastAsia="zh-CN"/>
        </w:rPr>
        <w:t>万元，占</w:t>
      </w:r>
      <w:r>
        <w:rPr>
          <w:rFonts w:hint="eastAsia" w:eastAsia="仿宋_GB2312" w:cs="仿宋_GB2312"/>
          <w:kern w:val="2"/>
          <w:sz w:val="32"/>
          <w:szCs w:val="32"/>
          <w:lang w:val="en-US" w:eastAsia="zh-CN"/>
        </w:rPr>
        <w:t>41.58</w:t>
      </w:r>
      <w:r>
        <w:rPr>
          <w:rFonts w:hint="eastAsia" w:ascii="Times New Roman" w:hAnsi="Times New Roman" w:eastAsia="仿宋_GB2312" w:cs="仿宋_GB2312"/>
          <w:kern w:val="2"/>
          <w:sz w:val="32"/>
          <w:szCs w:val="32"/>
          <w:lang w:val="en-US" w:eastAsia="zh-CN"/>
        </w:rPr>
        <w:t>%；项目支出</w:t>
      </w:r>
      <w:r>
        <w:rPr>
          <w:rFonts w:hint="eastAsia" w:eastAsia="仿宋_GB2312" w:cs="仿宋_GB2312"/>
          <w:kern w:val="2"/>
          <w:sz w:val="32"/>
          <w:szCs w:val="32"/>
          <w:lang w:val="en-US" w:eastAsia="zh-CN"/>
        </w:rPr>
        <w:t>290.05</w:t>
      </w:r>
      <w:r>
        <w:rPr>
          <w:rFonts w:hint="eastAsia" w:ascii="Times New Roman" w:hAnsi="Times New Roman" w:eastAsia="仿宋_GB2312" w:cs="仿宋_GB2312"/>
          <w:kern w:val="2"/>
          <w:sz w:val="32"/>
          <w:szCs w:val="32"/>
          <w:lang w:val="en-US" w:eastAsia="zh-CN"/>
        </w:rPr>
        <w:t>万元，占</w:t>
      </w:r>
      <w:r>
        <w:rPr>
          <w:rFonts w:hint="eastAsia" w:eastAsia="仿宋_GB2312" w:cs="仿宋_GB2312"/>
          <w:kern w:val="2"/>
          <w:sz w:val="32"/>
          <w:szCs w:val="32"/>
          <w:lang w:val="en-US" w:eastAsia="zh-CN"/>
        </w:rPr>
        <w:t>58.41</w:t>
      </w:r>
      <w:r>
        <w:rPr>
          <w:rFonts w:hint="eastAsia" w:ascii="Times New Roman" w:hAnsi="Times New Roman" w:eastAsia="仿宋_GB2312" w:cs="仿宋_GB2312"/>
          <w:kern w:val="2"/>
          <w:sz w:val="32"/>
          <w:szCs w:val="32"/>
          <w:lang w:val="en-US" w:eastAsia="zh-CN"/>
        </w:rPr>
        <w:t>%</w:t>
      </w:r>
      <w:r>
        <w:rPr>
          <w:rFonts w:hint="eastAsia" w:ascii="Times New Roman" w:hAnsi="Times New Roman" w:eastAsia="方正仿宋_GBK" w:cs="方正仿宋_GBK"/>
          <w:color w:val="000000"/>
          <w:sz w:val="32"/>
          <w:szCs w:val="32"/>
        </w:rPr>
        <w:t>。</w:t>
      </w:r>
    </w:p>
    <w:p>
      <w:pPr>
        <w:pageBreakBefore w:val="0"/>
        <w:numPr>
          <w:ilvl w:val="0"/>
          <w:numId w:val="2"/>
        </w:numPr>
        <w:kinsoku/>
        <w:overflowPunct/>
        <w:topLinePunct w:val="0"/>
        <w:bidi w:val="0"/>
        <w:spacing w:line="336" w:lineRule="auto"/>
        <w:ind w:left="1360" w:leftChars="0" w:hanging="720" w:firstLineChars="0"/>
        <w:rPr>
          <w:rFonts w:ascii="Times New Roman" w:hAnsi="Times New Roman" w:eastAsia="黑体" w:cs="黑体"/>
          <w:sz w:val="32"/>
          <w:szCs w:val="32"/>
        </w:rPr>
      </w:pPr>
      <w:r>
        <w:rPr>
          <w:rFonts w:ascii="Times New Roman" w:hAnsi="Times New Roman" w:eastAsia="黑体" w:cs="黑体"/>
          <w:sz w:val="32"/>
          <w:szCs w:val="32"/>
        </w:rPr>
        <w:t>部门整体预算绩效管理情况</w:t>
      </w:r>
    </w:p>
    <w:p>
      <w:pPr>
        <w:keepNext w:val="0"/>
        <w:keepLines w:val="0"/>
        <w:pageBreakBefore w:val="0"/>
        <w:widowControl w:val="0"/>
        <w:kinsoku/>
        <w:wordWrap/>
        <w:overflowPunct/>
        <w:topLinePunct/>
        <w:autoSpaceDE/>
        <w:autoSpaceDN/>
        <w:bidi w:val="0"/>
        <w:adjustRightInd/>
        <w:snapToGrid/>
        <w:spacing w:line="590" w:lineRule="exact"/>
        <w:ind w:left="0" w:leftChars="0" w:right="0" w:rightChars="0" w:firstLine="662" w:firstLineChars="200"/>
        <w:jc w:val="both"/>
        <w:textAlignment w:val="top"/>
        <w:outlineLvl w:val="9"/>
        <w:rPr>
          <w:rFonts w:hint="default" w:ascii="方正楷体_GBK" w:hAnsi="方正楷体_GBK" w:eastAsia="方正楷体_GBK" w:cs="方正楷体_GBK"/>
          <w:b/>
          <w:sz w:val="33"/>
          <w:szCs w:val="33"/>
        </w:rPr>
      </w:pPr>
      <w:r>
        <w:rPr>
          <w:rFonts w:hint="default" w:ascii="方正楷体_GBK" w:hAnsi="方正楷体_GBK" w:eastAsia="方正楷体_GBK" w:cs="方正楷体_GBK"/>
          <w:b/>
          <w:sz w:val="33"/>
          <w:szCs w:val="33"/>
        </w:rPr>
        <w:t>（一）</w:t>
      </w:r>
      <w:r>
        <w:rPr>
          <w:rFonts w:hint="eastAsia" w:ascii="方正楷体_GBK" w:hAnsi="方正楷体_GBK" w:eastAsia="方正楷体_GBK" w:cs="方正楷体_GBK"/>
          <w:b/>
          <w:sz w:val="33"/>
          <w:szCs w:val="33"/>
          <w:lang w:eastAsia="zh-CN"/>
        </w:rPr>
        <w:t>部门预算</w:t>
      </w:r>
      <w:r>
        <w:rPr>
          <w:rFonts w:hint="default" w:ascii="方正楷体_GBK" w:hAnsi="方正楷体_GBK" w:eastAsia="方正楷体_GBK" w:cs="方正楷体_GBK"/>
          <w:b/>
          <w:sz w:val="33"/>
          <w:szCs w:val="33"/>
        </w:rPr>
        <w:t>管理。</w:t>
      </w:r>
    </w:p>
    <w:p>
      <w:pPr>
        <w:pStyle w:val="13"/>
        <w:keepNext w:val="0"/>
        <w:keepLines w:val="0"/>
        <w:pageBreakBefore w:val="0"/>
        <w:shd w:val="clear" w:color="auto" w:fill="FFFFFF"/>
        <w:kinsoku/>
        <w:overflowPunct/>
        <w:autoSpaceDE/>
        <w:autoSpaceDN/>
        <w:bidi w:val="0"/>
        <w:spacing w:before="0" w:beforeAutospacing="0" w:after="0" w:afterAutospacing="0" w:line="590" w:lineRule="exact"/>
        <w:ind w:firstLine="660" w:firstLineChars="200"/>
        <w:jc w:val="both"/>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按《预算法》严格执</w:t>
      </w:r>
      <w:r>
        <w:rPr>
          <w:rFonts w:hint="eastAsia" w:ascii="方正仿宋_GBK" w:hAnsi="方正仿宋_GBK" w:eastAsia="方正仿宋_GBK" w:cs="方正仿宋_GBK"/>
          <w:sz w:val="33"/>
          <w:szCs w:val="33"/>
        </w:rPr>
        <w:t>行“先预算、后支出”工</w:t>
      </w:r>
      <w:r>
        <w:rPr>
          <w:rFonts w:hint="default" w:ascii="Times New Roman" w:hAnsi="Times New Roman" w:eastAsia="方正仿宋_GBK" w:cs="Times New Roman"/>
          <w:sz w:val="33"/>
          <w:szCs w:val="33"/>
        </w:rPr>
        <w:t>作要求，严控经费支出，提高资金使用效益。严格执行中期评估工作要求，无取消资金。严格执行节能降耗相关规定，不断加强</w:t>
      </w:r>
      <w:r>
        <w:rPr>
          <w:rFonts w:hint="eastAsia" w:ascii="方正仿宋_GBK" w:hAnsi="方正仿宋_GBK" w:eastAsia="方正仿宋_GBK" w:cs="方正仿宋_GBK"/>
          <w:sz w:val="33"/>
          <w:szCs w:val="33"/>
        </w:rPr>
        <w:t>“三公</w:t>
      </w:r>
      <w:bookmarkStart w:id="68" w:name="_GoBack"/>
      <w:bookmarkEnd w:id="68"/>
      <w:r>
        <w:rPr>
          <w:rFonts w:hint="eastAsia" w:ascii="方正仿宋_GBK" w:hAnsi="方正仿宋_GBK" w:eastAsia="方正仿宋_GBK" w:cs="方正仿宋_GBK"/>
          <w:sz w:val="33"/>
          <w:szCs w:val="33"/>
          <w:lang w:eastAsia="zh-CN"/>
        </w:rPr>
        <w:t>”</w:t>
      </w:r>
      <w:r>
        <w:rPr>
          <w:rFonts w:hint="eastAsia" w:ascii="方正仿宋_GBK" w:hAnsi="方正仿宋_GBK" w:eastAsia="方正仿宋_GBK" w:cs="方正仿宋_GBK"/>
          <w:sz w:val="33"/>
          <w:szCs w:val="33"/>
        </w:rPr>
        <w:t>经费</w:t>
      </w:r>
      <w:r>
        <w:rPr>
          <w:rFonts w:hint="default" w:ascii="Times New Roman" w:hAnsi="Times New Roman" w:eastAsia="方正仿宋_GBK" w:cs="Times New Roman"/>
          <w:sz w:val="33"/>
          <w:szCs w:val="33"/>
        </w:rPr>
        <w:t>管理，压缩支出规模，</w:t>
      </w:r>
      <w:r>
        <w:rPr>
          <w:rFonts w:ascii="Times New Roman" w:hAnsi="Times New Roman" w:eastAsia="方正仿宋_GBK" w:cs="Times New Roman"/>
          <w:color w:val="333333"/>
          <w:sz w:val="33"/>
          <w:szCs w:val="33"/>
        </w:rPr>
        <w:t>202</w:t>
      </w:r>
      <w:r>
        <w:rPr>
          <w:rFonts w:hint="eastAsia" w:ascii="Times New Roman" w:hAnsi="Times New Roman" w:eastAsia="方正仿宋_GBK" w:cs="Times New Roman"/>
          <w:color w:val="333333"/>
          <w:sz w:val="33"/>
          <w:szCs w:val="33"/>
          <w:lang w:val="en-US" w:eastAsia="zh-CN"/>
        </w:rPr>
        <w:t>3</w:t>
      </w:r>
      <w:r>
        <w:rPr>
          <w:rFonts w:ascii="Times New Roman" w:hAnsi="Times New Roman" w:eastAsia="方正仿宋_GBK" w:cs="Times New Roman"/>
          <w:color w:val="333333"/>
          <w:sz w:val="33"/>
          <w:szCs w:val="33"/>
        </w:rPr>
        <w:t>年，</w:t>
      </w:r>
      <w:r>
        <w:rPr>
          <w:rFonts w:hint="eastAsia" w:ascii="Times New Roman" w:hAnsi="Times New Roman" w:eastAsia="方正仿宋_GBK" w:cs="Times New Roman"/>
          <w:color w:val="333333"/>
          <w:sz w:val="33"/>
          <w:szCs w:val="33"/>
        </w:rPr>
        <w:t>市</w:t>
      </w:r>
      <w:r>
        <w:rPr>
          <w:rFonts w:ascii="Times New Roman" w:hAnsi="Times New Roman" w:eastAsia="方正仿宋_GBK" w:cs="Times New Roman"/>
          <w:color w:val="333333"/>
          <w:sz w:val="33"/>
          <w:szCs w:val="33"/>
        </w:rPr>
        <w:t>金融工作局“三公”经费财政拨款支出</w:t>
      </w:r>
      <w:r>
        <w:rPr>
          <w:rFonts w:hint="eastAsia" w:ascii="Times New Roman" w:hAnsi="Times New Roman" w:eastAsia="方正仿宋_GBK" w:cs="Times New Roman"/>
          <w:color w:val="333333"/>
          <w:sz w:val="33"/>
          <w:szCs w:val="33"/>
          <w:lang w:val="en-US" w:eastAsia="zh-CN"/>
        </w:rPr>
        <w:t>1.05</w:t>
      </w:r>
      <w:r>
        <w:rPr>
          <w:rFonts w:ascii="Times New Roman" w:hAnsi="Times New Roman" w:eastAsia="方正仿宋_GBK" w:cs="Times New Roman"/>
          <w:color w:val="333333"/>
          <w:sz w:val="33"/>
          <w:szCs w:val="33"/>
        </w:rPr>
        <w:t>万元，其中：因公出国（境）费支出0万元；公务用车购置及运行维护费支出</w:t>
      </w:r>
      <w:r>
        <w:rPr>
          <w:rFonts w:hint="eastAsia" w:ascii="Times New Roman" w:hAnsi="Times New Roman" w:eastAsia="方正仿宋_GBK" w:cs="Times New Roman"/>
          <w:color w:val="333333"/>
          <w:sz w:val="33"/>
          <w:szCs w:val="33"/>
          <w:lang w:val="en-US" w:eastAsia="zh-CN"/>
        </w:rPr>
        <w:t>0</w:t>
      </w:r>
      <w:r>
        <w:rPr>
          <w:rFonts w:ascii="Times New Roman" w:hAnsi="Times New Roman" w:eastAsia="方正仿宋_GBK" w:cs="Times New Roman"/>
          <w:color w:val="333333"/>
          <w:sz w:val="33"/>
          <w:szCs w:val="33"/>
        </w:rPr>
        <w:t>万元；公务接待费支出</w:t>
      </w:r>
      <w:r>
        <w:rPr>
          <w:rFonts w:hint="eastAsia" w:ascii="Times New Roman" w:hAnsi="Times New Roman" w:eastAsia="方正仿宋_GBK" w:cs="Times New Roman"/>
          <w:color w:val="333333"/>
          <w:sz w:val="33"/>
          <w:szCs w:val="33"/>
          <w:lang w:val="en-US" w:eastAsia="zh-CN"/>
        </w:rPr>
        <w:t>1.05</w:t>
      </w:r>
      <w:r>
        <w:rPr>
          <w:rFonts w:ascii="Times New Roman" w:hAnsi="Times New Roman" w:eastAsia="方正仿宋_GBK" w:cs="Times New Roman"/>
          <w:color w:val="333333"/>
          <w:sz w:val="33"/>
          <w:szCs w:val="33"/>
        </w:rPr>
        <w:t>万元</w:t>
      </w:r>
      <w:r>
        <w:rPr>
          <w:rFonts w:hint="default" w:ascii="Times New Roman" w:hAnsi="Times New Roman" w:eastAsia="方正仿宋_GBK" w:cs="Times New Roman"/>
          <w:sz w:val="33"/>
          <w:szCs w:val="33"/>
        </w:rPr>
        <w:t>。</w:t>
      </w:r>
    </w:p>
    <w:p>
      <w:pPr>
        <w:keepNext w:val="0"/>
        <w:keepLines w:val="0"/>
        <w:pageBreakBefore w:val="0"/>
        <w:widowControl w:val="0"/>
        <w:kinsoku/>
        <w:wordWrap/>
        <w:overflowPunct/>
        <w:topLinePunct/>
        <w:autoSpaceDE/>
        <w:autoSpaceDN/>
        <w:bidi w:val="0"/>
        <w:adjustRightInd/>
        <w:snapToGrid/>
        <w:spacing w:line="590" w:lineRule="exact"/>
        <w:ind w:left="0" w:leftChars="0" w:right="0" w:rightChars="0" w:firstLine="662" w:firstLineChars="200"/>
        <w:jc w:val="both"/>
        <w:textAlignment w:val="top"/>
        <w:outlineLvl w:val="9"/>
        <w:rPr>
          <w:rFonts w:hint="default" w:ascii="方正楷体_GBK" w:hAnsi="方正楷体_GBK" w:eastAsia="方正楷体_GBK" w:cs="方正楷体_GBK"/>
          <w:b/>
          <w:sz w:val="33"/>
          <w:szCs w:val="33"/>
          <w:highlight w:val="none"/>
        </w:rPr>
      </w:pPr>
      <w:r>
        <w:rPr>
          <w:rFonts w:hint="default" w:ascii="方正楷体_GBK" w:hAnsi="方正楷体_GBK" w:eastAsia="方正楷体_GBK" w:cs="方正楷体_GBK"/>
          <w:b/>
          <w:sz w:val="33"/>
          <w:szCs w:val="33"/>
          <w:highlight w:val="none"/>
        </w:rPr>
        <w:t>（</w:t>
      </w:r>
      <w:r>
        <w:rPr>
          <w:rFonts w:hint="default" w:ascii="方正楷体_GBK" w:hAnsi="方正楷体_GBK" w:eastAsia="方正楷体_GBK" w:cs="方正楷体_GBK"/>
          <w:b/>
          <w:sz w:val="33"/>
          <w:szCs w:val="33"/>
          <w:highlight w:val="none"/>
          <w:lang w:eastAsia="zh-CN"/>
        </w:rPr>
        <w:t>二</w:t>
      </w:r>
      <w:r>
        <w:rPr>
          <w:rFonts w:hint="default" w:ascii="方正楷体_GBK" w:hAnsi="方正楷体_GBK" w:eastAsia="方正楷体_GBK" w:cs="方正楷体_GBK"/>
          <w:b/>
          <w:sz w:val="33"/>
          <w:szCs w:val="33"/>
          <w:highlight w:val="none"/>
        </w:rPr>
        <w:t>）</w:t>
      </w:r>
      <w:r>
        <w:rPr>
          <w:rFonts w:hint="eastAsia" w:ascii="方正楷体_GBK" w:hAnsi="方正楷体_GBK" w:eastAsia="方正楷体_GBK" w:cs="方正楷体_GBK"/>
          <w:b/>
          <w:sz w:val="33"/>
          <w:szCs w:val="33"/>
          <w:highlight w:val="none"/>
          <w:lang w:eastAsia="zh-CN"/>
        </w:rPr>
        <w:t>项目预算</w:t>
      </w:r>
      <w:r>
        <w:rPr>
          <w:rFonts w:hint="default" w:ascii="方正楷体_GBK" w:hAnsi="方正楷体_GBK" w:eastAsia="方正楷体_GBK" w:cs="方正楷体_GBK"/>
          <w:b/>
          <w:sz w:val="33"/>
          <w:szCs w:val="33"/>
          <w:highlight w:val="none"/>
        </w:rPr>
        <w:t>管理。</w:t>
      </w:r>
    </w:p>
    <w:p>
      <w:pPr>
        <w:keepNext w:val="0"/>
        <w:keepLines w:val="0"/>
        <w:pageBreakBefore w:val="0"/>
        <w:widowControl w:val="0"/>
        <w:kinsoku/>
        <w:wordWrap/>
        <w:overflowPunct/>
        <w:topLinePunct/>
        <w:autoSpaceDE/>
        <w:autoSpaceDN/>
        <w:bidi w:val="0"/>
        <w:adjustRightInd/>
        <w:snapToGrid/>
        <w:spacing w:line="590" w:lineRule="exact"/>
        <w:ind w:left="0" w:leftChars="0" w:right="0" w:rightChars="0" w:firstLine="660" w:firstLineChars="200"/>
        <w:jc w:val="both"/>
        <w:textAlignment w:val="top"/>
        <w:outlineLvl w:val="9"/>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严格执行政府性债务管理相关规定，做好政府性债务还本付息工作，未增加政府性债务。严格按照相关政策编制和执行采购计划，不随意增项、减项、调整金额，确保采购计划与政府采购预算相一致、采购行为依法合规。严格管理部门资产，按照相关规定建立资产台账，录入资产信息系统管理，按要求及时、准确、全面开展资产清查工作，并根据实际情况及时调整，确保上报的国有资产报表数据真实、准确、全面。不断完善内部控制制度，确保各项工作依法有序开展。依法进行信息公开，及时对预算、决算、绩效等重大事项进行公开公示，主动接受社会监督。及时开展整体绩效评价，按要求对资金使用情况进行绩效评价，全面评价实施的项目，及时报送评价报告，依法接受财政监督。针对评价发现的问题制定针对性整改措施，及时整改落实到位。</w:t>
      </w:r>
    </w:p>
    <w:p>
      <w:pPr>
        <w:keepNext w:val="0"/>
        <w:keepLines w:val="0"/>
        <w:pageBreakBefore w:val="0"/>
        <w:widowControl w:val="0"/>
        <w:numPr>
          <w:ilvl w:val="0"/>
          <w:numId w:val="6"/>
        </w:numPr>
        <w:kinsoku/>
        <w:wordWrap/>
        <w:overflowPunct/>
        <w:topLinePunct/>
        <w:autoSpaceDE/>
        <w:autoSpaceDN/>
        <w:bidi w:val="0"/>
        <w:adjustRightInd/>
        <w:snapToGrid/>
        <w:spacing w:line="590" w:lineRule="exact"/>
        <w:ind w:left="0" w:leftChars="0" w:right="0" w:rightChars="0" w:firstLine="662" w:firstLineChars="200"/>
        <w:jc w:val="both"/>
        <w:textAlignment w:val="top"/>
        <w:outlineLvl w:val="9"/>
        <w:rPr>
          <w:rFonts w:hint="default" w:ascii="方正楷体_GBK" w:hAnsi="方正楷体_GBK" w:eastAsia="方正楷体_GBK" w:cs="方正楷体_GBK"/>
          <w:b/>
          <w:sz w:val="33"/>
          <w:szCs w:val="33"/>
          <w:highlight w:val="none"/>
        </w:rPr>
      </w:pPr>
      <w:r>
        <w:rPr>
          <w:rFonts w:hint="eastAsia" w:ascii="方正楷体_GBK" w:hAnsi="方正楷体_GBK" w:eastAsia="方正楷体_GBK" w:cs="方正楷体_GBK"/>
          <w:b/>
          <w:sz w:val="33"/>
          <w:szCs w:val="33"/>
          <w:highlight w:val="none"/>
          <w:lang w:eastAsia="zh-CN"/>
        </w:rPr>
        <w:t>结果应用情况</w:t>
      </w:r>
      <w:r>
        <w:rPr>
          <w:rFonts w:hint="default" w:ascii="方正楷体_GBK" w:hAnsi="方正楷体_GBK" w:eastAsia="方正楷体_GBK" w:cs="方正楷体_GBK"/>
          <w:b/>
          <w:sz w:val="33"/>
          <w:szCs w:val="33"/>
          <w:highlight w:val="none"/>
        </w:rPr>
        <w:t>。</w:t>
      </w:r>
    </w:p>
    <w:p>
      <w:pPr>
        <w:keepNext w:val="0"/>
        <w:keepLines w:val="0"/>
        <w:pageBreakBefore w:val="0"/>
        <w:widowControl w:val="0"/>
        <w:numPr>
          <w:ilvl w:val="0"/>
          <w:numId w:val="0"/>
        </w:numPr>
        <w:kinsoku/>
        <w:wordWrap/>
        <w:overflowPunct/>
        <w:topLinePunct/>
        <w:autoSpaceDE/>
        <w:autoSpaceDN/>
        <w:bidi w:val="0"/>
        <w:adjustRightInd/>
        <w:snapToGrid/>
        <w:spacing w:line="590" w:lineRule="exact"/>
        <w:ind w:right="0" w:rightChars="0"/>
        <w:jc w:val="both"/>
        <w:textAlignment w:val="top"/>
        <w:outlineLvl w:val="9"/>
        <w:rPr>
          <w:rFonts w:hint="eastAsia" w:ascii="方正仿宋_GBK" w:hAnsi="方正仿宋_GBK" w:eastAsia="方正仿宋_GBK" w:cs="方正仿宋_GBK"/>
          <w:b/>
          <w:sz w:val="33"/>
          <w:szCs w:val="33"/>
          <w:highlight w:val="none"/>
          <w:lang w:val="en-US" w:eastAsia="zh-CN"/>
        </w:rPr>
      </w:pPr>
      <w:r>
        <w:rPr>
          <w:rFonts w:hint="eastAsia" w:ascii="方正仿宋_GBK" w:hAnsi="方正仿宋_GBK" w:eastAsia="方正仿宋_GBK" w:cs="方正仿宋_GBK"/>
          <w:b/>
          <w:sz w:val="33"/>
          <w:szCs w:val="33"/>
          <w:highlight w:val="none"/>
          <w:lang w:val="en-US" w:eastAsia="zh-CN"/>
        </w:rPr>
        <w:t xml:space="preserve">  </w:t>
      </w:r>
      <w:r>
        <w:rPr>
          <w:rFonts w:hint="eastAsia" w:ascii="方正仿宋_GBK" w:hAnsi="方正仿宋_GBK" w:eastAsia="方正仿宋_GBK" w:cs="方正仿宋_GBK"/>
          <w:b w:val="0"/>
          <w:bCs/>
          <w:sz w:val="33"/>
          <w:szCs w:val="33"/>
          <w:highlight w:val="none"/>
          <w:lang w:val="en-US" w:eastAsia="zh-CN"/>
        </w:rPr>
        <w:t xml:space="preserve">  及时按照评估结果，做好了预算调整和预算执行。</w:t>
      </w:r>
    </w:p>
    <w:p>
      <w:pPr>
        <w:pageBreakBefore w:val="0"/>
        <w:kinsoku/>
        <w:overflowPunct/>
        <w:topLinePunct w:val="0"/>
        <w:bidi w:val="0"/>
        <w:spacing w:line="336" w:lineRule="auto"/>
        <w:ind w:firstLine="640" w:firstLineChars="200"/>
        <w:rPr>
          <w:rFonts w:ascii="Times New Roman" w:hAnsi="Times New Roman" w:eastAsia="黑体" w:cs="黑体"/>
          <w:sz w:val="32"/>
          <w:szCs w:val="32"/>
          <w:highlight w:val="none"/>
        </w:rPr>
      </w:pPr>
      <w:r>
        <w:rPr>
          <w:rFonts w:ascii="Times New Roman" w:hAnsi="Times New Roman" w:eastAsia="黑体" w:cs="黑体"/>
          <w:sz w:val="32"/>
          <w:szCs w:val="32"/>
          <w:highlight w:val="none"/>
        </w:rPr>
        <w:t>四、评价结论及建议</w:t>
      </w:r>
    </w:p>
    <w:p>
      <w:pPr>
        <w:keepNext w:val="0"/>
        <w:keepLines w:val="0"/>
        <w:pageBreakBefore w:val="0"/>
        <w:widowControl w:val="0"/>
        <w:kinsoku/>
        <w:wordWrap/>
        <w:overflowPunct/>
        <w:topLinePunct/>
        <w:autoSpaceDE/>
        <w:autoSpaceDN/>
        <w:bidi w:val="0"/>
        <w:adjustRightInd/>
        <w:snapToGrid/>
        <w:spacing w:line="590" w:lineRule="exact"/>
        <w:ind w:left="0" w:leftChars="0" w:right="0" w:rightChars="0" w:firstLine="662" w:firstLineChars="200"/>
        <w:jc w:val="both"/>
        <w:textAlignment w:val="top"/>
        <w:outlineLvl w:val="9"/>
        <w:rPr>
          <w:rFonts w:hint="default" w:ascii="方正楷体_GBK" w:hAnsi="方正楷体_GBK" w:eastAsia="方正楷体_GBK" w:cs="方正楷体_GBK"/>
          <w:b/>
          <w:sz w:val="33"/>
          <w:szCs w:val="33"/>
          <w:highlight w:val="none"/>
        </w:rPr>
      </w:pPr>
      <w:r>
        <w:rPr>
          <w:rFonts w:hint="default" w:ascii="方正楷体_GBK" w:hAnsi="方正楷体_GBK" w:eastAsia="方正楷体_GBK" w:cs="方正楷体_GBK"/>
          <w:b/>
          <w:sz w:val="33"/>
          <w:szCs w:val="33"/>
          <w:highlight w:val="none"/>
        </w:rPr>
        <w:t>（一）评价结论。</w:t>
      </w:r>
    </w:p>
    <w:p>
      <w:pPr>
        <w:keepNext w:val="0"/>
        <w:keepLines w:val="0"/>
        <w:pageBreakBefore w:val="0"/>
        <w:widowControl w:val="0"/>
        <w:kinsoku/>
        <w:wordWrap/>
        <w:overflowPunct/>
        <w:topLinePunct/>
        <w:autoSpaceDE/>
        <w:autoSpaceDN/>
        <w:bidi w:val="0"/>
        <w:adjustRightInd/>
        <w:snapToGrid/>
        <w:spacing w:line="590" w:lineRule="exact"/>
        <w:ind w:left="0" w:leftChars="0" w:right="0" w:rightChars="0" w:firstLine="660" w:firstLineChars="200"/>
        <w:jc w:val="both"/>
        <w:textAlignment w:val="top"/>
        <w:outlineLvl w:val="9"/>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严格执行了预算管理相关政策规定，部门整体支出绩效较好，达到预期效果，项目实施效果突出，为广安经济社会发展做出了</w:t>
      </w:r>
      <w:r>
        <w:rPr>
          <w:rFonts w:hint="default" w:ascii="Times New Roman" w:hAnsi="Times New Roman" w:eastAsia="方正仿宋_GBK" w:cs="Times New Roman"/>
          <w:sz w:val="33"/>
          <w:szCs w:val="33"/>
          <w:highlight w:val="none"/>
          <w:lang w:eastAsia="zh-CN"/>
        </w:rPr>
        <w:t>有力</w:t>
      </w:r>
      <w:r>
        <w:rPr>
          <w:rFonts w:hint="default" w:ascii="Times New Roman" w:hAnsi="Times New Roman" w:eastAsia="方正仿宋_GBK" w:cs="Times New Roman"/>
          <w:sz w:val="33"/>
          <w:szCs w:val="33"/>
          <w:highlight w:val="none"/>
        </w:rPr>
        <w:t>贡献。</w:t>
      </w:r>
    </w:p>
    <w:p>
      <w:pPr>
        <w:keepNext w:val="0"/>
        <w:keepLines w:val="0"/>
        <w:pageBreakBefore w:val="0"/>
        <w:widowControl w:val="0"/>
        <w:numPr>
          <w:ilvl w:val="0"/>
          <w:numId w:val="7"/>
        </w:numPr>
        <w:kinsoku/>
        <w:wordWrap/>
        <w:overflowPunct/>
        <w:topLinePunct/>
        <w:autoSpaceDE/>
        <w:autoSpaceDN/>
        <w:bidi w:val="0"/>
        <w:adjustRightInd/>
        <w:snapToGrid/>
        <w:spacing w:line="590" w:lineRule="exact"/>
        <w:ind w:left="0" w:leftChars="0" w:right="0" w:rightChars="0" w:firstLine="662" w:firstLineChars="200"/>
        <w:jc w:val="both"/>
        <w:textAlignment w:val="top"/>
        <w:outlineLvl w:val="9"/>
        <w:rPr>
          <w:rFonts w:hint="eastAsia" w:ascii="方正楷体_GBK" w:hAnsi="方正楷体_GBK" w:eastAsia="方正楷体_GBK" w:cs="方正楷体_GBK"/>
          <w:b/>
          <w:bCs w:val="0"/>
          <w:sz w:val="33"/>
          <w:szCs w:val="33"/>
          <w:highlight w:val="none"/>
          <w:lang w:eastAsia="zh-CN"/>
        </w:rPr>
      </w:pPr>
      <w:r>
        <w:rPr>
          <w:rFonts w:hint="eastAsia" w:ascii="方正楷体_GBK" w:hAnsi="方正楷体_GBK" w:eastAsia="方正楷体_GBK" w:cs="方正楷体_GBK"/>
          <w:b/>
          <w:bCs w:val="0"/>
          <w:sz w:val="33"/>
          <w:szCs w:val="33"/>
          <w:highlight w:val="none"/>
          <w:lang w:eastAsia="zh-CN"/>
        </w:rPr>
        <w:t>存在问题。</w:t>
      </w:r>
    </w:p>
    <w:p>
      <w:pPr>
        <w:keepNext w:val="0"/>
        <w:keepLines w:val="0"/>
        <w:pageBreakBefore w:val="0"/>
        <w:widowControl w:val="0"/>
        <w:kinsoku/>
        <w:wordWrap/>
        <w:overflowPunct/>
        <w:topLinePunct/>
        <w:autoSpaceDE/>
        <w:autoSpaceDN/>
        <w:bidi w:val="0"/>
        <w:adjustRightInd/>
        <w:snapToGrid/>
        <w:spacing w:line="590" w:lineRule="exact"/>
        <w:ind w:left="0" w:leftChars="0" w:right="0" w:rightChars="0" w:firstLine="660" w:firstLineChars="200"/>
        <w:jc w:val="both"/>
        <w:textAlignment w:val="top"/>
        <w:outlineLvl w:val="9"/>
        <w:rPr>
          <w:rFonts w:hint="eastAsia" w:ascii="方正楷体_GBK" w:hAnsi="方正楷体_GBK" w:eastAsia="方正楷体_GBK" w:cs="方正楷体_GBK"/>
          <w:b/>
          <w:bCs w:val="0"/>
          <w:sz w:val="33"/>
          <w:szCs w:val="33"/>
          <w:highlight w:val="none"/>
          <w:lang w:eastAsia="zh-CN"/>
        </w:rPr>
      </w:pPr>
      <w:r>
        <w:rPr>
          <w:rFonts w:hint="eastAsia" w:ascii="Times New Roman" w:hAnsi="Times New Roman" w:eastAsia="方正仿宋_GBK" w:cs="Times New Roman"/>
          <w:sz w:val="33"/>
          <w:szCs w:val="33"/>
          <w:highlight w:val="none"/>
          <w:lang w:eastAsia="zh-CN"/>
        </w:rPr>
        <w:t>预算编制不够准确、全面，具体科目需开支金额预算还有偏差，受疫情影响，部分科目预算资金开支进度较慢</w:t>
      </w:r>
      <w:r>
        <w:rPr>
          <w:rFonts w:hint="default" w:ascii="Times New Roman" w:hAnsi="Times New Roman" w:eastAsia="方正仿宋_GBK" w:cs="Times New Roman"/>
          <w:sz w:val="33"/>
          <w:szCs w:val="33"/>
          <w:highlight w:val="none"/>
        </w:rPr>
        <w:t>。</w:t>
      </w:r>
    </w:p>
    <w:p>
      <w:pPr>
        <w:keepNext w:val="0"/>
        <w:keepLines w:val="0"/>
        <w:pageBreakBefore w:val="0"/>
        <w:widowControl/>
        <w:kinsoku/>
        <w:overflowPunct/>
        <w:autoSpaceDE/>
        <w:autoSpaceDN/>
        <w:bidi w:val="0"/>
        <w:adjustRightInd w:val="0"/>
        <w:snapToGrid w:val="0"/>
        <w:spacing w:line="590" w:lineRule="exact"/>
        <w:ind w:firstLine="662" w:firstLineChars="200"/>
        <w:contextualSpacing/>
        <w:jc w:val="left"/>
        <w:rPr>
          <w:rFonts w:hint="eastAsia" w:ascii="方正楷体_GBK" w:hAnsi="方正楷体_GBK" w:eastAsia="方正楷体_GBK" w:cs="方正楷体_GBK"/>
          <w:b/>
          <w:bCs/>
          <w:color w:val="000000"/>
          <w:kern w:val="0"/>
          <w:sz w:val="33"/>
          <w:szCs w:val="33"/>
          <w:highlight w:val="none"/>
          <w:shd w:val="clear" w:color="auto" w:fill="FFFFFF"/>
          <w:lang w:val="zh-CN"/>
        </w:rPr>
      </w:pPr>
      <w:r>
        <w:rPr>
          <w:rFonts w:hint="eastAsia" w:ascii="方正楷体_GBK" w:hAnsi="方正楷体_GBK" w:eastAsia="方正楷体_GBK" w:cs="方正楷体_GBK"/>
          <w:b/>
          <w:bCs/>
          <w:color w:val="000000"/>
          <w:kern w:val="0"/>
          <w:sz w:val="33"/>
          <w:szCs w:val="33"/>
          <w:highlight w:val="none"/>
          <w:shd w:val="clear" w:color="auto" w:fill="FFFFFF"/>
          <w:lang w:val="zh-CN"/>
        </w:rPr>
        <w:t>（三）改进建议。</w:t>
      </w:r>
    </w:p>
    <w:p>
      <w:pPr>
        <w:spacing w:line="580" w:lineRule="exact"/>
        <w:rPr>
          <w:rFonts w:hint="default" w:ascii="Times New Roman" w:hAnsi="Times New Roman" w:eastAsia="方正仿宋_GBK" w:cs="Times New Roman"/>
          <w:sz w:val="33"/>
          <w:szCs w:val="33"/>
          <w:highlight w:val="none"/>
        </w:rPr>
      </w:pPr>
      <w:r>
        <w:rPr>
          <w:rFonts w:hint="eastAsia" w:eastAsia="方正仿宋_GBK" w:cs="Times New Roman"/>
          <w:sz w:val="33"/>
          <w:szCs w:val="33"/>
          <w:highlight w:val="none"/>
          <w:lang w:val="en-US" w:eastAsia="zh-CN"/>
        </w:rPr>
        <w:t xml:space="preserve">    </w:t>
      </w:r>
      <w:r>
        <w:rPr>
          <w:rFonts w:hint="default" w:ascii="Times New Roman" w:hAnsi="Times New Roman" w:eastAsia="方正仿宋_GBK" w:cs="Times New Roman"/>
          <w:sz w:val="33"/>
          <w:szCs w:val="33"/>
          <w:highlight w:val="none"/>
        </w:rPr>
        <w:t>加强项目实施管理，提前做好项目实施情况预判，力争做到预算与支出时间节点统一，减少年初、年末财政拨款结转和结余。</w:t>
      </w:r>
    </w:p>
    <w:p>
      <w:pPr>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br w:type="page"/>
      </w:r>
    </w:p>
    <w:p>
      <w:pPr>
        <w:pStyle w:val="2"/>
        <w:rPr>
          <w:rFonts w:hint="default" w:ascii="Times New Roman" w:hAnsi="Times New Roman" w:eastAsia="方正仿宋_GBK" w:cs="Times New Roman"/>
          <w:sz w:val="33"/>
          <w:szCs w:val="33"/>
          <w:highlight w:val="none"/>
        </w:rPr>
      </w:pPr>
    </w:p>
    <w:p>
      <w:pPr>
        <w:keepNext w:val="0"/>
        <w:keepLines w:val="0"/>
        <w:pageBreakBefore w:val="0"/>
        <w:widowControl w:val="0"/>
        <w:kinsoku/>
        <w:wordWrap/>
        <w:overflowPunct/>
        <w:topLinePunct w:val="0"/>
        <w:autoSpaceDE/>
        <w:autoSpaceDN/>
        <w:bidi w:val="0"/>
        <w:adjustRightInd/>
        <w:snapToGrid w:val="0"/>
        <w:spacing w:line="592" w:lineRule="exact"/>
        <w:jc w:val="center"/>
        <w:textAlignment w:val="auto"/>
        <w:outlineLvl w:val="0"/>
        <w:rPr>
          <w:rFonts w:hint="eastAsia" w:ascii="Times New Roman" w:hAnsi="Times New Roman"/>
          <w:sz w:val="32"/>
          <w:szCs w:val="32"/>
        </w:rPr>
      </w:pPr>
      <w:r>
        <w:rPr>
          <w:rFonts w:hint="eastAsia" w:ascii="Times New Roman" w:hAnsi="Times New Roman"/>
          <w:sz w:val="32"/>
          <w:szCs w:val="32"/>
          <w:highlight w:val="none"/>
        </w:rPr>
        <w:t>部门预算项目支出绩效自评表（2023年度</w:t>
      </w:r>
      <w:r>
        <w:rPr>
          <w:rFonts w:hint="eastAsia" w:ascii="Times New Roman" w:hAnsi="Times New Roman"/>
          <w:sz w:val="32"/>
          <w:szCs w:val="32"/>
        </w:rPr>
        <w:t>）</w:t>
      </w:r>
    </w:p>
    <w:tbl>
      <w:tblPr>
        <w:tblStyle w:val="15"/>
        <w:tblW w:w="104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1005"/>
        <w:gridCol w:w="975"/>
        <w:gridCol w:w="1260"/>
        <w:gridCol w:w="645"/>
        <w:gridCol w:w="600"/>
        <w:gridCol w:w="720"/>
        <w:gridCol w:w="1020"/>
        <w:gridCol w:w="660"/>
        <w:gridCol w:w="792"/>
        <w:gridCol w:w="2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7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51160021T000000095274-金融服务中心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2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广安市金融工作局部门</w:t>
            </w:r>
          </w:p>
        </w:tc>
        <w:tc>
          <w:tcPr>
            <w:tcW w:w="1020"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黑体" w:hAnsi="黑体" w:eastAsia="黑体" w:cs="黑体"/>
                <w:i w:val="0"/>
                <w:iCs w:val="0"/>
                <w:color w:val="000000"/>
                <w:sz w:val="18"/>
                <w:szCs w:val="18"/>
                <w:u w:val="none"/>
              </w:rPr>
            </w:pPr>
            <w:r>
              <w:rPr>
                <w:rFonts w:hint="default" w:ascii="黑体" w:hAnsi="黑体" w:eastAsia="黑体" w:cs="黑体"/>
                <w:i w:val="0"/>
                <w:iCs w:val="0"/>
                <w:color w:val="000000"/>
                <w:kern w:val="0"/>
                <w:sz w:val="18"/>
                <w:szCs w:val="18"/>
                <w:u w:val="none"/>
                <w:lang w:val="en-US" w:eastAsia="zh-CN" w:bidi="ar"/>
              </w:rPr>
              <w:t xml:space="preserve">实施单位 </w:t>
            </w:r>
          </w:p>
        </w:tc>
        <w:tc>
          <w:tcPr>
            <w:tcW w:w="3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广安市金融工作局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2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黑体" w:hAnsi="黑体" w:eastAsia="黑体" w:cs="黑体"/>
                <w:i w:val="0"/>
                <w:iCs w:val="0"/>
                <w:color w:val="000000"/>
                <w:sz w:val="18"/>
                <w:szCs w:val="18"/>
                <w:u w:val="none"/>
              </w:rPr>
            </w:pPr>
            <w:r>
              <w:rPr>
                <w:rFonts w:hint="default"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c>
          <w:tcPr>
            <w:tcW w:w="42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开展融资对接活动6次，开展融资专题培训4次，促进银企业交流对接，提高企业融资获得率。</w:t>
            </w:r>
          </w:p>
        </w:tc>
        <w:tc>
          <w:tcPr>
            <w:tcW w:w="45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分行业、分地区举办专场融资对接活动10余次，促成200余个项目（企业）与金融机构达成融资意向协议，开展融资专题培训4次，直接融资培训1次，促进银企交流。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5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6"/>
                <w:szCs w:val="16"/>
                <w:u w:val="none"/>
                <w:lang w:val="en-US" w:eastAsia="zh-CN" w:bidi="ar"/>
              </w:rPr>
              <w:t>年度预算数</w:t>
            </w:r>
            <w:r>
              <w:rPr>
                <w:rFonts w:ascii="宋体" w:hAnsi="宋体" w:eastAsia="宋体" w:cs="宋体"/>
                <w:i w:val="0"/>
                <w:iCs w:val="0"/>
                <w:color w:val="000000"/>
                <w:kern w:val="0"/>
                <w:sz w:val="15"/>
                <w:szCs w:val="15"/>
                <w:u w:val="none"/>
                <w:lang w:val="en-US" w:eastAsia="zh-CN" w:bidi="ar"/>
              </w:rPr>
              <w:t>（万元）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26.36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87.87%</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8.78</w:t>
            </w:r>
          </w:p>
        </w:tc>
        <w:tc>
          <w:tcPr>
            <w:tcW w:w="20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黑体" w:hAnsi="黑体" w:eastAsia="黑体" w:cs="黑体"/>
                <w:i/>
                <w:iCs/>
                <w:color w:val="000000"/>
                <w:sz w:val="18"/>
                <w:szCs w:val="18"/>
                <w:u w:val="none"/>
                <w:lang w:val="en-US" w:eastAsia="zh-CN"/>
              </w:rPr>
            </w:pPr>
            <w:r>
              <w:rPr>
                <w:rFonts w:hint="eastAsia" w:ascii="黑体" w:hAnsi="黑体" w:eastAsia="黑体" w:cs="黑体"/>
                <w:i/>
                <w:iCs/>
                <w:color w:val="000000"/>
                <w:sz w:val="18"/>
                <w:szCs w:val="18"/>
                <w:u w:val="none"/>
                <w:lang w:val="en-US" w:eastAsia="zh-CN"/>
              </w:rPr>
              <w:t>落实过紧日子要求，严控融资会议和培训的各项开支，导致项目资金尚有结余。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26.36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87.87%</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rPr>
                <w:rFonts w:hint="default"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rPr>
                <w:rFonts w:hint="default"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rPr>
                <w:rFonts w:hint="default"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微软雅黑" w:hAnsi="微软雅黑" w:eastAsia="微软雅黑" w:cs="微软雅黑"/>
                <w:i/>
                <w:iCs/>
                <w:color w:val="000000"/>
                <w:sz w:val="16"/>
                <w:szCs w:val="16"/>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微软雅黑" w:hAnsi="微软雅黑" w:eastAsia="微软雅黑" w:cs="微软雅黑"/>
                <w:i/>
                <w:iCs/>
                <w:color w:val="000000"/>
                <w:sz w:val="16"/>
                <w:szCs w:val="16"/>
                <w:u w:val="none"/>
              </w:rPr>
            </w:pP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微软雅黑" w:hAnsi="微软雅黑" w:eastAsia="微软雅黑" w:cs="微软雅黑"/>
                <w:i/>
                <w:iCs/>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微软雅黑" w:hAnsi="微软雅黑" w:eastAsia="微软雅黑" w:cs="微软雅黑"/>
                <w:i/>
                <w:iCs/>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rPr>
                <w:rFonts w:hint="default"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印刷融资对接资料次数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参加融资对接银行业金融机构家数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融资对接次数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参与融资对接企业户数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40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印刷融资对接资料合格率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企业融资获得金额</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亿元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15</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融资对接率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15</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金融机构满意度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8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98.7</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7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微软雅黑" w:hAnsi="微软雅黑" w:eastAsia="微软雅黑" w:cs="微软雅黑"/>
                <w:i/>
                <w:iCs/>
                <w:color w:val="000000"/>
                <w:sz w:val="16"/>
                <w:szCs w:val="16"/>
                <w:u w:val="none"/>
                <w:lang w:val="en-US"/>
              </w:rPr>
            </w:pPr>
            <w:r>
              <w:rPr>
                <w:rFonts w:hint="default" w:ascii="微软雅黑" w:hAnsi="微软雅黑" w:eastAsia="微软雅黑" w:cs="微软雅黑"/>
                <w:i/>
                <w:iCs/>
                <w:color w:val="000000"/>
                <w:kern w:val="0"/>
                <w:sz w:val="16"/>
                <w:szCs w:val="16"/>
                <w:u w:val="none"/>
                <w:lang w:val="en-US" w:eastAsia="zh-CN" w:bidi="ar"/>
              </w:rPr>
              <w:t>项目自评</w:t>
            </w:r>
            <w:r>
              <w:rPr>
                <w:rFonts w:hint="eastAsia" w:ascii="微软雅黑" w:hAnsi="微软雅黑" w:eastAsia="微软雅黑" w:cs="微软雅黑"/>
                <w:i/>
                <w:iCs/>
                <w:color w:val="000000"/>
                <w:kern w:val="0"/>
                <w:sz w:val="16"/>
                <w:szCs w:val="16"/>
                <w:u w:val="none"/>
                <w:lang w:val="en-US" w:eastAsia="zh-CN" w:bidi="ar"/>
              </w:rPr>
              <w:t xml:space="preserve">得分98.78分， 达到了项目的预期目标，最大限度引导金融机构加大对实体企业的信贷支持力度，在经济下行的巨大压力下，让企业获得了宝贵的信贷资源用于生产经营，有效组织银行业金融机构发挥了经济血液的供应的作用。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7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微软雅黑" w:hAnsi="微软雅黑" w:eastAsia="微软雅黑" w:cs="微软雅黑"/>
                <w:i/>
                <w:iCs/>
                <w:color w:val="000000"/>
                <w:sz w:val="16"/>
                <w:szCs w:val="16"/>
                <w:u w:val="none"/>
                <w:lang w:val="en-US"/>
              </w:rPr>
            </w:pPr>
            <w:r>
              <w:rPr>
                <w:rFonts w:hint="eastAsia" w:ascii="微软雅黑" w:hAnsi="微软雅黑" w:eastAsia="微软雅黑" w:cs="微软雅黑"/>
                <w:i/>
                <w:iCs/>
                <w:color w:val="000000"/>
                <w:kern w:val="0"/>
                <w:sz w:val="16"/>
                <w:szCs w:val="16"/>
                <w:u w:val="none"/>
                <w:lang w:val="en-US" w:eastAsia="zh-CN" w:bidi="ar"/>
              </w:rPr>
              <w:t>融资企业参与范围不够广，参与积极性不够强，融资对接主要集中在加大的企业，对小微企业的融资需求掌握不够精准，对接不多。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7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微软雅黑" w:hAnsi="微软雅黑" w:eastAsia="微软雅黑" w:cs="微软雅黑"/>
                <w:i/>
                <w:iCs/>
                <w:color w:val="000000"/>
                <w:sz w:val="16"/>
                <w:szCs w:val="16"/>
                <w:u w:val="none"/>
                <w:lang w:val="en-US"/>
              </w:rPr>
            </w:pPr>
            <w:r>
              <w:rPr>
                <w:rFonts w:hint="eastAsia" w:ascii="微软雅黑" w:hAnsi="微软雅黑" w:eastAsia="微软雅黑" w:cs="微软雅黑"/>
                <w:i/>
                <w:iCs/>
                <w:color w:val="000000"/>
                <w:kern w:val="0"/>
                <w:sz w:val="16"/>
                <w:szCs w:val="16"/>
                <w:u w:val="none"/>
                <w:lang w:val="en-US" w:eastAsia="zh-CN" w:bidi="ar"/>
              </w:rPr>
              <w:t>加大对小微企业和个体工商户的关注力度，积极走访小微企业和个体工商户，进一步掌握他们的融资需求，想办法满足其合理融资需求。</w:t>
            </w:r>
          </w:p>
        </w:tc>
      </w:tr>
    </w:tbl>
    <w:p>
      <w:pPr>
        <w:pStyle w:val="6"/>
        <w:pageBreakBefore w:val="0"/>
        <w:kinsoku/>
        <w:wordWrap/>
        <w:overflowPunct/>
        <w:topLinePunct w:val="0"/>
        <w:bidi w:val="0"/>
        <w:spacing w:before="93" w:line="592" w:lineRule="exact"/>
        <w:textAlignment w:val="auto"/>
        <w:rPr>
          <w:rFonts w:ascii="Times New Roman" w:hAnsi="Times New Roman" w:cs="仿宋"/>
          <w:sz w:val="32"/>
          <w:szCs w:val="32"/>
        </w:rPr>
      </w:pPr>
    </w:p>
    <w:p>
      <w:pPr>
        <w:pStyle w:val="6"/>
        <w:pageBreakBefore w:val="0"/>
        <w:kinsoku/>
        <w:wordWrap/>
        <w:overflowPunct/>
        <w:topLinePunct w:val="0"/>
        <w:bidi w:val="0"/>
        <w:spacing w:before="93" w:line="592" w:lineRule="exact"/>
        <w:textAlignment w:val="auto"/>
        <w:rPr>
          <w:rFonts w:ascii="Times New Roman" w:hAnsi="Times New Roman" w:cs="仿宋"/>
          <w:sz w:val="32"/>
          <w:szCs w:val="32"/>
        </w:rPr>
      </w:pPr>
    </w:p>
    <w:tbl>
      <w:tblPr>
        <w:tblStyle w:val="15"/>
        <w:tblW w:w="104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1005"/>
        <w:gridCol w:w="975"/>
        <w:gridCol w:w="1260"/>
        <w:gridCol w:w="645"/>
        <w:gridCol w:w="600"/>
        <w:gridCol w:w="720"/>
        <w:gridCol w:w="1020"/>
        <w:gridCol w:w="660"/>
        <w:gridCol w:w="630"/>
        <w:gridCol w:w="2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7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51160021T000000095350-处置非法集资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2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广安市金融工作局部门</w:t>
            </w:r>
          </w:p>
        </w:tc>
        <w:tc>
          <w:tcPr>
            <w:tcW w:w="1020"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黑体" w:hAnsi="黑体" w:eastAsia="黑体" w:cs="黑体"/>
                <w:i w:val="0"/>
                <w:iCs w:val="0"/>
                <w:color w:val="000000"/>
                <w:sz w:val="18"/>
                <w:szCs w:val="18"/>
                <w:u w:val="none"/>
              </w:rPr>
            </w:pPr>
            <w:r>
              <w:rPr>
                <w:rFonts w:hint="default" w:ascii="黑体" w:hAnsi="黑体" w:eastAsia="黑体" w:cs="黑体"/>
                <w:i w:val="0"/>
                <w:iCs w:val="0"/>
                <w:color w:val="000000"/>
                <w:kern w:val="0"/>
                <w:sz w:val="18"/>
                <w:szCs w:val="18"/>
                <w:u w:val="none"/>
                <w:lang w:val="en-US" w:eastAsia="zh-CN" w:bidi="ar"/>
              </w:rPr>
              <w:t xml:space="preserve">实施单位 </w:t>
            </w:r>
          </w:p>
        </w:tc>
        <w:tc>
          <w:tcPr>
            <w:tcW w:w="3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广安市金融工作局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2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黑体" w:hAnsi="黑体" w:eastAsia="黑体" w:cs="黑体"/>
                <w:i w:val="0"/>
                <w:iCs w:val="0"/>
                <w:color w:val="000000"/>
                <w:sz w:val="18"/>
                <w:szCs w:val="18"/>
                <w:u w:val="none"/>
              </w:rPr>
            </w:pPr>
            <w:r>
              <w:rPr>
                <w:rFonts w:hint="default"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c>
          <w:tcPr>
            <w:tcW w:w="42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通过开展”非法集资宣传月“、发送提示短信等方式，加大宣传力度，非法集资存量案件逐年减少，公众防范非法集资能力更强。</w:t>
            </w:r>
          </w:p>
        </w:tc>
        <w:tc>
          <w:tcPr>
            <w:tcW w:w="45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黑体" w:hAnsi="黑体" w:eastAsia="黑体" w:cs="黑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非法集资宣传月</w:t>
            </w:r>
            <w:r>
              <w:rPr>
                <w:rFonts w:hint="eastAsia" w:ascii="宋体" w:hAnsi="宋体" w:cs="宋体"/>
                <w:i w:val="0"/>
                <w:iCs w:val="0"/>
                <w:color w:val="000000"/>
                <w:kern w:val="0"/>
                <w:sz w:val="18"/>
                <w:szCs w:val="18"/>
                <w:u w:val="none"/>
                <w:lang w:val="en-US" w:eastAsia="zh-CN" w:bidi="ar"/>
              </w:rPr>
              <w:t>”等宣传活动，</w:t>
            </w:r>
            <w:r>
              <w:rPr>
                <w:rFonts w:hint="eastAsia" w:ascii="宋体" w:hAnsi="宋体" w:eastAsia="宋体" w:cs="宋体"/>
                <w:i w:val="0"/>
                <w:iCs w:val="0"/>
                <w:color w:val="000000"/>
                <w:kern w:val="0"/>
                <w:sz w:val="18"/>
                <w:szCs w:val="18"/>
                <w:u w:val="none"/>
                <w:lang w:val="en-US" w:eastAsia="zh-CN" w:bidi="ar"/>
              </w:rPr>
              <w:t>发送</w:t>
            </w:r>
            <w:r>
              <w:rPr>
                <w:rFonts w:hint="eastAsia" w:ascii="宋体" w:hAnsi="宋体" w:cs="宋体"/>
                <w:i w:val="0"/>
                <w:iCs w:val="0"/>
                <w:color w:val="000000"/>
                <w:kern w:val="0"/>
                <w:sz w:val="18"/>
                <w:szCs w:val="18"/>
                <w:u w:val="none"/>
                <w:lang w:val="en-US" w:eastAsia="zh-CN" w:bidi="ar"/>
              </w:rPr>
              <w:t>了</w:t>
            </w:r>
            <w:r>
              <w:rPr>
                <w:rFonts w:hint="eastAsia" w:ascii="宋体" w:hAnsi="宋体" w:eastAsia="宋体" w:cs="宋体"/>
                <w:i w:val="0"/>
                <w:iCs w:val="0"/>
                <w:color w:val="000000"/>
                <w:kern w:val="0"/>
                <w:sz w:val="18"/>
                <w:szCs w:val="18"/>
                <w:u w:val="none"/>
                <w:lang w:val="en-US" w:eastAsia="zh-CN" w:bidi="ar"/>
              </w:rPr>
              <w:t>提示短信</w:t>
            </w:r>
            <w:r>
              <w:rPr>
                <w:rFonts w:hint="eastAsia" w:ascii="宋体" w:hAnsi="宋体" w:cs="宋体"/>
                <w:i w:val="0"/>
                <w:iCs w:val="0"/>
                <w:color w:val="000000"/>
                <w:kern w:val="0"/>
                <w:sz w:val="18"/>
                <w:szCs w:val="18"/>
                <w:u w:val="none"/>
                <w:lang w:val="en-US" w:eastAsia="zh-CN" w:bidi="ar"/>
              </w:rPr>
              <w:t>、宣传资料</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无</w:t>
            </w:r>
            <w:r>
              <w:rPr>
                <w:rFonts w:hint="eastAsia" w:ascii="宋体" w:hAnsi="宋体" w:eastAsia="宋体" w:cs="宋体"/>
                <w:i w:val="0"/>
                <w:iCs w:val="0"/>
                <w:color w:val="000000"/>
                <w:kern w:val="0"/>
                <w:sz w:val="18"/>
                <w:szCs w:val="18"/>
                <w:u w:val="none"/>
                <w:lang w:val="en-US" w:eastAsia="zh-CN" w:bidi="ar"/>
              </w:rPr>
              <w:t>非法集资</w:t>
            </w:r>
            <w:r>
              <w:rPr>
                <w:rFonts w:hint="eastAsia" w:ascii="宋体" w:hAnsi="宋体" w:cs="宋体"/>
                <w:i w:val="0"/>
                <w:iCs w:val="0"/>
                <w:color w:val="000000"/>
                <w:kern w:val="0"/>
                <w:sz w:val="18"/>
                <w:szCs w:val="18"/>
                <w:u w:val="none"/>
                <w:lang w:val="en-US" w:eastAsia="zh-CN" w:bidi="ar"/>
              </w:rPr>
              <w:t>新增案件，</w:t>
            </w:r>
            <w:r>
              <w:rPr>
                <w:rFonts w:hint="eastAsia" w:ascii="宋体" w:hAnsi="宋体" w:eastAsia="宋体" w:cs="宋体"/>
                <w:i w:val="0"/>
                <w:iCs w:val="0"/>
                <w:color w:val="000000"/>
                <w:kern w:val="0"/>
                <w:sz w:val="18"/>
                <w:szCs w:val="18"/>
                <w:u w:val="none"/>
                <w:lang w:val="en-US" w:eastAsia="zh-CN" w:bidi="ar"/>
              </w:rPr>
              <w:t>存量案件减少，公众防范非法集资能力更强。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5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6"/>
                <w:szCs w:val="16"/>
                <w:u w:val="none"/>
                <w:lang w:val="en-US" w:eastAsia="zh-CN" w:bidi="ar"/>
              </w:rPr>
              <w:t>年度预算数</w:t>
            </w:r>
            <w:r>
              <w:rPr>
                <w:rFonts w:ascii="宋体" w:hAnsi="宋体" w:eastAsia="宋体" w:cs="宋体"/>
                <w:i w:val="0"/>
                <w:iCs w:val="0"/>
                <w:color w:val="000000"/>
                <w:kern w:val="0"/>
                <w:sz w:val="15"/>
                <w:szCs w:val="15"/>
                <w:u w:val="none"/>
                <w:lang w:val="en-US" w:eastAsia="zh-CN" w:bidi="ar"/>
              </w:rPr>
              <w:t>（万元）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2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黑体" w:hAnsi="黑体" w:eastAsia="黑体" w:cs="黑体"/>
                <w:i/>
                <w:iCs/>
                <w:color w:val="000000"/>
                <w:sz w:val="18"/>
                <w:szCs w:val="18"/>
                <w:u w:val="none"/>
              </w:rPr>
            </w:pPr>
            <w:r>
              <w:rPr>
                <w:rFonts w:hint="eastAsia" w:ascii="黑体" w:hAnsi="黑体" w:eastAsia="黑体" w:cs="黑体"/>
                <w:i/>
                <w:iCs/>
                <w:color w:val="000000"/>
                <w:sz w:val="18"/>
                <w:szCs w:val="18"/>
                <w:u w:val="none"/>
                <w:lang w:val="en-US" w:eastAsia="zh-CN"/>
              </w:rPr>
              <w:t>落实过紧日子要求，严控融各项开支，项目资金尚有结余。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rPr>
                <w:rFonts w:hint="default"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rPr>
                <w:rFonts w:hint="default"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rPr>
                <w:rFonts w:hint="default"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微软雅黑" w:hAnsi="微软雅黑" w:eastAsia="微软雅黑" w:cs="微软雅黑"/>
                <w:i/>
                <w:iCs/>
                <w:color w:val="000000"/>
                <w:sz w:val="16"/>
                <w:szCs w:val="16"/>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微软雅黑" w:hAnsi="微软雅黑" w:eastAsia="微软雅黑" w:cs="微软雅黑"/>
                <w:i/>
                <w:iCs/>
                <w:color w:val="000000"/>
                <w:sz w:val="16"/>
                <w:szCs w:val="16"/>
                <w:u w:val="none"/>
              </w:rPr>
            </w:pP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微软雅黑" w:hAnsi="微软雅黑" w:eastAsia="微软雅黑" w:cs="微软雅黑"/>
                <w:i/>
                <w:iCs/>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微软雅黑" w:hAnsi="微软雅黑" w:eastAsia="微软雅黑" w:cs="微软雅黑"/>
                <w:i/>
                <w:iCs/>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rPr>
                <w:rFonts w:hint="default"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8"/>
                <w:szCs w:val="18"/>
                <w:u w:val="none"/>
                <w:lang w:val="en-US" w:eastAsia="zh-CN" w:bidi="ar"/>
              </w:rPr>
              <w:t>印刷资料份数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张</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rPr>
            </w:pPr>
            <w:r>
              <w:rPr>
                <w:rFonts w:ascii="宋体" w:hAnsi="宋体" w:eastAsia="宋体" w:cs="宋体"/>
                <w:i w:val="0"/>
                <w:iCs w:val="0"/>
                <w:color w:val="000000"/>
                <w:kern w:val="0"/>
                <w:sz w:val="18"/>
                <w:szCs w:val="18"/>
                <w:u w:val="none"/>
                <w:lang w:val="en-US" w:eastAsia="zh-CN" w:bidi="ar"/>
              </w:rPr>
              <w:t>200000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8"/>
                <w:szCs w:val="18"/>
                <w:u w:val="none"/>
                <w:lang w:val="en-US" w:eastAsia="zh-CN" w:bidi="ar"/>
              </w:rPr>
              <w:t>开展防范非法集资培训</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8"/>
                <w:szCs w:val="18"/>
                <w:u w:val="none"/>
                <w:lang w:val="en-US" w:eastAsia="zh-CN" w:bidi="ar"/>
              </w:rPr>
              <w:t>印刷资料合格率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6"/>
                <w:szCs w:val="16"/>
                <w:u w:val="none"/>
                <w:lang w:val="en-US" w:eastAsia="zh-CN" w:bidi="ar"/>
              </w:rPr>
              <w:t>非法集资案件处置结案率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85%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15</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开展非法集资宣传场次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15</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参训人员满意度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8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95</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7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微软雅黑" w:hAnsi="微软雅黑" w:eastAsia="微软雅黑" w:cs="微软雅黑"/>
                <w:i/>
                <w:iCs/>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项目自评得分95分。开展了多次防范非法集资宣传，对</w:t>
            </w:r>
            <w:r>
              <w:rPr>
                <w:rFonts w:hint="default" w:ascii="微软雅黑" w:hAnsi="微软雅黑" w:eastAsia="微软雅黑" w:cs="微软雅黑"/>
                <w:i/>
                <w:color w:val="000000"/>
                <w:kern w:val="0"/>
                <w:sz w:val="16"/>
                <w:szCs w:val="16"/>
                <w:u w:val="none"/>
                <w:lang w:val="en-US" w:eastAsia="zh-CN" w:bidi="ar"/>
              </w:rPr>
              <w:t>小额贷款、融资担保、典当行</w:t>
            </w:r>
            <w:r>
              <w:rPr>
                <w:rFonts w:hint="eastAsia" w:ascii="微软雅黑" w:hAnsi="微软雅黑" w:eastAsia="微软雅黑" w:cs="微软雅黑"/>
                <w:i/>
                <w:color w:val="000000"/>
                <w:kern w:val="0"/>
                <w:sz w:val="16"/>
                <w:szCs w:val="16"/>
                <w:u w:val="none"/>
                <w:lang w:val="en-US" w:eastAsia="zh-CN" w:bidi="ar"/>
              </w:rPr>
              <w:t>等类金融机构</w:t>
            </w:r>
            <w:r>
              <w:rPr>
                <w:rFonts w:hint="default" w:ascii="微软雅黑" w:hAnsi="微软雅黑" w:eastAsia="微软雅黑" w:cs="微软雅黑"/>
                <w:i/>
                <w:color w:val="000000"/>
                <w:kern w:val="0"/>
                <w:sz w:val="16"/>
                <w:szCs w:val="16"/>
                <w:u w:val="none"/>
                <w:lang w:val="en-US" w:eastAsia="zh-CN" w:bidi="ar"/>
              </w:rPr>
              <w:t>进一步明确监管工作内容</w:t>
            </w:r>
            <w:r>
              <w:rPr>
                <w:rFonts w:hint="eastAsia" w:ascii="微软雅黑" w:hAnsi="微软雅黑" w:eastAsia="微软雅黑" w:cs="微软雅黑"/>
                <w:i/>
                <w:color w:val="000000"/>
                <w:kern w:val="0"/>
                <w:sz w:val="16"/>
                <w:szCs w:val="16"/>
                <w:u w:val="none"/>
                <w:lang w:val="en-US" w:eastAsia="zh-CN" w:bidi="ar"/>
              </w:rPr>
              <w:t>，防范非法集资、非法放贷。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7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微软雅黑" w:hAnsi="微软雅黑" w:eastAsia="微软雅黑" w:cs="微软雅黑"/>
                <w:i/>
                <w:iCs/>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宣传防范非法集资宣传手段有待创新。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7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微软雅黑" w:hAnsi="微软雅黑" w:eastAsia="微软雅黑" w:cs="微软雅黑"/>
                <w:i/>
                <w:iCs/>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加大宣传力度，探索在新媒体上开展防范非集资宣传。</w:t>
            </w:r>
          </w:p>
        </w:tc>
      </w:tr>
    </w:tbl>
    <w:p>
      <w:pPr>
        <w:pStyle w:val="6"/>
        <w:pageBreakBefore w:val="0"/>
        <w:kinsoku/>
        <w:wordWrap/>
        <w:overflowPunct/>
        <w:topLinePunct w:val="0"/>
        <w:bidi w:val="0"/>
        <w:spacing w:before="93" w:line="592" w:lineRule="exact"/>
        <w:textAlignment w:val="auto"/>
        <w:rPr>
          <w:rFonts w:ascii="Times New Roman" w:hAnsi="Times New Roman" w:cs="仿宋"/>
          <w:sz w:val="32"/>
          <w:szCs w:val="32"/>
        </w:rPr>
      </w:pPr>
    </w:p>
    <w:p>
      <w:pPr>
        <w:pStyle w:val="6"/>
        <w:pageBreakBefore w:val="0"/>
        <w:kinsoku/>
        <w:wordWrap/>
        <w:overflowPunct/>
        <w:topLinePunct w:val="0"/>
        <w:bidi w:val="0"/>
        <w:spacing w:before="93" w:line="592" w:lineRule="exact"/>
        <w:textAlignment w:val="auto"/>
        <w:rPr>
          <w:rFonts w:ascii="Times New Roman" w:hAnsi="Times New Roman" w:cs="仿宋"/>
          <w:sz w:val="32"/>
          <w:szCs w:val="32"/>
        </w:rPr>
      </w:pPr>
    </w:p>
    <w:p>
      <w:pPr>
        <w:pStyle w:val="6"/>
        <w:pageBreakBefore w:val="0"/>
        <w:kinsoku/>
        <w:wordWrap/>
        <w:overflowPunct/>
        <w:topLinePunct w:val="0"/>
        <w:bidi w:val="0"/>
        <w:spacing w:before="93" w:line="592" w:lineRule="exact"/>
        <w:textAlignment w:val="auto"/>
        <w:rPr>
          <w:rFonts w:ascii="Times New Roman" w:hAnsi="Times New Roman" w:cs="仿宋"/>
          <w:sz w:val="32"/>
          <w:szCs w:val="32"/>
        </w:rPr>
      </w:pPr>
    </w:p>
    <w:p>
      <w:pPr>
        <w:pStyle w:val="6"/>
        <w:pageBreakBefore w:val="0"/>
        <w:kinsoku/>
        <w:wordWrap/>
        <w:overflowPunct/>
        <w:topLinePunct w:val="0"/>
        <w:bidi w:val="0"/>
        <w:spacing w:before="93" w:line="592" w:lineRule="exact"/>
        <w:textAlignment w:val="auto"/>
        <w:rPr>
          <w:rFonts w:ascii="Times New Roman" w:hAnsi="Times New Roman" w:cs="仿宋"/>
          <w:sz w:val="32"/>
          <w:szCs w:val="32"/>
        </w:rPr>
      </w:pPr>
    </w:p>
    <w:tbl>
      <w:tblPr>
        <w:tblStyle w:val="15"/>
        <w:tblW w:w="104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1005"/>
        <w:gridCol w:w="975"/>
        <w:gridCol w:w="1260"/>
        <w:gridCol w:w="645"/>
        <w:gridCol w:w="600"/>
        <w:gridCol w:w="720"/>
        <w:gridCol w:w="1020"/>
        <w:gridCol w:w="660"/>
        <w:gridCol w:w="630"/>
        <w:gridCol w:w="2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7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51160023T000008289923-金融大讲堂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2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广安市金融工作局部门</w:t>
            </w:r>
          </w:p>
        </w:tc>
        <w:tc>
          <w:tcPr>
            <w:tcW w:w="1020"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黑体" w:hAnsi="黑体" w:eastAsia="黑体" w:cs="黑体"/>
                <w:i w:val="0"/>
                <w:iCs w:val="0"/>
                <w:color w:val="000000"/>
                <w:sz w:val="18"/>
                <w:szCs w:val="18"/>
                <w:u w:val="none"/>
              </w:rPr>
            </w:pPr>
            <w:r>
              <w:rPr>
                <w:rFonts w:hint="default" w:ascii="黑体" w:hAnsi="黑体" w:eastAsia="黑体" w:cs="黑体"/>
                <w:i w:val="0"/>
                <w:iCs w:val="0"/>
                <w:color w:val="000000"/>
                <w:kern w:val="0"/>
                <w:sz w:val="18"/>
                <w:szCs w:val="18"/>
                <w:u w:val="none"/>
                <w:lang w:val="en-US" w:eastAsia="zh-CN" w:bidi="ar"/>
              </w:rPr>
              <w:t xml:space="preserve">实施单位 </w:t>
            </w:r>
          </w:p>
        </w:tc>
        <w:tc>
          <w:tcPr>
            <w:tcW w:w="3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广安市金融工作局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2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黑体" w:hAnsi="黑体" w:eastAsia="黑体" w:cs="黑体"/>
                <w:i w:val="0"/>
                <w:iCs w:val="0"/>
                <w:color w:val="000000"/>
                <w:sz w:val="18"/>
                <w:szCs w:val="18"/>
                <w:u w:val="none"/>
              </w:rPr>
            </w:pPr>
            <w:r>
              <w:rPr>
                <w:rFonts w:hint="default"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c>
          <w:tcPr>
            <w:tcW w:w="42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全市金融系统国企高管、县（市、区）金融分管领导、部门负责人金融综合素质和能力得到提高。</w:t>
            </w:r>
          </w:p>
        </w:tc>
        <w:tc>
          <w:tcPr>
            <w:tcW w:w="45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黑体" w:hAnsi="黑体" w:eastAsia="黑体" w:cs="黑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组织全市60余名</w:t>
            </w:r>
            <w:r>
              <w:rPr>
                <w:rFonts w:hint="eastAsia" w:ascii="宋体" w:hAnsi="宋体" w:eastAsia="宋体" w:cs="宋体"/>
                <w:i w:val="0"/>
                <w:iCs w:val="0"/>
                <w:color w:val="000000"/>
                <w:kern w:val="0"/>
                <w:sz w:val="18"/>
                <w:szCs w:val="18"/>
                <w:u w:val="none"/>
                <w:lang w:val="en-US" w:eastAsia="zh-CN" w:bidi="ar"/>
              </w:rPr>
              <w:t>金融系统</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国企高管、县（市、区）金融分管领导、部门负责人</w:t>
            </w:r>
            <w:r>
              <w:rPr>
                <w:rFonts w:hint="eastAsia" w:ascii="宋体" w:hAnsi="宋体" w:cs="宋体"/>
                <w:i w:val="0"/>
                <w:iCs w:val="0"/>
                <w:color w:val="000000"/>
                <w:kern w:val="0"/>
                <w:sz w:val="18"/>
                <w:szCs w:val="18"/>
                <w:u w:val="none"/>
                <w:lang w:val="en-US" w:eastAsia="zh-CN" w:bidi="ar"/>
              </w:rPr>
              <w:t>参加培训，参会人员</w:t>
            </w:r>
            <w:r>
              <w:rPr>
                <w:rFonts w:hint="eastAsia" w:ascii="宋体" w:hAnsi="宋体" w:eastAsia="宋体" w:cs="宋体"/>
                <w:i w:val="0"/>
                <w:iCs w:val="0"/>
                <w:color w:val="000000"/>
                <w:kern w:val="0"/>
                <w:sz w:val="18"/>
                <w:szCs w:val="18"/>
                <w:u w:val="none"/>
                <w:lang w:val="en-US" w:eastAsia="zh-CN" w:bidi="ar"/>
              </w:rPr>
              <w:t>金融综合素质和能力得到提高。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5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6"/>
                <w:szCs w:val="16"/>
                <w:u w:val="none"/>
                <w:lang w:val="en-US" w:eastAsia="zh-CN" w:bidi="ar"/>
              </w:rPr>
              <w:t>年度预算数</w:t>
            </w:r>
            <w:r>
              <w:rPr>
                <w:rFonts w:ascii="宋体" w:hAnsi="宋体" w:eastAsia="宋体" w:cs="宋体"/>
                <w:i w:val="0"/>
                <w:iCs w:val="0"/>
                <w:color w:val="000000"/>
                <w:kern w:val="0"/>
                <w:sz w:val="15"/>
                <w:szCs w:val="15"/>
                <w:u w:val="none"/>
                <w:lang w:val="en-US" w:eastAsia="zh-CN" w:bidi="ar"/>
              </w:rPr>
              <w:t>（万元）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18.31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91.53%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9.1</w:t>
            </w:r>
          </w:p>
        </w:tc>
        <w:tc>
          <w:tcPr>
            <w:tcW w:w="2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黑体" w:hAnsi="黑体" w:eastAsia="黑体" w:cs="黑体"/>
                <w:i/>
                <w:iCs/>
                <w:color w:val="000000"/>
                <w:sz w:val="18"/>
                <w:szCs w:val="18"/>
                <w:u w:val="none"/>
              </w:rPr>
            </w:pPr>
            <w:r>
              <w:rPr>
                <w:rFonts w:hint="eastAsia" w:ascii="黑体" w:hAnsi="黑体" w:eastAsia="黑体" w:cs="黑体"/>
                <w:i/>
                <w:iCs/>
                <w:color w:val="000000"/>
                <w:sz w:val="18"/>
                <w:szCs w:val="18"/>
                <w:u w:val="none"/>
                <w:lang w:val="en-US" w:eastAsia="zh-CN"/>
              </w:rPr>
              <w:t>落实过紧日子要求，严控融资会议和培训的各项开支，导致项目资金尚有结余。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18.31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91.53%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rPr>
                <w:rFonts w:hint="default"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rPr>
                <w:rFonts w:hint="default"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rPr>
                <w:rFonts w:hint="default"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微软雅黑" w:hAnsi="微软雅黑" w:eastAsia="微软雅黑" w:cs="微软雅黑"/>
                <w:i/>
                <w:iCs/>
                <w:color w:val="000000"/>
                <w:sz w:val="16"/>
                <w:szCs w:val="16"/>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微软雅黑" w:hAnsi="微软雅黑" w:eastAsia="微软雅黑" w:cs="微软雅黑"/>
                <w:i/>
                <w:iCs/>
                <w:color w:val="000000"/>
                <w:sz w:val="16"/>
                <w:szCs w:val="16"/>
                <w:u w:val="none"/>
              </w:rPr>
            </w:pP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微软雅黑" w:hAnsi="微软雅黑" w:eastAsia="微软雅黑" w:cs="微软雅黑"/>
                <w:i/>
                <w:iCs/>
                <w:color w:val="000000"/>
                <w:sz w:val="16"/>
                <w:szCs w:val="16"/>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微软雅黑" w:hAnsi="微软雅黑" w:eastAsia="微软雅黑" w:cs="微软雅黑"/>
                <w:i/>
                <w:iCs/>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rPr>
                <w:rFonts w:hint="default"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8"/>
                <w:szCs w:val="18"/>
                <w:u w:val="none"/>
                <w:lang w:val="en-US" w:eastAsia="zh-CN" w:bidi="ar"/>
              </w:rPr>
              <w:t>讲堂开展场次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40</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8"/>
                <w:szCs w:val="18"/>
                <w:u w:val="none"/>
                <w:lang w:val="en-US" w:eastAsia="zh-CN" w:bidi="ar"/>
              </w:rPr>
              <w:t>讲堂参训学员合格率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学员懂金融、用金融能力</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显著提高</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满意度指标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服务对象满意度指标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学员对讲堂满意度</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讲堂各项开支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200000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8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99</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7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微软雅黑" w:hAnsi="微软雅黑" w:eastAsia="微软雅黑" w:cs="微软雅黑"/>
                <w:i/>
                <w:iCs/>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项目自评得分99分，</w:t>
            </w:r>
            <w:r>
              <w:rPr>
                <w:rFonts w:hint="eastAsia" w:ascii="宋体" w:hAnsi="宋体" w:cs="宋体"/>
                <w:i w:val="0"/>
                <w:iCs w:val="0"/>
                <w:color w:val="000000"/>
                <w:kern w:val="0"/>
                <w:sz w:val="18"/>
                <w:szCs w:val="18"/>
                <w:u w:val="none"/>
                <w:lang w:val="en-US" w:eastAsia="zh-CN" w:bidi="ar"/>
              </w:rPr>
              <w:t>组织全市60余名</w:t>
            </w:r>
            <w:r>
              <w:rPr>
                <w:rFonts w:hint="eastAsia" w:ascii="宋体" w:hAnsi="宋体" w:eastAsia="宋体" w:cs="宋体"/>
                <w:i w:val="0"/>
                <w:iCs w:val="0"/>
                <w:color w:val="000000"/>
                <w:kern w:val="0"/>
                <w:sz w:val="18"/>
                <w:szCs w:val="18"/>
                <w:u w:val="none"/>
                <w:lang w:val="en-US" w:eastAsia="zh-CN" w:bidi="ar"/>
              </w:rPr>
              <w:t>金融系统</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国企高管、县（市、区）金融分管领导、部门负责人</w:t>
            </w:r>
            <w:r>
              <w:rPr>
                <w:rFonts w:hint="eastAsia" w:ascii="宋体" w:hAnsi="宋体" w:cs="宋体"/>
                <w:i w:val="0"/>
                <w:iCs w:val="0"/>
                <w:color w:val="000000"/>
                <w:kern w:val="0"/>
                <w:sz w:val="18"/>
                <w:szCs w:val="18"/>
                <w:u w:val="none"/>
                <w:lang w:val="en-US" w:eastAsia="zh-CN" w:bidi="ar"/>
              </w:rPr>
              <w:t>参加培训，参会人员</w:t>
            </w:r>
            <w:r>
              <w:rPr>
                <w:rFonts w:hint="eastAsia" w:ascii="宋体" w:hAnsi="宋体" w:eastAsia="宋体" w:cs="宋体"/>
                <w:i w:val="0"/>
                <w:iCs w:val="0"/>
                <w:color w:val="000000"/>
                <w:kern w:val="0"/>
                <w:sz w:val="18"/>
                <w:szCs w:val="18"/>
                <w:u w:val="none"/>
                <w:lang w:val="en-US" w:eastAsia="zh-CN" w:bidi="ar"/>
              </w:rPr>
              <w:t>金融综合素质和能力得到提高</w:t>
            </w:r>
            <w:r>
              <w:rPr>
                <w:rFonts w:hint="eastAsia" w:ascii="微软雅黑" w:hAnsi="微软雅黑" w:eastAsia="微软雅黑" w:cs="微软雅黑"/>
                <w:i/>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7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培训方式较为传统</w:t>
            </w:r>
            <w:r>
              <w:rPr>
                <w:rFonts w:hint="default" w:ascii="微软雅黑" w:hAnsi="微软雅黑" w:eastAsia="微软雅黑" w:cs="微软雅黑"/>
                <w:i/>
                <w:iCs/>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7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创新培训方式，扩大培训范围，力争</w:t>
            </w:r>
            <w:r>
              <w:rPr>
                <w:rFonts w:hint="eastAsia" w:ascii="宋体" w:hAnsi="宋体" w:cs="宋体"/>
                <w:i w:val="0"/>
                <w:iCs w:val="0"/>
                <w:color w:val="000000"/>
                <w:kern w:val="0"/>
                <w:sz w:val="18"/>
                <w:szCs w:val="18"/>
                <w:u w:val="none"/>
                <w:lang w:val="en-US" w:eastAsia="zh-CN" w:bidi="ar"/>
              </w:rPr>
              <w:t>让更多的人员</w:t>
            </w:r>
            <w:r>
              <w:rPr>
                <w:rFonts w:hint="eastAsia" w:ascii="宋体" w:hAnsi="宋体" w:eastAsia="宋体" w:cs="宋体"/>
                <w:i w:val="0"/>
                <w:iCs w:val="0"/>
                <w:color w:val="000000"/>
                <w:kern w:val="0"/>
                <w:sz w:val="18"/>
                <w:szCs w:val="18"/>
                <w:u w:val="none"/>
                <w:lang w:val="en-US" w:eastAsia="zh-CN" w:bidi="ar"/>
              </w:rPr>
              <w:t>金融综合素质和能力得到提高</w:t>
            </w:r>
            <w:r>
              <w:rPr>
                <w:rFonts w:hint="default" w:ascii="微软雅黑" w:hAnsi="微软雅黑" w:eastAsia="微软雅黑" w:cs="微软雅黑"/>
                <w:i/>
                <w:iCs/>
                <w:color w:val="000000"/>
                <w:kern w:val="0"/>
                <w:sz w:val="16"/>
                <w:szCs w:val="16"/>
                <w:u w:val="none"/>
                <w:lang w:val="en-US" w:eastAsia="zh-CN" w:bidi="ar"/>
              </w:rPr>
              <w:t>。</w:t>
            </w:r>
          </w:p>
        </w:tc>
      </w:tr>
    </w:tbl>
    <w:p>
      <w:pPr>
        <w:pStyle w:val="6"/>
        <w:pageBreakBefore w:val="0"/>
        <w:kinsoku/>
        <w:wordWrap/>
        <w:overflowPunct/>
        <w:topLinePunct w:val="0"/>
        <w:bidi w:val="0"/>
        <w:spacing w:before="93" w:line="592" w:lineRule="exact"/>
        <w:textAlignment w:val="auto"/>
        <w:rPr>
          <w:rFonts w:ascii="Times New Roman" w:hAnsi="Times New Roman" w:cs="仿宋"/>
          <w:sz w:val="32"/>
          <w:szCs w:val="32"/>
        </w:rPr>
      </w:pPr>
    </w:p>
    <w:p>
      <w:pPr>
        <w:pStyle w:val="6"/>
        <w:pageBreakBefore w:val="0"/>
        <w:kinsoku/>
        <w:wordWrap/>
        <w:overflowPunct/>
        <w:topLinePunct w:val="0"/>
        <w:bidi w:val="0"/>
        <w:spacing w:before="93" w:line="592" w:lineRule="exact"/>
        <w:textAlignment w:val="auto"/>
        <w:rPr>
          <w:rFonts w:ascii="Times New Roman" w:hAnsi="Times New Roman" w:cs="仿宋"/>
          <w:sz w:val="32"/>
          <w:szCs w:val="32"/>
        </w:rPr>
      </w:pPr>
    </w:p>
    <w:p>
      <w:pPr>
        <w:pStyle w:val="2"/>
        <w:rPr>
          <w:rFonts w:hint="eastAsia" w:ascii="Times New Roman" w:hAnsi="Times New Roman" w:eastAsia="黑体"/>
          <w:sz w:val="44"/>
          <w:szCs w:val="44"/>
        </w:rPr>
      </w:pPr>
      <w:r>
        <w:rPr>
          <w:rFonts w:hint="eastAsia" w:ascii="Times New Roman" w:hAnsi="Times New Roman" w:eastAsia="黑体"/>
          <w:sz w:val="44"/>
          <w:szCs w:val="44"/>
        </w:rPr>
        <w:br w:type="page"/>
      </w:r>
    </w:p>
    <w:p>
      <w:pPr>
        <w:pStyle w:val="2"/>
        <w:rPr>
          <w:rFonts w:hint="eastAsia" w:ascii="Times New Roman" w:hAnsi="Times New Roman" w:eastAsia="黑体"/>
          <w:sz w:val="44"/>
          <w:szCs w:val="44"/>
        </w:rPr>
      </w:pPr>
    </w:p>
    <w:p>
      <w:pPr>
        <w:rPr>
          <w:rFonts w:hint="eastAsia" w:ascii="Times New Roman" w:hAnsi="Times New Roman" w:eastAsia="黑体"/>
          <w:sz w:val="44"/>
          <w:szCs w:val="44"/>
        </w:rPr>
      </w:pPr>
    </w:p>
    <w:p>
      <w:pPr>
        <w:pStyle w:val="2"/>
        <w:rPr>
          <w:rFonts w:hint="eastAsia"/>
        </w:rPr>
      </w:pPr>
    </w:p>
    <w:p>
      <w:pPr>
        <w:pageBreakBefore w:val="0"/>
        <w:kinsoku/>
        <w:wordWrap/>
        <w:overflowPunct/>
        <w:topLinePunct w:val="0"/>
        <w:bidi w:val="0"/>
        <w:spacing w:line="592" w:lineRule="exact"/>
        <w:jc w:val="center"/>
        <w:textAlignment w:val="auto"/>
        <w:outlineLvl w:val="0"/>
        <w:rPr>
          <w:rFonts w:ascii="Times New Roman" w:hAnsi="Times New Roman" w:eastAsia="仿宋"/>
        </w:rPr>
      </w:pPr>
      <w:r>
        <w:rPr>
          <w:rFonts w:hint="eastAsia" w:ascii="Times New Roman" w:hAnsi="Times New Roman" w:eastAsia="黑体"/>
          <w:sz w:val="44"/>
          <w:szCs w:val="44"/>
        </w:rPr>
        <w:t>第</w:t>
      </w:r>
      <w:r>
        <w:rPr>
          <w:rStyle w:val="28"/>
          <w:rFonts w:hint="eastAsia" w:ascii="Times New Roman" w:hAnsi="Times New Roman" w:eastAsia="黑体"/>
          <w:b w:val="0"/>
        </w:rPr>
        <w:t>五部分 附表</w:t>
      </w:r>
      <w:bookmarkEnd w:id="51"/>
      <w:bookmarkEnd w:id="53"/>
      <w:bookmarkStart w:id="55" w:name="_Toc15396619"/>
    </w:p>
    <w:p>
      <w:pPr>
        <w:pStyle w:val="4"/>
        <w:pageBreakBefore w:val="0"/>
        <w:kinsoku/>
        <w:wordWrap/>
        <w:overflowPunct/>
        <w:topLinePunct w:val="0"/>
        <w:bidi w:val="0"/>
        <w:spacing w:line="592" w:lineRule="exact"/>
        <w:textAlignment w:val="auto"/>
        <w:rPr>
          <w:rFonts w:ascii="Times New Roman" w:hAnsi="Times New Roman" w:eastAsia="仿宋"/>
        </w:rPr>
      </w:pPr>
      <w:r>
        <w:rPr>
          <w:rFonts w:hint="eastAsia" w:ascii="Times New Roman" w:hAnsi="Times New Roman" w:eastAsia="仿宋"/>
          <w:b w:val="0"/>
        </w:rPr>
        <w:t>一、收</w:t>
      </w:r>
      <w:r>
        <w:rPr>
          <w:rStyle w:val="29"/>
          <w:rFonts w:hint="eastAsia" w:ascii="Times New Roman" w:hAnsi="Times New Roman" w:eastAsia="仿宋"/>
          <w:b w:val="0"/>
          <w:bCs w:val="0"/>
        </w:rPr>
        <w:t>入支出决算总表</w:t>
      </w:r>
      <w:bookmarkEnd w:id="55"/>
    </w:p>
    <w:p>
      <w:pPr>
        <w:pStyle w:val="4"/>
        <w:pageBreakBefore w:val="0"/>
        <w:kinsoku/>
        <w:wordWrap/>
        <w:overflowPunct/>
        <w:topLinePunct w:val="0"/>
        <w:bidi w:val="0"/>
        <w:spacing w:line="592" w:lineRule="exact"/>
        <w:textAlignment w:val="auto"/>
        <w:rPr>
          <w:rFonts w:ascii="Times New Roman" w:hAnsi="Times New Roman" w:eastAsia="仿宋"/>
        </w:rPr>
      </w:pPr>
      <w:bookmarkStart w:id="56" w:name="_Toc15396620"/>
      <w:r>
        <w:rPr>
          <w:rFonts w:hint="eastAsia" w:ascii="Times New Roman" w:hAnsi="Times New Roman" w:eastAsia="仿宋"/>
          <w:b w:val="0"/>
        </w:rPr>
        <w:t>二、收</w:t>
      </w:r>
      <w:r>
        <w:rPr>
          <w:rStyle w:val="29"/>
          <w:rFonts w:hint="eastAsia" w:ascii="Times New Roman" w:hAnsi="Times New Roman" w:eastAsia="仿宋"/>
          <w:b w:val="0"/>
          <w:bCs w:val="0"/>
        </w:rPr>
        <w:t>入决算表</w:t>
      </w:r>
      <w:bookmarkEnd w:id="56"/>
    </w:p>
    <w:p>
      <w:pPr>
        <w:pStyle w:val="4"/>
        <w:pageBreakBefore w:val="0"/>
        <w:kinsoku/>
        <w:wordWrap/>
        <w:overflowPunct/>
        <w:topLinePunct w:val="0"/>
        <w:bidi w:val="0"/>
        <w:spacing w:line="592" w:lineRule="exact"/>
        <w:textAlignment w:val="auto"/>
        <w:rPr>
          <w:rFonts w:ascii="Times New Roman" w:hAnsi="Times New Roman" w:eastAsia="仿宋"/>
        </w:rPr>
      </w:pPr>
      <w:bookmarkStart w:id="57" w:name="_Toc15396621"/>
      <w:r>
        <w:rPr>
          <w:rStyle w:val="29"/>
          <w:rFonts w:hint="eastAsia" w:ascii="Times New Roman" w:hAnsi="Times New Roman" w:eastAsia="仿宋"/>
          <w:b w:val="0"/>
          <w:bCs w:val="0"/>
        </w:rPr>
        <w:t>三、</w:t>
      </w:r>
      <w:r>
        <w:rPr>
          <w:rFonts w:hint="eastAsia" w:ascii="Times New Roman" w:hAnsi="Times New Roman" w:eastAsia="仿宋"/>
          <w:b w:val="0"/>
        </w:rPr>
        <w:t>支</w:t>
      </w:r>
      <w:r>
        <w:rPr>
          <w:rStyle w:val="29"/>
          <w:rFonts w:hint="eastAsia" w:ascii="Times New Roman" w:hAnsi="Times New Roman" w:eastAsia="仿宋"/>
          <w:b w:val="0"/>
          <w:bCs w:val="0"/>
        </w:rPr>
        <w:t>出决算表</w:t>
      </w:r>
      <w:bookmarkEnd w:id="57"/>
    </w:p>
    <w:p>
      <w:pPr>
        <w:pStyle w:val="4"/>
        <w:pageBreakBefore w:val="0"/>
        <w:kinsoku/>
        <w:wordWrap/>
        <w:overflowPunct/>
        <w:topLinePunct w:val="0"/>
        <w:bidi w:val="0"/>
        <w:spacing w:line="592" w:lineRule="exact"/>
        <w:textAlignment w:val="auto"/>
        <w:rPr>
          <w:rFonts w:ascii="Times New Roman" w:hAnsi="Times New Roman" w:eastAsia="仿宋"/>
          <w:b w:val="0"/>
        </w:rPr>
      </w:pPr>
      <w:bookmarkStart w:id="58" w:name="_Toc15396622"/>
      <w:r>
        <w:rPr>
          <w:rStyle w:val="29"/>
          <w:rFonts w:hint="eastAsia" w:ascii="Times New Roman" w:hAnsi="Times New Roman" w:eastAsia="仿宋"/>
          <w:b w:val="0"/>
          <w:bCs w:val="0"/>
        </w:rPr>
        <w:t>四、</w:t>
      </w:r>
      <w:r>
        <w:rPr>
          <w:rFonts w:hint="eastAsia" w:ascii="Times New Roman" w:hAnsi="Times New Roman" w:eastAsia="仿宋"/>
          <w:b w:val="0"/>
        </w:rPr>
        <w:t>财</w:t>
      </w:r>
      <w:r>
        <w:rPr>
          <w:rStyle w:val="29"/>
          <w:rFonts w:hint="eastAsia" w:ascii="Times New Roman" w:hAnsi="Times New Roman" w:eastAsia="仿宋"/>
          <w:b w:val="0"/>
          <w:bCs w:val="0"/>
        </w:rPr>
        <w:t>政拨款收入支出决算总表</w:t>
      </w:r>
      <w:bookmarkEnd w:id="58"/>
    </w:p>
    <w:p>
      <w:pPr>
        <w:pStyle w:val="4"/>
        <w:pageBreakBefore w:val="0"/>
        <w:kinsoku/>
        <w:wordWrap/>
        <w:overflowPunct/>
        <w:topLinePunct w:val="0"/>
        <w:bidi w:val="0"/>
        <w:spacing w:line="592" w:lineRule="exact"/>
        <w:textAlignment w:val="auto"/>
        <w:rPr>
          <w:rStyle w:val="29"/>
          <w:rFonts w:ascii="Times New Roman" w:hAnsi="Times New Roman" w:eastAsia="仿宋"/>
          <w:b w:val="0"/>
          <w:bCs w:val="0"/>
        </w:rPr>
      </w:pPr>
      <w:bookmarkStart w:id="59" w:name="_Toc15396623"/>
      <w:r>
        <w:rPr>
          <w:rStyle w:val="29"/>
          <w:rFonts w:hint="eastAsia" w:ascii="Times New Roman" w:hAnsi="Times New Roman" w:eastAsia="仿宋"/>
          <w:b w:val="0"/>
          <w:bCs w:val="0"/>
        </w:rPr>
        <w:t>五、</w:t>
      </w:r>
      <w:r>
        <w:rPr>
          <w:rFonts w:hint="eastAsia" w:ascii="Times New Roman" w:hAnsi="Times New Roman" w:eastAsia="仿宋"/>
          <w:b w:val="0"/>
        </w:rPr>
        <w:t>财</w:t>
      </w:r>
      <w:r>
        <w:rPr>
          <w:rStyle w:val="29"/>
          <w:rFonts w:hint="eastAsia" w:ascii="Times New Roman" w:hAnsi="Times New Roman" w:eastAsia="仿宋"/>
          <w:b w:val="0"/>
          <w:bCs w:val="0"/>
        </w:rPr>
        <w:t>政拨款支出决算明细表</w:t>
      </w:r>
      <w:bookmarkEnd w:id="59"/>
      <w:bookmarkStart w:id="60" w:name="_Toc15396624"/>
    </w:p>
    <w:p>
      <w:pPr>
        <w:pStyle w:val="4"/>
        <w:pageBreakBefore w:val="0"/>
        <w:kinsoku/>
        <w:wordWrap/>
        <w:overflowPunct/>
        <w:topLinePunct w:val="0"/>
        <w:bidi w:val="0"/>
        <w:spacing w:line="592" w:lineRule="exact"/>
        <w:textAlignment w:val="auto"/>
        <w:rPr>
          <w:rFonts w:ascii="Times New Roman" w:hAnsi="Times New Roman" w:eastAsia="仿宋"/>
        </w:rPr>
      </w:pPr>
      <w:r>
        <w:rPr>
          <w:rStyle w:val="29"/>
          <w:rFonts w:hint="eastAsia" w:ascii="Times New Roman" w:hAnsi="Times New Roman" w:eastAsia="仿宋"/>
          <w:b w:val="0"/>
          <w:bCs w:val="0"/>
        </w:rPr>
        <w:t>六、</w:t>
      </w:r>
      <w:r>
        <w:rPr>
          <w:rFonts w:hint="eastAsia" w:ascii="Times New Roman" w:hAnsi="Times New Roman" w:eastAsia="仿宋"/>
          <w:b w:val="0"/>
        </w:rPr>
        <w:t>一</w:t>
      </w:r>
      <w:r>
        <w:rPr>
          <w:rStyle w:val="29"/>
          <w:rFonts w:hint="eastAsia" w:ascii="Times New Roman" w:hAnsi="Times New Roman" w:eastAsia="仿宋"/>
          <w:b w:val="0"/>
          <w:bCs w:val="0"/>
        </w:rPr>
        <w:t>般公共预算财政拨款支出决算表</w:t>
      </w:r>
      <w:bookmarkEnd w:id="60"/>
    </w:p>
    <w:p>
      <w:pPr>
        <w:pStyle w:val="4"/>
        <w:pageBreakBefore w:val="0"/>
        <w:kinsoku/>
        <w:wordWrap/>
        <w:overflowPunct/>
        <w:topLinePunct w:val="0"/>
        <w:bidi w:val="0"/>
        <w:spacing w:line="592" w:lineRule="exact"/>
        <w:textAlignment w:val="auto"/>
        <w:rPr>
          <w:rFonts w:ascii="Times New Roman" w:hAnsi="Times New Roman" w:eastAsia="仿宋"/>
        </w:rPr>
      </w:pPr>
      <w:bookmarkStart w:id="61" w:name="_Toc15396625"/>
      <w:r>
        <w:rPr>
          <w:rStyle w:val="29"/>
          <w:rFonts w:hint="eastAsia" w:ascii="Times New Roman" w:hAnsi="Times New Roman" w:eastAsia="仿宋"/>
          <w:b w:val="0"/>
          <w:bCs w:val="0"/>
        </w:rPr>
        <w:t>七、</w:t>
      </w:r>
      <w:r>
        <w:rPr>
          <w:rFonts w:hint="eastAsia" w:ascii="Times New Roman" w:hAnsi="Times New Roman" w:eastAsia="仿宋"/>
          <w:b w:val="0"/>
        </w:rPr>
        <w:t>一</w:t>
      </w:r>
      <w:r>
        <w:rPr>
          <w:rStyle w:val="29"/>
          <w:rFonts w:hint="eastAsia" w:ascii="Times New Roman" w:hAnsi="Times New Roman" w:eastAsia="仿宋"/>
          <w:b w:val="0"/>
          <w:bCs w:val="0"/>
        </w:rPr>
        <w:t>般公共预算财政拨款支出决算明细表</w:t>
      </w:r>
      <w:bookmarkEnd w:id="61"/>
    </w:p>
    <w:p>
      <w:pPr>
        <w:pStyle w:val="4"/>
        <w:pageBreakBefore w:val="0"/>
        <w:kinsoku/>
        <w:wordWrap/>
        <w:overflowPunct/>
        <w:topLinePunct w:val="0"/>
        <w:bidi w:val="0"/>
        <w:spacing w:line="592" w:lineRule="exact"/>
        <w:textAlignment w:val="auto"/>
        <w:rPr>
          <w:rFonts w:ascii="Times New Roman" w:hAnsi="Times New Roman" w:eastAsia="仿宋"/>
        </w:rPr>
      </w:pPr>
      <w:bookmarkStart w:id="62" w:name="_Toc15396626"/>
      <w:r>
        <w:rPr>
          <w:rStyle w:val="29"/>
          <w:rFonts w:hint="eastAsia" w:ascii="Times New Roman" w:hAnsi="Times New Roman" w:eastAsia="仿宋"/>
          <w:b w:val="0"/>
          <w:bCs w:val="0"/>
        </w:rPr>
        <w:t>八、</w:t>
      </w:r>
      <w:r>
        <w:rPr>
          <w:rFonts w:hint="eastAsia" w:ascii="Times New Roman" w:hAnsi="Times New Roman" w:eastAsia="仿宋"/>
          <w:b w:val="0"/>
        </w:rPr>
        <w:t>一</w:t>
      </w:r>
      <w:r>
        <w:rPr>
          <w:rStyle w:val="29"/>
          <w:rFonts w:hint="eastAsia" w:ascii="Times New Roman" w:hAnsi="Times New Roman" w:eastAsia="仿宋"/>
          <w:b w:val="0"/>
          <w:bCs w:val="0"/>
        </w:rPr>
        <w:t>般公共预算财政拨款基本支出决算表</w:t>
      </w:r>
      <w:bookmarkEnd w:id="62"/>
    </w:p>
    <w:p>
      <w:pPr>
        <w:pStyle w:val="4"/>
        <w:pageBreakBefore w:val="0"/>
        <w:kinsoku/>
        <w:wordWrap/>
        <w:overflowPunct/>
        <w:topLinePunct w:val="0"/>
        <w:bidi w:val="0"/>
        <w:spacing w:line="592" w:lineRule="exact"/>
        <w:textAlignment w:val="auto"/>
        <w:rPr>
          <w:rFonts w:ascii="Times New Roman" w:hAnsi="Times New Roman" w:eastAsia="仿宋"/>
        </w:rPr>
      </w:pPr>
      <w:bookmarkStart w:id="63" w:name="_Toc15396627"/>
      <w:r>
        <w:rPr>
          <w:rStyle w:val="29"/>
          <w:rFonts w:hint="eastAsia" w:ascii="Times New Roman" w:hAnsi="Times New Roman" w:eastAsia="仿宋"/>
          <w:b w:val="0"/>
          <w:bCs w:val="0"/>
        </w:rPr>
        <w:t>九、</w:t>
      </w:r>
      <w:r>
        <w:rPr>
          <w:rFonts w:hint="eastAsia" w:ascii="Times New Roman" w:hAnsi="Times New Roman" w:eastAsia="仿宋"/>
          <w:b w:val="0"/>
        </w:rPr>
        <w:t>一</w:t>
      </w:r>
      <w:r>
        <w:rPr>
          <w:rStyle w:val="29"/>
          <w:rFonts w:hint="eastAsia" w:ascii="Times New Roman" w:hAnsi="Times New Roman" w:eastAsia="仿宋"/>
          <w:b w:val="0"/>
          <w:bCs w:val="0"/>
        </w:rPr>
        <w:t>般公共预算财政拨款项目支出决算表</w:t>
      </w:r>
      <w:bookmarkEnd w:id="63"/>
    </w:p>
    <w:p>
      <w:pPr>
        <w:pStyle w:val="4"/>
        <w:pageBreakBefore w:val="0"/>
        <w:kinsoku/>
        <w:wordWrap/>
        <w:overflowPunct/>
        <w:topLinePunct w:val="0"/>
        <w:bidi w:val="0"/>
        <w:spacing w:line="592" w:lineRule="exact"/>
        <w:textAlignment w:val="auto"/>
        <w:rPr>
          <w:rFonts w:ascii="Times New Roman" w:hAnsi="Times New Roman" w:eastAsia="仿宋"/>
        </w:rPr>
      </w:pPr>
      <w:bookmarkStart w:id="64" w:name="_Toc15396628"/>
      <w:r>
        <w:rPr>
          <w:rStyle w:val="29"/>
          <w:rFonts w:hint="eastAsia" w:ascii="Times New Roman" w:hAnsi="Times New Roman" w:eastAsia="仿宋"/>
          <w:b w:val="0"/>
          <w:bCs w:val="0"/>
        </w:rPr>
        <w:t>十、</w:t>
      </w:r>
      <w:bookmarkEnd w:id="64"/>
      <w:r>
        <w:rPr>
          <w:rFonts w:hint="eastAsia" w:ascii="Times New Roman" w:hAnsi="Times New Roman" w:eastAsia="仿宋"/>
          <w:b w:val="0"/>
        </w:rPr>
        <w:t>政</w:t>
      </w:r>
      <w:r>
        <w:rPr>
          <w:rStyle w:val="29"/>
          <w:rFonts w:hint="eastAsia" w:ascii="Times New Roman" w:hAnsi="Times New Roman" w:eastAsia="仿宋"/>
          <w:b w:val="0"/>
          <w:bCs w:val="0"/>
        </w:rPr>
        <w:t>府性基金预算财政拨款收入支出决算表</w:t>
      </w:r>
    </w:p>
    <w:p>
      <w:pPr>
        <w:pStyle w:val="4"/>
        <w:pageBreakBefore w:val="0"/>
        <w:kinsoku/>
        <w:wordWrap/>
        <w:overflowPunct/>
        <w:topLinePunct w:val="0"/>
        <w:bidi w:val="0"/>
        <w:spacing w:line="592" w:lineRule="exact"/>
        <w:textAlignment w:val="auto"/>
        <w:rPr>
          <w:rFonts w:ascii="Times New Roman" w:hAnsi="Times New Roman" w:eastAsia="仿宋"/>
        </w:rPr>
      </w:pPr>
      <w:bookmarkStart w:id="65" w:name="_Toc15396629"/>
      <w:r>
        <w:rPr>
          <w:rStyle w:val="29"/>
          <w:rFonts w:hint="eastAsia" w:ascii="Times New Roman" w:hAnsi="Times New Roman" w:eastAsia="仿宋"/>
          <w:b w:val="0"/>
          <w:bCs w:val="0"/>
        </w:rPr>
        <w:t>十一、</w:t>
      </w:r>
      <w:bookmarkEnd w:id="65"/>
      <w:r>
        <w:rPr>
          <w:rFonts w:hint="eastAsia" w:ascii="Times New Roman" w:hAnsi="Times New Roman" w:eastAsia="仿宋"/>
          <w:b w:val="0"/>
        </w:rPr>
        <w:t>国</w:t>
      </w:r>
      <w:r>
        <w:rPr>
          <w:rStyle w:val="29"/>
          <w:rFonts w:hint="eastAsia" w:ascii="Times New Roman" w:hAnsi="Times New Roman" w:eastAsia="仿宋"/>
          <w:b w:val="0"/>
          <w:bCs w:val="0"/>
        </w:rPr>
        <w:t>有资本经营预算财政拨款收入支出决算表</w:t>
      </w:r>
    </w:p>
    <w:p>
      <w:pPr>
        <w:pStyle w:val="4"/>
        <w:pageBreakBefore w:val="0"/>
        <w:kinsoku/>
        <w:wordWrap/>
        <w:overflowPunct/>
        <w:topLinePunct w:val="0"/>
        <w:bidi w:val="0"/>
        <w:spacing w:line="592" w:lineRule="exact"/>
        <w:textAlignment w:val="auto"/>
        <w:rPr>
          <w:rFonts w:ascii="Times New Roman" w:hAnsi="Times New Roman" w:eastAsia="仿宋"/>
        </w:rPr>
      </w:pPr>
      <w:bookmarkStart w:id="66" w:name="_Toc15396630"/>
      <w:r>
        <w:rPr>
          <w:rStyle w:val="29"/>
          <w:rFonts w:hint="eastAsia" w:ascii="Times New Roman" w:hAnsi="Times New Roman" w:eastAsia="仿宋"/>
          <w:b w:val="0"/>
          <w:bCs w:val="0"/>
        </w:rPr>
        <w:t>十二、</w:t>
      </w:r>
      <w:bookmarkEnd w:id="66"/>
      <w:r>
        <w:rPr>
          <w:rStyle w:val="29"/>
          <w:rFonts w:hint="eastAsia" w:ascii="Times New Roman" w:hAnsi="Times New Roman" w:eastAsia="仿宋"/>
          <w:b w:val="0"/>
          <w:bCs w:val="0"/>
        </w:rPr>
        <w:t>国有资本经营预算财政拨款支出决算表</w:t>
      </w:r>
    </w:p>
    <w:p>
      <w:pPr>
        <w:pStyle w:val="4"/>
        <w:pageBreakBefore w:val="0"/>
        <w:kinsoku/>
        <w:wordWrap/>
        <w:overflowPunct/>
        <w:topLinePunct w:val="0"/>
        <w:bidi w:val="0"/>
        <w:spacing w:line="592" w:lineRule="exact"/>
        <w:textAlignment w:val="auto"/>
        <w:rPr>
          <w:rFonts w:ascii="Times New Roman" w:hAnsi="Times New Roman" w:eastAsia="仿宋"/>
        </w:rPr>
      </w:pPr>
      <w:bookmarkStart w:id="67" w:name="_Toc15396631"/>
      <w:r>
        <w:rPr>
          <w:rStyle w:val="29"/>
          <w:rFonts w:hint="eastAsia" w:ascii="Times New Roman" w:hAnsi="Times New Roman" w:eastAsia="仿宋"/>
          <w:b w:val="0"/>
          <w:bCs w:val="0"/>
        </w:rPr>
        <w:t>十三、</w:t>
      </w:r>
      <w:bookmarkEnd w:id="67"/>
      <w:r>
        <w:rPr>
          <w:rStyle w:val="29"/>
          <w:rFonts w:hint="eastAsia" w:ascii="Times New Roman" w:hAnsi="Times New Roman" w:eastAsia="仿宋"/>
          <w:b w:val="0"/>
          <w:bCs w:val="0"/>
        </w:rPr>
        <w:t>财政拨款“三公”经费支出决算表</w:t>
      </w:r>
    </w:p>
    <w:sectPr>
      <w:headerReference r:id="rId7" w:type="default"/>
      <w:footerReference r:id="rId8"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思源黑体 CN Regula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思源黑体 CN Regula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auto"/>
    <w:pitch w:val="default"/>
    <w:sig w:usb0="00000001" w:usb1="080E0000" w:usb2="00000000" w:usb3="00000000" w:csb0="00040000" w:csb1="00000000"/>
  </w:font>
  <w:font w:name="思源黑体 CN Regular">
    <w:panose1 w:val="020B0500000000000000"/>
    <w:charset w:val="86"/>
    <w:family w:val="auto"/>
    <w:pitch w:val="default"/>
    <w:sig w:usb0="20000003" w:usb1="2ADF3C10" w:usb2="00000016" w:usb3="00000000" w:csb0="60060107"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4390"/>
                          </w:sdtPr>
                          <w:sdtContent>
                            <w:p>
                              <w:pPr>
                                <w:pStyle w:val="2"/>
                                <w:jc w:val="center"/>
                              </w:pPr>
                              <w:r>
                                <w:fldChar w:fldCharType="begin"/>
                              </w:r>
                              <w:r>
                                <w:instrText xml:space="preserve">PAGE   \* MERGEFORMAT</w:instrText>
                              </w:r>
                              <w:r>
                                <w:fldChar w:fldCharType="separate"/>
                              </w:r>
                              <w:r>
                                <w:rPr>
                                  <w:lang w:val="zh-CN"/>
                                </w:rPr>
                                <w:t>15</w:t>
                              </w:r>
                              <w:r>
                                <w:fldChar w:fldCharType="end"/>
                              </w:r>
                            </w:p>
                          </w:sdtContent>
                        </w:sd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sdt>
                    <w:sdtPr>
                      <w:id w:val="147474390"/>
                    </w:sdtPr>
                    <w:sdtContent>
                      <w:p>
                        <w:pPr>
                          <w:pStyle w:val="2"/>
                          <w:jc w:val="center"/>
                        </w:pPr>
                        <w:r>
                          <w:fldChar w:fldCharType="begin"/>
                        </w:r>
                        <w:r>
                          <w:instrText xml:space="preserve">PAGE   \* MERGEFORMAT</w:instrText>
                        </w:r>
                        <w:r>
                          <w:fldChar w:fldCharType="separate"/>
                        </w:r>
                        <w:r>
                          <w:rPr>
                            <w:lang w:val="zh-CN"/>
                          </w:rPr>
                          <w:t>15</w:t>
                        </w:r>
                        <w:r>
                          <w:fldChar w:fldCharType="end"/>
                        </w:r>
                      </w:p>
                    </w:sdtContent>
                  </w:sdt>
                  <w:p>
                    <w:pPr>
                      <w:pStyle w:val="2"/>
                    </w:pP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D2FFA"/>
    <w:multiLevelType w:val="singleLevel"/>
    <w:tmpl w:val="BFCD2FFA"/>
    <w:lvl w:ilvl="0" w:tentative="0">
      <w:start w:val="3"/>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FE777084"/>
    <w:multiLevelType w:val="singleLevel"/>
    <w:tmpl w:val="FE777084"/>
    <w:lvl w:ilvl="0" w:tentative="0">
      <w:start w:val="2"/>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2B637FDE"/>
    <w:multiLevelType w:val="singleLevel"/>
    <w:tmpl w:val="2B637FDE"/>
    <w:lvl w:ilvl="0" w:tentative="0">
      <w:start w:val="2"/>
      <w:numFmt w:val="chineseCounting"/>
      <w:suff w:val="nothing"/>
      <w:lvlText w:val="（%1）"/>
      <w:lvlJc w:val="left"/>
      <w:rPr>
        <w:rFonts w:hint="eastAsia"/>
      </w:rPr>
    </w:lvl>
  </w:abstractNum>
  <w:abstractNum w:abstractNumId="6">
    <w:nsid w:val="3818A09A"/>
    <w:multiLevelType w:val="singleLevel"/>
    <w:tmpl w:val="3818A09A"/>
    <w:lvl w:ilvl="0" w:tentative="0">
      <w:start w:val="1"/>
      <w:numFmt w:val="chineseCounting"/>
      <w:suff w:val="nothing"/>
      <w:lvlText w:val="%1、"/>
      <w:lvlJc w:val="left"/>
      <w:rPr>
        <w:rFonts w:hint="eastAsia"/>
      </w:rPr>
    </w:lvl>
  </w:abstractNum>
  <w:num w:numId="1">
    <w:abstractNumId w:val="6"/>
  </w:num>
  <w:num w:numId="2">
    <w:abstractNumId w:val="4"/>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zVhZDZmNDFmOGQ1YjRhYWRhYTMxNGI1NjRkM2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9AF3352"/>
    <w:rsid w:val="0A2032A3"/>
    <w:rsid w:val="0B8A37D8"/>
    <w:rsid w:val="0F5FFB2F"/>
    <w:rsid w:val="0FFFCF60"/>
    <w:rsid w:val="10C055FF"/>
    <w:rsid w:val="118107EC"/>
    <w:rsid w:val="11DD6519"/>
    <w:rsid w:val="16BB723D"/>
    <w:rsid w:val="18015F3F"/>
    <w:rsid w:val="1BE8440E"/>
    <w:rsid w:val="1D155CEE"/>
    <w:rsid w:val="1FDBBF84"/>
    <w:rsid w:val="20F57F95"/>
    <w:rsid w:val="240371BF"/>
    <w:rsid w:val="25711CC6"/>
    <w:rsid w:val="25C741E6"/>
    <w:rsid w:val="276F80C0"/>
    <w:rsid w:val="27842671"/>
    <w:rsid w:val="29FD04D3"/>
    <w:rsid w:val="2ABE7A3E"/>
    <w:rsid w:val="2AFF09B6"/>
    <w:rsid w:val="2CA234A8"/>
    <w:rsid w:val="2E7970F7"/>
    <w:rsid w:val="2E8C7609"/>
    <w:rsid w:val="2EFA178C"/>
    <w:rsid w:val="2EFDF86C"/>
    <w:rsid w:val="2F9D17E1"/>
    <w:rsid w:val="309C4495"/>
    <w:rsid w:val="30B46D73"/>
    <w:rsid w:val="319F7F4E"/>
    <w:rsid w:val="356A28F1"/>
    <w:rsid w:val="357C035A"/>
    <w:rsid w:val="36393EBC"/>
    <w:rsid w:val="368E000D"/>
    <w:rsid w:val="36DD887D"/>
    <w:rsid w:val="383D272C"/>
    <w:rsid w:val="39AE70AB"/>
    <w:rsid w:val="3A4DCE41"/>
    <w:rsid w:val="3BCB56FA"/>
    <w:rsid w:val="3C0C0783"/>
    <w:rsid w:val="3EE7C2F4"/>
    <w:rsid w:val="3F371B56"/>
    <w:rsid w:val="3F792ED8"/>
    <w:rsid w:val="3F9F3A96"/>
    <w:rsid w:val="3FEACA2D"/>
    <w:rsid w:val="3FECA4B2"/>
    <w:rsid w:val="3FF58C48"/>
    <w:rsid w:val="3FFAA3E9"/>
    <w:rsid w:val="42FF6694"/>
    <w:rsid w:val="48BF60AB"/>
    <w:rsid w:val="493C27E9"/>
    <w:rsid w:val="496F39ED"/>
    <w:rsid w:val="49FF41D3"/>
    <w:rsid w:val="4BE068DB"/>
    <w:rsid w:val="4BF6002B"/>
    <w:rsid w:val="4BFFC6BE"/>
    <w:rsid w:val="4ECE2238"/>
    <w:rsid w:val="4F025FB7"/>
    <w:rsid w:val="51DB4B86"/>
    <w:rsid w:val="51F64DB0"/>
    <w:rsid w:val="55333C3E"/>
    <w:rsid w:val="563B1BE1"/>
    <w:rsid w:val="57D35236"/>
    <w:rsid w:val="5F67802D"/>
    <w:rsid w:val="5F7DC4F2"/>
    <w:rsid w:val="5FB36814"/>
    <w:rsid w:val="5FBB8E56"/>
    <w:rsid w:val="5FFB5535"/>
    <w:rsid w:val="61FFCBCE"/>
    <w:rsid w:val="635F4D42"/>
    <w:rsid w:val="64CA39A1"/>
    <w:rsid w:val="69630ADE"/>
    <w:rsid w:val="69BD5F13"/>
    <w:rsid w:val="69FB0B4B"/>
    <w:rsid w:val="6BFFE1FB"/>
    <w:rsid w:val="6C4A05C8"/>
    <w:rsid w:val="6D3B1A89"/>
    <w:rsid w:val="6DB7D8A3"/>
    <w:rsid w:val="6DF95E34"/>
    <w:rsid w:val="6EC78701"/>
    <w:rsid w:val="6F7A5481"/>
    <w:rsid w:val="6FFE07A9"/>
    <w:rsid w:val="71BF4EC2"/>
    <w:rsid w:val="72734D90"/>
    <w:rsid w:val="73E75B71"/>
    <w:rsid w:val="7412278C"/>
    <w:rsid w:val="744A6632"/>
    <w:rsid w:val="75DDCDA9"/>
    <w:rsid w:val="75FF44B1"/>
    <w:rsid w:val="77670518"/>
    <w:rsid w:val="777FA627"/>
    <w:rsid w:val="77DF1B5F"/>
    <w:rsid w:val="77EF2D9D"/>
    <w:rsid w:val="79E7B28D"/>
    <w:rsid w:val="7ACFF0C2"/>
    <w:rsid w:val="7AFB9108"/>
    <w:rsid w:val="7B51B779"/>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7551F"/>
    <w:rsid w:val="7FDD1748"/>
    <w:rsid w:val="7FE769C6"/>
    <w:rsid w:val="7FFD083E"/>
    <w:rsid w:val="7FFF9372"/>
    <w:rsid w:val="84BF1F3B"/>
    <w:rsid w:val="8F55B106"/>
    <w:rsid w:val="95DF317D"/>
    <w:rsid w:val="97E77C70"/>
    <w:rsid w:val="9E3A10E2"/>
    <w:rsid w:val="9FB91FBD"/>
    <w:rsid w:val="9FD54998"/>
    <w:rsid w:val="A3FB1B6E"/>
    <w:rsid w:val="A671883B"/>
    <w:rsid w:val="A7EFD17F"/>
    <w:rsid w:val="A7FFE43F"/>
    <w:rsid w:val="BB67824F"/>
    <w:rsid w:val="BDFEA317"/>
    <w:rsid w:val="CD9BBABB"/>
    <w:rsid w:val="CF99F292"/>
    <w:rsid w:val="CFFD858C"/>
    <w:rsid w:val="D5DA60B3"/>
    <w:rsid w:val="D7C6F579"/>
    <w:rsid w:val="D8FECA92"/>
    <w:rsid w:val="DAFFBE66"/>
    <w:rsid w:val="DD2C0BFE"/>
    <w:rsid w:val="DDFEEFA7"/>
    <w:rsid w:val="DE3F332B"/>
    <w:rsid w:val="DE45A87D"/>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ED00BE"/>
    <w:rsid w:val="F5FF7449"/>
    <w:rsid w:val="F7880819"/>
    <w:rsid w:val="F7AF180D"/>
    <w:rsid w:val="F7BDBFA7"/>
    <w:rsid w:val="F7FAD68F"/>
    <w:rsid w:val="F7FB14CF"/>
    <w:rsid w:val="FAFBCF3B"/>
    <w:rsid w:val="FAFF0D24"/>
    <w:rsid w:val="FB3FC69C"/>
    <w:rsid w:val="FBDFF225"/>
    <w:rsid w:val="FBF7AB63"/>
    <w:rsid w:val="FC2F3373"/>
    <w:rsid w:val="FCF51535"/>
    <w:rsid w:val="FD77F6B8"/>
    <w:rsid w:val="FDD69328"/>
    <w:rsid w:val="FDDFEC0E"/>
    <w:rsid w:val="FDE58BDD"/>
    <w:rsid w:val="FDEC7001"/>
    <w:rsid w:val="FEDFE87F"/>
    <w:rsid w:val="FEF1D25B"/>
    <w:rsid w:val="FF3EF90F"/>
    <w:rsid w:val="FF47C294"/>
    <w:rsid w:val="FFAF6081"/>
    <w:rsid w:val="FFC98D14"/>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23"/>
    <w:qFormat/>
    <w:uiPriority w:val="99"/>
    <w:pPr>
      <w:tabs>
        <w:tab w:val="center" w:pos="4153"/>
        <w:tab w:val="right" w:pos="8306"/>
      </w:tabs>
      <w:snapToGrid w:val="0"/>
      <w:jc w:val="left"/>
    </w:pPr>
    <w:rPr>
      <w:rFonts w:ascii="Calibri" w:hAnsi="Calibri"/>
      <w:kern w:val="0"/>
      <w:sz w:val="18"/>
      <w:szCs w:val="18"/>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0"/>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2"/>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3"/>
    <w:qFormat/>
    <w:uiPriority w:val="9"/>
    <w:rPr>
      <w:rFonts w:ascii="Times New Roman" w:hAnsi="Times New Roman"/>
      <w:b/>
      <w:bCs/>
      <w:kern w:val="44"/>
      <w:sz w:val="44"/>
      <w:szCs w:val="44"/>
    </w:rPr>
  </w:style>
  <w:style w:type="character" w:customStyle="1" w:styleId="29">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9"/>
    <w:semiHidden/>
    <w:qFormat/>
    <w:uiPriority w:val="99"/>
    <w:rPr>
      <w:rFonts w:ascii="Times New Roman" w:hAnsi="Times New Roman"/>
      <w:kern w:val="2"/>
      <w:sz w:val="18"/>
      <w:szCs w:val="18"/>
    </w:rPr>
  </w:style>
  <w:style w:type="character" w:customStyle="1" w:styleId="32">
    <w:name w:val="标题 3 字符"/>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标题 1 Char"/>
    <w:basedOn w:val="16"/>
    <w:link w:val="3"/>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429.87</c:v>
                </c:pt>
                <c:pt idx="1">
                  <c:v>496.5</c:v>
                </c:pt>
              </c:numCache>
            </c:numRef>
          </c:val>
        </c:ser>
        <c:ser>
          <c:idx val="1"/>
          <c:order val="1"/>
          <c:tx>
            <c:strRef>
              <c:f>Sheet1!$C$1</c:f>
              <c:strCache>
                <c:ptCount val="1"/>
                <c:pt idx="0">
                  <c:v>支出</c:v>
                </c:pt>
              </c:strCache>
            </c:strRef>
          </c:tx>
          <c:spPr>
            <a:solidFill>
              <a:srgbClr val="FFC000"/>
            </a:solidFill>
            <a:ln>
              <a:noFill/>
            </a:ln>
            <a:effectLst>
              <a:outerShdw blurRad="50800" dist="50800" dir="5400000" sx="1000" sy="1000" algn="ctr" rotWithShape="0">
                <a:srgbClr val="000000">
                  <a:alpha val="43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429.87</c:v>
                </c:pt>
                <c:pt idx="1">
                  <c:v>496.5</c:v>
                </c:pt>
              </c:numCache>
            </c:numRef>
          </c:val>
        </c:ser>
        <c:dLbls>
          <c:showLegendKey val="false"/>
          <c:showVal val="true"/>
          <c:showCatName val="false"/>
          <c:showSerName val="false"/>
          <c:showPercent val="false"/>
          <c:showBubbleSize val="false"/>
        </c:dLbls>
        <c:gapWidth val="108"/>
        <c:overlap val="-43"/>
        <c:axId val="965018745"/>
        <c:axId val="261915573"/>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965018745"/>
        <c:scaling>
          <c:orientation val="minMax"/>
        </c:scaling>
        <c:delete val="false"/>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61915573"/>
        <c:crosses val="autoZero"/>
        <c:auto val="true"/>
        <c:lblAlgn val="ctr"/>
        <c:lblOffset val="100"/>
        <c:noMultiLvlLbl val="false"/>
      </c:catAx>
      <c:valAx>
        <c:axId val="261915573"/>
        <c:scaling>
          <c:orientation val="minMax"/>
          <c:max val="500"/>
          <c:min val="250"/>
        </c:scaling>
        <c:delete val="false"/>
        <c:axPos val="l"/>
        <c:majorGridlines>
          <c:spPr>
            <a:ln w="9525" cap="flat" cmpd="sng" algn="ctr">
              <a:solidFill>
                <a:schemeClr val="lt1">
                  <a:lumMod val="90200"/>
                </a:schemeClr>
              </a:solidFill>
              <a:round/>
            </a:ln>
            <a:effectLst/>
          </c:spPr>
        </c:majorGridlines>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65018745"/>
        <c:crosses val="autoZero"/>
        <c:crossBetween val="between"/>
        <c:majorUnit val="25"/>
        <c:minorUnit val="1"/>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
                </c:pt>
              </c:strCache>
            </c:strRef>
          </c:tx>
          <c:spPr>
            <a:effectLst/>
          </c:spPr>
          <c:explosion val="0"/>
          <c:dPt>
            <c:idx val="0"/>
            <c:bubble3D val="false"/>
            <c:spPr>
              <a:solidFill>
                <a:schemeClr val="accent1"/>
              </a:solidFill>
              <a:ln>
                <a:noFill/>
              </a:ln>
              <a:effectLst/>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Sheet1!$A$2:$A$3</c15:sqref>
                  </c15:fullRef>
                </c:ext>
              </c:extLst>
              <c:f>Sheet1!$A$2</c:f>
              <c:strCache>
                <c:ptCount val="1"/>
                <c:pt idx="0">
                  <c:v>一般公共预算财政拨款收入</c:v>
                </c:pt>
              </c:strCache>
            </c:strRef>
          </c:cat>
          <c:val>
            <c:numRef>
              <c:extLst>
                <c:ext xmlns:c15="http://schemas.microsoft.com/office/drawing/2012/chart" uri="{02D57815-91ED-43cb-92C2-25804820EDAC}">
                  <c15:fullRef>
                    <c15:sqref>Sheet1!$B$2:$B$3</c15:sqref>
                  </c15:fullRef>
                </c:ext>
              </c:extLst>
              <c:f>Sheet1!$B$2</c:f>
              <c:numCache>
                <c:formatCode>General</c:formatCode>
                <c:ptCount val="1"/>
                <c:pt idx="0">
                  <c:v>496.5</c:v>
                </c:pt>
              </c:numCache>
            </c:numRef>
          </c:val>
        </c:ser>
        <c:dLbls>
          <c:showLegendKey val="false"/>
          <c:showVal val="false"/>
          <c:showCatName val="false"/>
          <c:showSerName val="false"/>
          <c:showPercent val="false"/>
          <c:showBubbleSize val="false"/>
          <c:showLeaderLines val="true"/>
        </c:dLbls>
        <c:firstSliceAng val="0"/>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
                      </c:pt>
                    </c:strCache>
                  </c:strRef>
                </c:tx>
                <c:spPr>
                  <a:solidFill>
                    <a:srgbClr val="FFC000"/>
                  </a:solidFill>
                  <a:effectLst/>
                </c:spPr>
                <c:explosion val="0"/>
                <c:dPt>
                  <c:idx val="0"/>
                  <c:bubble3D val="false"/>
                  <c:spPr>
                    <a:solidFill>
                      <a:srgbClr val="FFC000"/>
                    </a:solidFill>
                    <a:ln>
                      <a:noFill/>
                    </a:ln>
                    <a:effectLst/>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Sheet1!$A$2:$A$3</c15:sqref>
                        </c15:fullRef>
                        <c15:formulaRef>
                          <c15:sqref>Sheet1!$A$2</c15:sqref>
                        </c15:formulaRef>
                      </c:ext>
                    </c:extLst>
                    <c:strCache>
                      <c:ptCount val="1"/>
                      <c:pt idx="0">
                        <c:v>一般公共预算财政拨款收入</c:v>
                      </c:pt>
                    </c:strCache>
                  </c:strRef>
                </c:cat>
                <c:val>
                  <c:numRef>
                    <c:extLst>
                      <c:ext uri="{02D57815-91ED-43cb-92C2-25804820EDAC}">
                        <c15:fullRef>
                          <c15:sqref>Sheet1!$C$2:$C$3</c15:sqref>
                        </c15:fullRef>
                        <c15:formulaRef>
                          <c15:sqref>Sheet1!$C$2</c15:sqref>
                        </c15:formulaRef>
                      </c:ext>
                    </c:extLst>
                    <c:numCache>
                      <c:formatCode>General</c:formatCode>
                      <c:ptCount val="1"/>
                    </c:numCache>
                  </c:numRef>
                </c:val>
              </c15:ser>
            </c15:filteredPieSeries>
            <c15:filteredPieSeries>
              <c15:ser>
                <c:idx val="2"/>
                <c:order val="2"/>
                <c:tx>
                  <c:strRef>
                    <c:extLst>
                      <c:ext uri="{02D57815-91ED-43cb-92C2-25804820EDAC}">
                        <c15:formulaRef>
                          <c15:sqref>Sheet1!#REF!</c15:sqref>
                        </c15:formulaRef>
                      </c:ext>
                    </c:extLst>
                    <c:strCache>
                      <c:ptCount val="1"/>
                      <c:pt idx="0">
                        <c:v/>
                      </c:pt>
                    </c:strCache>
                  </c:strRef>
                </c:tx>
                <c:spPr>
                  <a:effectLst/>
                </c:spPr>
                <c:explosion val="0"/>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Sheet1!$A$2:$A$3</c15:sqref>
                        </c15:fullRef>
                        <c15:formulaRef>
                          <c15:sqref>Sheet1!$A$2</c15:sqref>
                        </c15:formulaRef>
                      </c:ext>
                    </c:extLst>
                    <c:strCache>
                      <c:ptCount val="1"/>
                      <c:pt idx="0">
                        <c:v>一般公共预算财政拨款收入</c:v>
                      </c:pt>
                    </c:strCache>
                  </c:strRef>
                </c:cat>
              </c15:ser>
            </c15:filteredPieSeries>
          </c:ext>
        </c:extLst>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
                </c:pt>
              </c:strCache>
            </c:strRef>
          </c:tx>
          <c:spPr>
            <a:effectLst/>
          </c:spPr>
          <c:explosion val="0"/>
          <c:dPt>
            <c:idx val="0"/>
            <c:bubble3D val="false"/>
            <c:spPr>
              <a:solidFill>
                <a:schemeClr val="accent1"/>
              </a:solidFill>
              <a:ln>
                <a:noFill/>
              </a:ln>
              <a:effectLst/>
            </c:spPr>
          </c:dPt>
          <c:dPt>
            <c:idx val="1"/>
            <c:bubble3D val="false"/>
            <c:spPr>
              <a:solidFill>
                <a:schemeClr val="accent2"/>
              </a:solidFill>
              <a:ln>
                <a:noFill/>
              </a:ln>
              <a:effectLst/>
            </c:spPr>
          </c:dPt>
          <c:dLbls>
            <c:dLbl>
              <c:idx val="0"/>
              <c:layout/>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false"/>
              <c:showCatName val="false"/>
              <c:showSerName val="false"/>
              <c:showPercent val="true"/>
              <c:showBubbleSize val="false"/>
              <c:extLst>
                <c:ext xmlns:c15="http://schemas.microsoft.com/office/drawing/2012/chart" uri="{CE6537A1-D6FC-4f65-9D91-7224C49458BB}"/>
              </c:extLst>
            </c:dLbl>
            <c:dLbl>
              <c:idx val="1"/>
              <c:layout/>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false"/>
              <c:showCatName val="false"/>
              <c:showSerName val="false"/>
              <c:showPercent val="tru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206.46</c:v>
                </c:pt>
                <c:pt idx="1">
                  <c:v>290.05</c:v>
                </c:pt>
              </c:numCache>
            </c:numRef>
          </c:val>
        </c:ser>
        <c:ser>
          <c:idx val="1"/>
          <c:order val="1"/>
          <c:tx>
            <c:strRef>
              <c:f>Sheet1!$C$1</c:f>
              <c:strCache>
                <c:ptCount val="1"/>
                <c:pt idx="0">
                  <c:v/>
                </c:pt>
              </c:strCache>
            </c:strRef>
          </c:tx>
          <c:spPr>
            <a:solidFill>
              <a:srgbClr val="FFC000"/>
            </a:solidFill>
            <a:effectLst/>
          </c:spPr>
          <c:explosion val="0"/>
          <c:dPt>
            <c:idx val="0"/>
            <c:bubble3D val="false"/>
            <c:spPr>
              <a:solidFill>
                <a:srgbClr val="FFC000"/>
              </a:solidFill>
              <a:ln>
                <a:noFill/>
              </a:ln>
              <a:effectLst/>
            </c:spPr>
          </c:dPt>
          <c:dPt>
            <c:idx val="1"/>
            <c:bubble3D val="false"/>
            <c:spPr>
              <a:solidFill>
                <a:srgbClr val="FFC000"/>
              </a:solidFill>
              <a:ln>
                <a:noFill/>
              </a:ln>
              <a:effectLst/>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Sheet1!$C$2:$C$3</c:f>
              <c:numCache>
                <c:formatCode>General</c:formatCode>
                <c:ptCount val="2"/>
              </c:numCache>
            </c:numRef>
          </c:val>
        </c:ser>
        <c:dLbls>
          <c:showLegendKey val="false"/>
          <c:showVal val="false"/>
          <c:showCatName val="false"/>
          <c:showSerName val="false"/>
          <c:showPercent val="false"/>
          <c:showBubbleSize val="false"/>
          <c:showLeaderLines val="true"/>
        </c:dLbls>
        <c:firstSliceAng val="0"/>
        <c:extLst>
          <c:ext xmlns:c15="http://schemas.microsoft.com/office/drawing/2012/chart" uri="{02D57815-91ED-43cb-92C2-25804820EDAC}">
            <c15:filteredPieSeries>
              <c15:ser>
                <c:idx val="2"/>
                <c:order val="2"/>
                <c:tx>
                  <c:strRef>
                    <c:extLst>
                      <c:ext uri="{02D57815-91ED-43cb-92C2-25804820EDAC}">
                        <c15:formulaRef>
                          <c15:sqref>Sheet1!#REF!</c15:sqref>
                        </c15:formulaRef>
                      </c:ext>
                    </c:extLst>
                    <c:strCache>
                      <c:ptCount val="1"/>
                      <c:pt idx="0">
                        <c:v/>
                      </c:pt>
                    </c:strCache>
                  </c:strRef>
                </c:tx>
                <c:spPr>
                  <a:effectLst/>
                </c:spPr>
                <c:explosion val="0"/>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基本支出</c:v>
                      </c:pt>
                      <c:pt idx="1">
                        <c:v>项目支出</c:v>
                      </c:pt>
                    </c:strCache>
                  </c:strRef>
                </c:cat>
              </c15:ser>
            </c15:filteredPieSeries>
          </c:ext>
        </c:extLst>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429.87</c:v>
                </c:pt>
                <c:pt idx="1">
                  <c:v>496.5</c:v>
                </c:pt>
              </c:numCache>
            </c:numRef>
          </c:val>
        </c:ser>
        <c:ser>
          <c:idx val="1"/>
          <c:order val="1"/>
          <c:tx>
            <c:strRef>
              <c:f>Sheet1!$C$1</c:f>
              <c:strCache>
                <c:ptCount val="1"/>
                <c:pt idx="0">
                  <c:v>支出</c:v>
                </c:pt>
              </c:strCache>
            </c:strRef>
          </c:tx>
          <c:spPr>
            <a:solidFill>
              <a:srgbClr val="FFC000"/>
            </a:solidFill>
            <a:ln>
              <a:noFill/>
            </a:ln>
            <a:effectLst>
              <a:outerShdw blurRad="50800" dist="50800" dir="5400000" sx="1000" sy="1000" algn="ctr" rotWithShape="0">
                <a:srgbClr val="000000">
                  <a:alpha val="43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429.87</c:v>
                </c:pt>
                <c:pt idx="1">
                  <c:v>496.5</c:v>
                </c:pt>
              </c:numCache>
            </c:numRef>
          </c:val>
        </c:ser>
        <c:dLbls>
          <c:showLegendKey val="false"/>
          <c:showVal val="true"/>
          <c:showCatName val="false"/>
          <c:showSerName val="false"/>
          <c:showPercent val="false"/>
          <c:showBubbleSize val="false"/>
        </c:dLbls>
        <c:gapWidth val="108"/>
        <c:overlap val="-43"/>
        <c:axId val="965018745"/>
        <c:axId val="261915573"/>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965018745"/>
        <c:scaling>
          <c:orientation val="minMax"/>
        </c:scaling>
        <c:delete val="false"/>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61915573"/>
        <c:crosses val="autoZero"/>
        <c:auto val="true"/>
        <c:lblAlgn val="ctr"/>
        <c:lblOffset val="100"/>
        <c:noMultiLvlLbl val="false"/>
      </c:catAx>
      <c:valAx>
        <c:axId val="261915573"/>
        <c:scaling>
          <c:orientation val="minMax"/>
          <c:max val="500"/>
          <c:min val="250"/>
        </c:scaling>
        <c:delete val="false"/>
        <c:axPos val="l"/>
        <c:majorGridlines>
          <c:spPr>
            <a:ln w="9525" cap="flat" cmpd="sng" algn="ctr">
              <a:solidFill>
                <a:schemeClr val="lt1">
                  <a:lumMod val="90200"/>
                </a:schemeClr>
              </a:solidFill>
              <a:round/>
            </a:ln>
            <a:effectLst/>
          </c:spPr>
        </c:majorGridlines>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65018745"/>
        <c:crosses val="autoZero"/>
        <c:crossBetween val="between"/>
        <c:majorUnit val="25"/>
        <c:minorUnit val="1"/>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2022年</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Sheet1!$A$2:$A$3</c15:sqref>
                  </c15:fullRef>
                </c:ext>
              </c:extLst>
              <c:f>Sheet1!$A$2</c:f>
              <c:strCache>
                <c:ptCount val="1"/>
                <c:pt idx="0">
                  <c:v>一般公共预算财政拨款支出</c:v>
                </c:pt>
              </c:strCache>
            </c:strRef>
          </c:cat>
          <c:val>
            <c:numRef>
              <c:extLst>
                <c:ext xmlns:c15="http://schemas.microsoft.com/office/drawing/2012/chart" uri="{02D57815-91ED-43cb-92C2-25804820EDAC}">
                  <c15:fullRef>
                    <c15:sqref>Sheet1!$B$2:$B$3</c15:sqref>
                  </c15:fullRef>
                </c:ext>
              </c:extLst>
              <c:f>Sheet1!$B$2</c:f>
              <c:numCache>
                <c:formatCode>General</c:formatCode>
                <c:ptCount val="1"/>
                <c:pt idx="0">
                  <c:v>429.87</c:v>
                </c:pt>
              </c:numCache>
            </c:numRef>
          </c:val>
        </c:ser>
        <c:ser>
          <c:idx val="1"/>
          <c:order val="1"/>
          <c:tx>
            <c:strRef>
              <c:f>Sheet1!$C$1</c:f>
              <c:strCache>
                <c:ptCount val="1"/>
                <c:pt idx="0">
                  <c:v>2023年</c:v>
                </c:pt>
              </c:strCache>
            </c:strRef>
          </c:tx>
          <c:spPr>
            <a:solidFill>
              <a:srgbClr val="FFC000"/>
            </a:solidFill>
            <a:ln>
              <a:noFill/>
            </a:ln>
            <a:effectLst>
              <a:outerShdw blurRad="50800" dist="50800" dir="5400000" sx="1000" sy="1000" algn="ctr" rotWithShape="0">
                <a:srgbClr val="000000">
                  <a:alpha val="43000"/>
                </a:srgb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Sheet1!$A$2:$A$3</c15:sqref>
                  </c15:fullRef>
                </c:ext>
              </c:extLst>
              <c:f>Sheet1!$A$2</c:f>
              <c:strCache>
                <c:ptCount val="1"/>
                <c:pt idx="0">
                  <c:v>一般公共预算财政拨款支出</c:v>
                </c:pt>
              </c:strCache>
            </c:strRef>
          </c:cat>
          <c:val>
            <c:numRef>
              <c:extLst>
                <c:ext xmlns:c15="http://schemas.microsoft.com/office/drawing/2012/chart" uri="{02D57815-91ED-43cb-92C2-25804820EDAC}">
                  <c15:fullRef>
                    <c15:sqref>Sheet1!$C$2:$C$3</c15:sqref>
                  </c15:fullRef>
                </c:ext>
              </c:extLst>
              <c:f>Sheet1!$C$2</c:f>
              <c:numCache>
                <c:formatCode>General</c:formatCode>
                <c:ptCount val="1"/>
                <c:pt idx="0">
                  <c:v>496.5</c:v>
                </c:pt>
              </c:numCache>
            </c:numRef>
          </c:val>
        </c:ser>
        <c:dLbls>
          <c:showLegendKey val="false"/>
          <c:showVal val="true"/>
          <c:showCatName val="false"/>
          <c:showSerName val="false"/>
          <c:showPercent val="false"/>
          <c:showBubbleSize val="false"/>
        </c:dLbls>
        <c:gapWidth val="108"/>
        <c:overlap val="-43"/>
        <c:axId val="965018745"/>
        <c:axId val="261915573"/>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Sheet1!$A$2:$A$3</c15:sqref>
                        </c15:fullRef>
                        <c15:formulaRef>
                          <c15:sqref>Sheet1!$A$2</c15:sqref>
                        </c15:formulaRef>
                      </c:ext>
                    </c:extLst>
                    <c:strCache>
                      <c:ptCount val="1"/>
                      <c:pt idx="0">
                        <c:v>一般公共预算财政拨款支出</c:v>
                      </c:pt>
                    </c:strCache>
                  </c:strRef>
                </c:cat>
              </c15:ser>
            </c15:filteredBarSeries>
          </c:ext>
        </c:extLst>
      </c:barChart>
      <c:catAx>
        <c:axId val="965018745"/>
        <c:scaling>
          <c:orientation val="minMax"/>
        </c:scaling>
        <c:delete val="false"/>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61915573"/>
        <c:crosses val="autoZero"/>
        <c:auto val="true"/>
        <c:lblAlgn val="ctr"/>
        <c:lblOffset val="100"/>
        <c:noMultiLvlLbl val="false"/>
      </c:catAx>
      <c:valAx>
        <c:axId val="261915573"/>
        <c:scaling>
          <c:orientation val="minMax"/>
          <c:min val="0"/>
        </c:scaling>
        <c:delete val="false"/>
        <c:axPos val="l"/>
        <c:majorGridlines>
          <c:spPr>
            <a:ln w="9525" cap="flat" cmpd="sng" algn="ctr">
              <a:solidFill>
                <a:schemeClr val="lt1">
                  <a:lumMod val="90200"/>
                </a:schemeClr>
              </a:solidFill>
              <a:round/>
            </a:ln>
            <a:effectLst/>
          </c:spPr>
        </c:majorGridlines>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65018745"/>
        <c:crosses val="autoZero"/>
        <c:crossBetween val="between"/>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支出明细</c:v>
                </c:pt>
              </c:strCache>
            </c:strRef>
          </c:tx>
          <c:spPr>
            <a:effectLst/>
          </c:spPr>
          <c:explosion val="0"/>
          <c:dPt>
            <c:idx val="0"/>
            <c:bubble3D val="false"/>
            <c:spPr>
              <a:solidFill>
                <a:srgbClr val="6609F1"/>
              </a:solidFill>
              <a:ln>
                <a:noFill/>
              </a:ln>
              <a:effectLst/>
            </c:spPr>
          </c:dPt>
          <c:dPt>
            <c:idx val="1"/>
            <c:bubble3D val="false"/>
            <c:spPr>
              <a:solidFill>
                <a:srgbClr val="DC9B1E"/>
              </a:solidFill>
              <a:ln>
                <a:noFill/>
              </a:ln>
              <a:effectLst/>
            </c:spPr>
          </c:dPt>
          <c:dPt>
            <c:idx val="2"/>
            <c:bubble3D val="false"/>
            <c:spPr>
              <a:solidFill>
                <a:schemeClr val="accent3"/>
              </a:solidFill>
              <a:ln>
                <a:noFill/>
              </a:ln>
              <a:effectLst/>
            </c:spPr>
          </c:dPt>
          <c:dPt>
            <c:idx val="3"/>
            <c:bubble3D val="false"/>
            <c:spPr>
              <a:solidFill>
                <a:schemeClr val="tx2">
                  <a:lumMod val="60000"/>
                  <a:lumOff val="40000"/>
                </a:schemeClr>
              </a:solidFill>
              <a:ln>
                <a:noFill/>
              </a:ln>
              <a:effectLst/>
            </c:spPr>
          </c:dPt>
          <c:dLbls>
            <c:dLbl>
              <c:idx val="0"/>
              <c:layout/>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false"/>
              <c:showCatName val="false"/>
              <c:showSerName val="false"/>
              <c:showPercent val="true"/>
              <c:showBubbleSize val="false"/>
              <c:extLst>
                <c:ext xmlns:c15="http://schemas.microsoft.com/office/drawing/2012/chart" uri="{CE6537A1-D6FC-4f65-9D91-7224C49458BB}"/>
              </c:extLst>
            </c:dLbl>
            <c:dLbl>
              <c:idx val="1"/>
              <c:layout/>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false"/>
              <c:showCatName val="false"/>
              <c:showSerName val="false"/>
              <c:showPercent val="true"/>
              <c:showBubbleSize val="false"/>
              <c:extLst>
                <c:ext xmlns:c15="http://schemas.microsoft.com/office/drawing/2012/chart" uri="{CE6537A1-D6FC-4f65-9D91-7224C49458BB}"/>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卫生健康支出</c:v>
                </c:pt>
                <c:pt idx="3">
                  <c:v>金融支出</c:v>
                </c:pt>
              </c:strCache>
            </c:strRef>
          </c:cat>
          <c:val>
            <c:numRef>
              <c:f>Sheet1!$B$2:$B$5</c:f>
              <c:numCache>
                <c:formatCode>General</c:formatCode>
                <c:ptCount val="4"/>
                <c:pt idx="0">
                  <c:v>25.54</c:v>
                </c:pt>
                <c:pt idx="1">
                  <c:v>17.22</c:v>
                </c:pt>
                <c:pt idx="2">
                  <c:v>6.62</c:v>
                </c:pt>
                <c:pt idx="3">
                  <c:v>447.13</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支出明细</c:v>
                </c:pt>
              </c:strCache>
            </c:strRef>
          </c:tx>
          <c:spPr>
            <a:effectLst/>
          </c:spPr>
          <c:explosion val="0"/>
          <c:dPt>
            <c:idx val="0"/>
            <c:bubble3D val="false"/>
            <c:spPr>
              <a:solidFill>
                <a:schemeClr val="accent1"/>
              </a:solidFill>
              <a:ln>
                <a:noFill/>
              </a:ln>
              <a:effectLst/>
            </c:spPr>
          </c:dPt>
          <c:dPt>
            <c:idx val="1"/>
            <c:bubble3D val="false"/>
            <c:spPr>
              <a:solidFill>
                <a:schemeClr val="accent2"/>
              </a:solidFill>
              <a:ln>
                <a:noFill/>
              </a:ln>
              <a:effectLst/>
            </c:spPr>
          </c:dPt>
          <c:dPt>
            <c:idx val="2"/>
            <c:bubble3D val="false"/>
            <c:spPr>
              <a:solidFill>
                <a:schemeClr val="accent3"/>
              </a:solidFill>
              <a:ln>
                <a:noFill/>
              </a:ln>
              <a:effectLst/>
            </c:spPr>
          </c:dPt>
          <c:dLbls>
            <c:dLbl>
              <c:idx val="0"/>
              <c:layout/>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false"/>
              <c:showCatName val="false"/>
              <c:showSerName val="false"/>
              <c:showPercent val="true"/>
              <c:showBubbleSize val="false"/>
              <c:extLst>
                <c:ext xmlns:c15="http://schemas.microsoft.com/office/drawing/2012/chart" uri="{CE6537A1-D6FC-4f65-9D91-7224C49458BB}"/>
              </c:extLst>
            </c:dLbl>
            <c:dLbl>
              <c:idx val="1"/>
              <c:layout/>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false"/>
              <c:showCatName val="false"/>
              <c:showSerName val="false"/>
              <c:showPercent val="true"/>
              <c:showBubbleSize val="false"/>
              <c:extLst>
                <c:ext xmlns:c15="http://schemas.microsoft.com/office/drawing/2012/chart" uri="{CE6537A1-D6FC-4f65-9D91-7224C49458BB}"/>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0</c:v>
                </c:pt>
                <c:pt idx="2">
                  <c:v>1.05</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29</Pages>
  <Words>13362</Words>
  <Characters>14381</Characters>
  <Lines>54</Lines>
  <Paragraphs>15</Paragraphs>
  <TotalTime>6</TotalTime>
  <ScaleCrop>false</ScaleCrop>
  <LinksUpToDate>false</LinksUpToDate>
  <CharactersWithSpaces>14455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2020-08-09T01:49:00Z</dcterms:created>
  <dc:creator>曹颖</dc:creator>
  <cp:lastModifiedBy>kylin</cp:lastModifiedBy>
  <cp:lastPrinted>2023-08-04T02:35:00Z</cp:lastPrinted>
  <dcterms:modified xsi:type="dcterms:W3CDTF">2024-12-16T10:01:24Z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CD95D92015104B0A91B4C717C21B8D6D_13</vt:lpwstr>
  </property>
</Properties>
</file>