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F1604">
      <w:pPr>
        <w:spacing w:line="600" w:lineRule="exact"/>
        <w:jc w:val="left"/>
        <w:outlineLvl w:val="0"/>
        <w:rPr>
          <w:rFonts w:ascii="Times New Roman" w:hAnsi="Times New Roman" w:eastAsia="方正小标宋简体"/>
          <w:szCs w:val="21"/>
        </w:rPr>
      </w:pPr>
      <w:bookmarkStart w:id="0" w:name="_Toc15306267"/>
    </w:p>
    <w:p w14:paraId="7938A93F">
      <w:pPr>
        <w:pStyle w:val="5"/>
        <w:spacing w:before="93"/>
        <w:rPr>
          <w:rFonts w:ascii="Times New Roman" w:hAnsi="Times New Roman"/>
        </w:rPr>
      </w:pPr>
    </w:p>
    <w:p w14:paraId="55F307C1">
      <w:pPr>
        <w:spacing w:line="600" w:lineRule="exact"/>
        <w:jc w:val="center"/>
        <w:outlineLvl w:val="0"/>
        <w:rPr>
          <w:rFonts w:ascii="Times New Roman" w:hAnsi="Times New Roman" w:eastAsia="方正小标宋简体"/>
          <w:sz w:val="72"/>
          <w:szCs w:val="72"/>
        </w:rPr>
      </w:pPr>
    </w:p>
    <w:p w14:paraId="40300DEC">
      <w:pPr>
        <w:spacing w:line="600" w:lineRule="exact"/>
        <w:jc w:val="center"/>
        <w:outlineLvl w:val="0"/>
        <w:rPr>
          <w:rFonts w:ascii="Times New Roman" w:hAnsi="Times New Roman" w:eastAsia="方正小标宋简体"/>
          <w:sz w:val="72"/>
          <w:szCs w:val="72"/>
        </w:rPr>
      </w:pPr>
    </w:p>
    <w:p w14:paraId="5E8007D4">
      <w:pPr>
        <w:pStyle w:val="9"/>
        <w:rPr>
          <w:rFonts w:ascii="Times New Roman" w:hAnsi="Times New Roman" w:eastAsia="方正小标宋简体"/>
          <w:sz w:val="72"/>
          <w:szCs w:val="72"/>
        </w:rPr>
      </w:pPr>
    </w:p>
    <w:p w14:paraId="636FE4C3"/>
    <w:p w14:paraId="3D8DF0D1">
      <w:pPr>
        <w:adjustRightInd w:val="0"/>
        <w:snapToGrid w:val="0"/>
        <w:spacing w:line="360" w:lineRule="auto"/>
        <w:jc w:val="center"/>
        <w:outlineLvl w:val="0"/>
        <w:rPr>
          <w:rFonts w:ascii="Times New Roman" w:hAnsi="Times New Roman" w:eastAsia="方正小标宋简体" w:cs="方正小标宋简体"/>
          <w:sz w:val="72"/>
          <w:szCs w:val="72"/>
        </w:rPr>
      </w:pPr>
      <w:bookmarkStart w:id="1" w:name="_Toc15377425"/>
      <w:bookmarkStart w:id="2" w:name="_Toc15378441"/>
      <w:bookmarkStart w:id="3" w:name="_Toc15396597"/>
      <w:bookmarkStart w:id="4" w:name="_Toc15396475"/>
      <w:bookmarkStart w:id="5" w:name="_Toc15377193"/>
      <w:r>
        <w:rPr>
          <w:rFonts w:hint="eastAsia" w:ascii="Times New Roman" w:hAnsi="Times New Roman" w:eastAsia="方正小标宋简体" w:cs="方正小标宋简体"/>
          <w:sz w:val="72"/>
          <w:szCs w:val="72"/>
        </w:rPr>
        <w:t>2023年度</w:t>
      </w:r>
      <w:bookmarkEnd w:id="1"/>
      <w:bookmarkEnd w:id="2"/>
      <w:bookmarkEnd w:id="3"/>
      <w:bookmarkEnd w:id="4"/>
      <w:bookmarkEnd w:id="5"/>
    </w:p>
    <w:p w14:paraId="68B34730">
      <w:pPr>
        <w:adjustRightInd w:val="0"/>
        <w:snapToGrid w:val="0"/>
        <w:spacing w:line="360" w:lineRule="auto"/>
        <w:jc w:val="center"/>
        <w:outlineLvl w:val="0"/>
        <w:rPr>
          <w:rFonts w:ascii="Times New Roman" w:hAnsi="Times New Roman" w:eastAsia="方正小标宋简体" w:cs="方正小标宋简体"/>
          <w:sz w:val="72"/>
          <w:szCs w:val="72"/>
        </w:rPr>
      </w:pPr>
      <w:bookmarkStart w:id="6" w:name="_Toc15377426"/>
      <w:bookmarkStart w:id="7" w:name="_Toc15378442"/>
      <w:bookmarkStart w:id="8" w:name="_Toc15377194"/>
      <w:bookmarkStart w:id="9" w:name="_Toc15396598"/>
      <w:bookmarkStart w:id="10" w:name="_Toc15396476"/>
      <w:r>
        <w:rPr>
          <w:rFonts w:hint="eastAsia" w:ascii="Times New Roman" w:hAnsi="Times New Roman" w:eastAsia="方正小标宋简体" w:cs="方正小标宋简体"/>
          <w:sz w:val="72"/>
          <w:szCs w:val="72"/>
        </w:rPr>
        <w:t>四川省</w:t>
      </w:r>
      <w:bookmarkEnd w:id="0"/>
      <w:bookmarkStart w:id="11" w:name="_Toc15306268"/>
      <w:r>
        <w:rPr>
          <w:rFonts w:hint="eastAsia" w:eastAsia="方正小标宋简体" w:cs="方正小标宋简体"/>
          <w:sz w:val="72"/>
          <w:szCs w:val="72"/>
          <w:lang w:eastAsia="zh-CN"/>
        </w:rPr>
        <w:t>广安市地方志办公室部门</w:t>
      </w:r>
      <w:r>
        <w:rPr>
          <w:rFonts w:hint="eastAsia" w:ascii="Times New Roman" w:hAnsi="Times New Roman" w:eastAsia="方正小标宋简体" w:cs="方正小标宋简体"/>
          <w:sz w:val="72"/>
          <w:szCs w:val="72"/>
        </w:rPr>
        <w:t>决算</w:t>
      </w:r>
      <w:bookmarkEnd w:id="6"/>
      <w:bookmarkEnd w:id="7"/>
      <w:bookmarkEnd w:id="8"/>
      <w:bookmarkEnd w:id="9"/>
      <w:bookmarkEnd w:id="10"/>
      <w:bookmarkEnd w:id="11"/>
    </w:p>
    <w:p w14:paraId="2C3F350C">
      <w:pPr>
        <w:widowControl/>
        <w:jc w:val="center"/>
        <w:rPr>
          <w:rFonts w:ascii="Times New Roman" w:hAnsi="Times New Roman" w:eastAsia="方正小标宋简体"/>
          <w:sz w:val="36"/>
          <w:szCs w:val="36"/>
        </w:rPr>
        <w:sectPr>
          <w:headerReference r:id="rId3" w:type="default"/>
          <w:footerReference r:id="rId4" w:type="default"/>
          <w:pgSz w:w="11906" w:h="16838"/>
          <w:pgMar w:top="1134" w:right="1531" w:bottom="1134" w:left="1531" w:header="567" w:footer="510" w:gutter="0"/>
          <w:pgNumType w:fmt="decimal" w:start="1"/>
          <w:cols w:space="425" w:num="1"/>
          <w:titlePg/>
          <w:docGrid w:type="lines" w:linePitch="312" w:charSpace="0"/>
        </w:sectPr>
      </w:pPr>
    </w:p>
    <w:p w14:paraId="72F59F4B">
      <w:pPr>
        <w:pStyle w:val="9"/>
      </w:pPr>
    </w:p>
    <w:p w14:paraId="597EA0FA">
      <w:pPr>
        <w:widowControl/>
        <w:jc w:val="center"/>
        <w:rPr>
          <w:rFonts w:ascii="Times New Roman" w:hAnsi="Times New Roman" w:eastAsia="黑体" w:cstheme="minorBidi"/>
          <w:sz w:val="28"/>
          <w:szCs w:val="28"/>
        </w:rPr>
      </w:pPr>
      <w:r>
        <w:rPr>
          <w:rFonts w:hint="eastAsia" w:ascii="Times New Roman" w:hAnsi="Times New Roman" w:eastAsia="黑体"/>
          <w:sz w:val="48"/>
          <w:szCs w:val="48"/>
        </w:rPr>
        <w:t>目</w:t>
      </w:r>
      <w:r>
        <w:rPr>
          <w:rFonts w:hint="eastAsia" w:eastAsia="黑体"/>
          <w:sz w:val="48"/>
          <w:szCs w:val="48"/>
          <w:lang w:val="en-US" w:eastAsia="zh-CN"/>
        </w:rPr>
        <w:t xml:space="preserve"> </w:t>
      </w:r>
      <w:r>
        <w:rPr>
          <w:rFonts w:hint="eastAsia" w:ascii="Times New Roman" w:hAnsi="Times New Roman" w:eastAsia="黑体"/>
          <w:sz w:val="48"/>
          <w:szCs w:val="48"/>
        </w:rPr>
        <w:t>录</w:t>
      </w:r>
    </w:p>
    <w:p w14:paraId="4DD88513">
      <w:pPr>
        <w:pStyle w:val="11"/>
        <w:rPr>
          <w:rFonts w:ascii="Times New Roman" w:hAnsi="Times New Roman"/>
        </w:rPr>
      </w:pPr>
      <w:r>
        <w:rPr>
          <w:rFonts w:hint="eastAsia" w:ascii="Times New Roman" w:hAnsi="Times New Roman"/>
        </w:rPr>
        <w:t>公开时间：2023年9月</w:t>
      </w:r>
      <w:r>
        <w:rPr>
          <w:rFonts w:hint="eastAsia" w:ascii="Times New Roman" w:hAnsi="Times New Roman"/>
          <w:lang w:val="en-US" w:eastAsia="zh-CN"/>
        </w:rPr>
        <w:t>10</w:t>
      </w:r>
      <w:r>
        <w:rPr>
          <w:rFonts w:hint="eastAsia" w:ascii="Times New Roman" w:hAnsi="Times New Roman"/>
        </w:rPr>
        <w:t>日</w:t>
      </w:r>
    </w:p>
    <w:p w14:paraId="1C7BE2E8">
      <w:pPr>
        <w:rPr>
          <w:rFonts w:ascii="Times New Roman" w:hAnsi="Times New Roman"/>
        </w:rPr>
      </w:pPr>
    </w:p>
    <w:p w14:paraId="2E367974">
      <w:pPr>
        <w:pStyle w:val="11"/>
        <w:keepNext w:val="0"/>
        <w:keepLines w:val="0"/>
        <w:pageBreakBefore w:val="0"/>
        <w:widowControl w:val="0"/>
        <w:kinsoku/>
        <w:wordWrap/>
        <w:overflowPunct/>
        <w:topLinePunct w:val="0"/>
        <w:autoSpaceDE/>
        <w:autoSpaceDN/>
        <w:bidi w:val="0"/>
        <w:adjustRightInd w:val="0"/>
        <w:snapToGrid w:val="0"/>
        <w:spacing w:before="0" w:line="500" w:lineRule="exact"/>
        <w:jc w:val="left"/>
        <w:textAlignment w:val="auto"/>
        <w:rPr>
          <w:rFonts w:hint="eastAsia" w:ascii="Times New Roman" w:hAnsi="Times New Roman" w:eastAsia="仿宋" w:cstheme="minorBidi"/>
          <w:sz w:val="24"/>
          <w:szCs w:val="24"/>
          <w:lang w:val="en-US" w:eastAsia="zh-CN"/>
        </w:rPr>
      </w:pPr>
      <w:r>
        <w:rPr>
          <w:rFonts w:hint="eastAsia" w:ascii="Times New Roman" w:hAnsi="Times New Roman"/>
          <w:sz w:val="24"/>
        </w:rPr>
        <w:t>第一部分</w:t>
      </w:r>
      <w:r>
        <w:rPr>
          <w:rFonts w:ascii="Times New Roman" w:hAnsi="Times New Roman"/>
          <w:sz w:val="24"/>
        </w:rPr>
        <w:t xml:space="preserve"> </w:t>
      </w:r>
      <w:r>
        <w:rPr>
          <w:rFonts w:hint="eastAsia" w:ascii="Times New Roman" w:hAnsi="Times New Roman"/>
          <w:sz w:val="24"/>
          <w:lang w:eastAsia="zh-CN"/>
        </w:rPr>
        <w:t>部门</w:t>
      </w:r>
      <w:r>
        <w:rPr>
          <w:rFonts w:hint="eastAsia" w:ascii="Times New Roman" w:hAnsi="Times New Roman"/>
          <w:sz w:val="24"/>
        </w:rPr>
        <w:t>概况</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1</w:t>
      </w:r>
    </w:p>
    <w:p w14:paraId="05C5D306">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cs="Times New Roman"/>
          <w:color w:val="auto"/>
          <w:sz w:val="24"/>
          <w:highlight w:val="none"/>
          <w:lang w:val="en-US" w:eastAsia="zh-CN"/>
        </w:rPr>
      </w:pPr>
      <w:r>
        <w:rPr>
          <w:rFonts w:hint="eastAsia" w:ascii="Times New Roman" w:hAnsi="Times New Roman"/>
          <w:sz w:val="24"/>
        </w:rPr>
        <w:t>一、主要职责</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1</w:t>
      </w:r>
    </w:p>
    <w:p w14:paraId="7F9DA9BE">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lang w:val="en-US" w:eastAsia="zh-CN"/>
        </w:rPr>
      </w:pPr>
      <w:r>
        <w:rPr>
          <w:rFonts w:hint="eastAsia" w:ascii="Times New Roman" w:hAnsi="Times New Roman"/>
          <w:sz w:val="24"/>
        </w:rPr>
        <w:t>二、机构设置</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1</w:t>
      </w:r>
    </w:p>
    <w:p w14:paraId="6C8B0EA3">
      <w:pPr>
        <w:pStyle w:val="11"/>
        <w:keepNext w:val="0"/>
        <w:keepLines w:val="0"/>
        <w:pageBreakBefore w:val="0"/>
        <w:widowControl w:val="0"/>
        <w:kinsoku/>
        <w:wordWrap/>
        <w:overflowPunct/>
        <w:topLinePunct w:val="0"/>
        <w:autoSpaceDE/>
        <w:autoSpaceDN/>
        <w:bidi w:val="0"/>
        <w:adjustRightInd w:val="0"/>
        <w:snapToGrid w:val="0"/>
        <w:spacing w:before="0" w:line="500" w:lineRule="exact"/>
        <w:jc w:val="left"/>
        <w:textAlignment w:val="auto"/>
        <w:rPr>
          <w:rFonts w:hint="eastAsia" w:ascii="Times New Roman" w:hAnsi="Times New Roman" w:eastAsia="仿宋"/>
          <w:sz w:val="24"/>
          <w:szCs w:val="24"/>
          <w:lang w:eastAsia="zh-CN"/>
        </w:rPr>
      </w:pPr>
      <w:r>
        <w:rPr>
          <w:rFonts w:hint="eastAsia" w:ascii="Times New Roman" w:hAnsi="Times New Roman"/>
          <w:sz w:val="24"/>
        </w:rPr>
        <w:t>第二部分 2023年度</w:t>
      </w:r>
      <w:r>
        <w:rPr>
          <w:rFonts w:hint="eastAsia" w:ascii="Times New Roman" w:hAnsi="Times New Roman"/>
          <w:sz w:val="24"/>
          <w:lang w:eastAsia="zh-CN"/>
        </w:rPr>
        <w:t>部门</w:t>
      </w:r>
      <w:r>
        <w:rPr>
          <w:rFonts w:hint="eastAsia" w:ascii="Times New Roman" w:hAnsi="Times New Roman"/>
          <w:sz w:val="24"/>
        </w:rPr>
        <w:t>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w:t>
      </w:r>
    </w:p>
    <w:p w14:paraId="79A5A1BE">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cstheme="minorBidi"/>
          <w:sz w:val="24"/>
          <w:lang w:eastAsia="zh-CN"/>
        </w:rPr>
      </w:pPr>
      <w:r>
        <w:rPr>
          <w:rFonts w:hint="eastAsia" w:ascii="Times New Roman" w:hAnsi="Times New Roman"/>
          <w:sz w:val="24"/>
        </w:rPr>
        <w:t>一、收入支出决算总体情况说明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w:t>
      </w:r>
    </w:p>
    <w:p w14:paraId="66BEFA69">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ascii="Times New Roman" w:hAnsi="Times New Roman" w:eastAsia="仿宋" w:cstheme="minorBidi"/>
          <w:sz w:val="24"/>
        </w:rPr>
      </w:pPr>
      <w:r>
        <w:rPr>
          <w:rFonts w:hint="eastAsia" w:ascii="Times New Roman" w:hAnsi="Times New Roman"/>
          <w:sz w:val="24"/>
        </w:rPr>
        <w:t>二、收入决算情况说明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w:t>
      </w:r>
    </w:p>
    <w:p w14:paraId="58E79D8F">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cstheme="minorBidi"/>
          <w:sz w:val="24"/>
          <w:lang w:eastAsia="zh-CN"/>
        </w:rPr>
      </w:pPr>
      <w:r>
        <w:rPr>
          <w:rFonts w:hint="eastAsia" w:ascii="Times New Roman" w:hAnsi="Times New Roman"/>
          <w:sz w:val="24"/>
        </w:rPr>
        <w:t>三、支出决算情况说明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3</w:t>
      </w:r>
    </w:p>
    <w:p w14:paraId="64D5BD25">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cstheme="minorBidi"/>
          <w:sz w:val="24"/>
          <w:lang w:eastAsia="zh-CN"/>
        </w:rPr>
      </w:pPr>
      <w:r>
        <w:rPr>
          <w:rFonts w:hint="eastAsia" w:ascii="Times New Roman" w:hAnsi="Times New Roman"/>
          <w:sz w:val="24"/>
        </w:rPr>
        <w:t>四、财政拨款收入支出决算总体情况说明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4</w:t>
      </w:r>
    </w:p>
    <w:p w14:paraId="081F8F58">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cstheme="minorBidi"/>
          <w:sz w:val="24"/>
          <w:lang w:eastAsia="zh-CN"/>
        </w:rPr>
      </w:pPr>
      <w:r>
        <w:rPr>
          <w:rFonts w:hint="eastAsia" w:ascii="Times New Roman" w:hAnsi="Times New Roman"/>
          <w:sz w:val="24"/>
        </w:rPr>
        <w:t>五、一般公共预算财政拨款支出决算情况说明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5</w:t>
      </w:r>
    </w:p>
    <w:p w14:paraId="4E6F0443">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cstheme="minorBidi"/>
          <w:sz w:val="24"/>
          <w:lang w:eastAsia="zh-CN"/>
        </w:rPr>
      </w:pPr>
      <w:r>
        <w:rPr>
          <w:rFonts w:hint="eastAsia" w:ascii="Times New Roman" w:hAnsi="Times New Roman"/>
          <w:sz w:val="24"/>
        </w:rPr>
        <w:t>六、一般公共预算财政拨款基本支出决算情况说明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7</w:t>
      </w:r>
    </w:p>
    <w:p w14:paraId="24B60052">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cstheme="minorBidi"/>
          <w:sz w:val="24"/>
          <w:lang w:eastAsia="zh-CN"/>
        </w:rPr>
      </w:pPr>
      <w:r>
        <w:rPr>
          <w:rFonts w:hint="eastAsia" w:ascii="Times New Roman" w:hAnsi="Times New Roman"/>
          <w:sz w:val="24"/>
        </w:rPr>
        <w:t>七、财政拨款“三公”经费支出决算情况说明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7</w:t>
      </w:r>
    </w:p>
    <w:p w14:paraId="3FD325B5">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cstheme="minorBidi"/>
          <w:sz w:val="24"/>
          <w:lang w:eastAsia="zh-CN"/>
        </w:rPr>
      </w:pPr>
      <w:r>
        <w:rPr>
          <w:rFonts w:hint="eastAsia" w:ascii="Times New Roman" w:hAnsi="Times New Roman"/>
          <w:sz w:val="24"/>
        </w:rPr>
        <w:t>八、政府性基金预算支出决算情况说明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9</w:t>
      </w:r>
    </w:p>
    <w:p w14:paraId="6F8081B9">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sz w:val="24"/>
          <w:lang w:eastAsia="zh-CN"/>
        </w:rPr>
      </w:pPr>
      <w:r>
        <w:rPr>
          <w:rFonts w:hint="eastAsia" w:ascii="Times New Roman" w:hAnsi="Times New Roman"/>
          <w:sz w:val="24"/>
        </w:rPr>
        <w:t>九、国有资本经营预算支出决算情况说明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9</w:t>
      </w:r>
    </w:p>
    <w:p w14:paraId="27E58A67">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Times New Roman" w:hAnsi="Times New Roman" w:eastAsia="宋体"/>
          <w:sz w:val="24"/>
          <w:lang w:eastAsia="zh-CN"/>
        </w:rPr>
      </w:pPr>
      <w:r>
        <w:rPr>
          <w:rFonts w:hint="eastAsia" w:ascii="Times New Roman" w:hAnsi="Times New Roman"/>
          <w:sz w:val="24"/>
        </w:rPr>
        <w:t>十、其他重要事项的情况说明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9</w:t>
      </w:r>
    </w:p>
    <w:p w14:paraId="1863D4F1">
      <w:pPr>
        <w:pStyle w:val="11"/>
        <w:keepNext w:val="0"/>
        <w:keepLines w:val="0"/>
        <w:pageBreakBefore w:val="0"/>
        <w:widowControl w:val="0"/>
        <w:kinsoku/>
        <w:wordWrap/>
        <w:overflowPunct/>
        <w:topLinePunct w:val="0"/>
        <w:autoSpaceDE/>
        <w:autoSpaceDN/>
        <w:bidi w:val="0"/>
        <w:adjustRightInd w:val="0"/>
        <w:snapToGrid w:val="0"/>
        <w:spacing w:before="0" w:line="500" w:lineRule="exact"/>
        <w:jc w:val="left"/>
        <w:textAlignment w:val="auto"/>
        <w:rPr>
          <w:rFonts w:hint="default" w:ascii="Times New Roman" w:hAnsi="Times New Roman" w:eastAsia="仿宋" w:cstheme="minorBidi"/>
          <w:sz w:val="24"/>
          <w:szCs w:val="24"/>
          <w:lang w:val="en-US" w:eastAsia="zh-CN"/>
        </w:rPr>
      </w:pPr>
      <w:r>
        <w:rPr>
          <w:rFonts w:hint="eastAsia" w:ascii="Times New Roman" w:hAnsi="Times New Roman"/>
          <w:sz w:val="24"/>
        </w:rPr>
        <w:t>第三部分</w:t>
      </w:r>
      <w:r>
        <w:rPr>
          <w:rFonts w:ascii="Times New Roman" w:hAnsi="Times New Roman"/>
          <w:sz w:val="24"/>
        </w:rPr>
        <w:t xml:space="preserve"> </w:t>
      </w:r>
      <w:r>
        <w:rPr>
          <w:rFonts w:hint="eastAsia" w:ascii="Times New Roman" w:hAnsi="Times New Roman"/>
          <w:sz w:val="24"/>
        </w:rPr>
        <w:t>名词解释</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11</w:t>
      </w:r>
    </w:p>
    <w:p w14:paraId="24ED10BA">
      <w:pPr>
        <w:pStyle w:val="11"/>
        <w:keepNext w:val="0"/>
        <w:keepLines w:val="0"/>
        <w:pageBreakBefore w:val="0"/>
        <w:widowControl w:val="0"/>
        <w:kinsoku/>
        <w:wordWrap/>
        <w:overflowPunct/>
        <w:topLinePunct w:val="0"/>
        <w:autoSpaceDE/>
        <w:autoSpaceDN/>
        <w:bidi w:val="0"/>
        <w:adjustRightInd w:val="0"/>
        <w:snapToGrid w:val="0"/>
        <w:spacing w:before="0" w:line="500" w:lineRule="exact"/>
        <w:jc w:val="left"/>
        <w:textAlignment w:val="auto"/>
        <w:rPr>
          <w:rFonts w:hint="eastAsia" w:ascii="Times New Roman" w:hAnsi="Times New Roman" w:eastAsia="仿宋" w:cstheme="minorBidi"/>
          <w:sz w:val="24"/>
          <w:szCs w:val="24"/>
          <w:lang w:val="en-US" w:eastAsia="zh-CN"/>
        </w:rPr>
      </w:pPr>
      <w:r>
        <w:rPr>
          <w:rFonts w:hint="eastAsia" w:ascii="Times New Roman" w:hAnsi="Times New Roman"/>
          <w:sz w:val="24"/>
        </w:rPr>
        <w:t>第四部分</w:t>
      </w:r>
      <w:r>
        <w:rPr>
          <w:rFonts w:ascii="Times New Roman" w:hAnsi="Times New Roman"/>
          <w:sz w:val="24"/>
        </w:rPr>
        <w:t xml:space="preserve"> </w:t>
      </w:r>
      <w:r>
        <w:rPr>
          <w:rFonts w:hint="eastAsia" w:ascii="Times New Roman" w:hAnsi="Times New Roman"/>
          <w:sz w:val="24"/>
        </w:rPr>
        <w:t>附件</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14</w:t>
      </w:r>
    </w:p>
    <w:p w14:paraId="4431887B">
      <w:pPr>
        <w:pStyle w:val="11"/>
        <w:keepNext w:val="0"/>
        <w:keepLines w:val="0"/>
        <w:pageBreakBefore w:val="0"/>
        <w:widowControl w:val="0"/>
        <w:kinsoku/>
        <w:wordWrap/>
        <w:overflowPunct/>
        <w:topLinePunct w:val="0"/>
        <w:autoSpaceDE/>
        <w:autoSpaceDN/>
        <w:bidi w:val="0"/>
        <w:adjustRightInd w:val="0"/>
        <w:snapToGrid w:val="0"/>
        <w:spacing w:before="0" w:line="500" w:lineRule="exact"/>
        <w:jc w:val="left"/>
        <w:textAlignment w:val="auto"/>
        <w:rPr>
          <w:rFonts w:hint="default" w:ascii="Times New Roman" w:hAnsi="Times New Roman" w:eastAsia="仿宋" w:cstheme="minorBidi"/>
          <w:sz w:val="24"/>
          <w:szCs w:val="24"/>
          <w:lang w:val="en-US" w:eastAsia="zh-CN"/>
        </w:rPr>
      </w:pPr>
      <w:r>
        <w:rPr>
          <w:rFonts w:hint="eastAsia" w:ascii="Times New Roman" w:hAnsi="Times New Roman"/>
          <w:sz w:val="24"/>
        </w:rPr>
        <w:t>第五部分</w:t>
      </w:r>
      <w:r>
        <w:rPr>
          <w:rFonts w:ascii="Times New Roman" w:hAnsi="Times New Roman"/>
          <w:sz w:val="24"/>
        </w:rPr>
        <w:t xml:space="preserve"> </w:t>
      </w:r>
      <w:r>
        <w:rPr>
          <w:rFonts w:hint="eastAsia" w:ascii="Times New Roman" w:hAnsi="Times New Roman"/>
          <w:sz w:val="24"/>
        </w:rPr>
        <w:t>附表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2BDCD272">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一、收入支出决算总表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04E5439F">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二、收入决算表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551217D7">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三、支出决算表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15F2FEB8">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四、财政拨款收入支出决算总表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032BA7B0">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五、财政拨款支出决算明细表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184D41C3">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六、一般公共预算财政拨款支出决算表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74B4A095">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七、一般公共预算财政拨款支出决算明细表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4D02CF4B">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八、一般公共预算财政拨款基本支出决算明细表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46C0A69A">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九、一般公共预算财政拨款项目支出决算表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0D274FED">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十、政府性基金预算财政拨款收入支出决算表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39FFD746">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十一、国有资本经营预算财政拨款收入支出决算表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7CCD17B0">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sz w:val="24"/>
          <w:lang w:val="en-US" w:eastAsia="zh-CN"/>
        </w:rPr>
      </w:pPr>
      <w:r>
        <w:rPr>
          <w:rFonts w:hint="eastAsia" w:ascii="Times New Roman" w:hAnsi="Times New Roman"/>
          <w:sz w:val="24"/>
        </w:rPr>
        <w:t>十二、国有资本经营预算财政拨款支出决算表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lang w:val="en-US" w:eastAsia="zh-CN"/>
        </w:rPr>
        <w:t>23</w:t>
      </w:r>
    </w:p>
    <w:p w14:paraId="6AEED3F2">
      <w:pPr>
        <w:pStyle w:val="12"/>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sz w:val="24"/>
          <w:lang w:val="en-US" w:eastAsia="zh-CN"/>
        </w:rPr>
        <w:sectPr>
          <w:headerReference r:id="rId5" w:type="default"/>
          <w:footerReference r:id="rId6" w:type="even"/>
          <w:pgSz w:w="11906" w:h="16838"/>
          <w:pgMar w:top="2098" w:right="1474" w:bottom="1587" w:left="1588" w:header="851" w:footer="992" w:gutter="0"/>
          <w:pgNumType w:fmt="decimal" w:start="2"/>
          <w:cols w:space="0" w:num="1"/>
          <w:rtlGutter w:val="0"/>
          <w:docGrid w:type="lines" w:linePitch="312" w:charSpace="0"/>
        </w:sectPr>
      </w:pPr>
      <w:r>
        <w:rPr>
          <w:rFonts w:hint="eastAsia" w:ascii="Times New Roman" w:hAnsi="Times New Roman" w:eastAsia="宋体" w:cs="Times New Roman"/>
          <w:sz w:val="24"/>
        </w:rPr>
        <w:t>十三、财政拨款“三公”经费支出决算表</w:t>
      </w:r>
      <w:bookmarkStart w:id="12" w:name="_Toc15377196"/>
      <w:bookmarkStart w:id="13" w:name="_Toc15396599"/>
      <w:r>
        <w:rPr>
          <w:rFonts w:hint="eastAsia" w:ascii="Times New Roman" w:hAnsi="Times New Roman" w:eastAsia="宋体" w:cs="Times New Roman"/>
          <w:sz w:val="24"/>
        </w:rPr>
        <w:tab/>
      </w:r>
      <w:r>
        <w:rPr>
          <w:rFonts w:hint="eastAsia" w:ascii="Times New Roman" w:hAnsi="Times New Roman" w:eastAsia="宋体" w:cs="Times New Roman"/>
          <w:sz w:val="24"/>
          <w:lang w:val="en-US" w:eastAsia="zh-CN"/>
        </w:rPr>
        <w:t>23</w:t>
      </w:r>
    </w:p>
    <w:p w14:paraId="54148840">
      <w:pPr>
        <w:pStyle w:val="2"/>
        <w:keepNext w:val="0"/>
        <w:keepLines w:val="0"/>
        <w:pageBreakBefore w:val="0"/>
        <w:widowControl w:val="0"/>
        <w:kinsoku/>
        <w:wordWrap/>
        <w:overflowPunct/>
        <w:topLinePunct w:val="0"/>
        <w:bidi w:val="0"/>
        <w:adjustRightInd/>
        <w:snapToGrid/>
        <w:spacing w:before="0" w:after="0" w:line="240" w:lineRule="auto"/>
        <w:ind w:left="0" w:right="0" w:firstLine="880" w:firstLineChars="200"/>
        <w:jc w:val="center"/>
        <w:textAlignment w:val="auto"/>
        <w:rPr>
          <w:rFonts w:ascii="Times New Roman" w:hAnsi="Times New Roman" w:eastAsia="黑体"/>
          <w:sz w:val="32"/>
          <w:szCs w:val="32"/>
        </w:rPr>
      </w:pPr>
      <w:r>
        <w:rPr>
          <w:rFonts w:hint="eastAsia" w:ascii="Times New Roman" w:hAnsi="Times New Roman" w:eastAsia="黑体"/>
          <w:b w:val="0"/>
        </w:rPr>
        <w:t xml:space="preserve">第一部分 </w:t>
      </w:r>
      <w:r>
        <w:rPr>
          <w:rFonts w:hint="eastAsia" w:eastAsia="黑体"/>
          <w:b w:val="0"/>
          <w:lang w:eastAsia="zh-CN"/>
        </w:rPr>
        <w:t>部门</w:t>
      </w:r>
      <w:r>
        <w:rPr>
          <w:rStyle w:val="28"/>
          <w:rFonts w:hint="eastAsia" w:ascii="Times New Roman" w:hAnsi="Times New Roman" w:eastAsia="黑体"/>
          <w:b w:val="0"/>
          <w:bCs w:val="0"/>
        </w:rPr>
        <w:t>概况</w:t>
      </w:r>
      <w:bookmarkEnd w:id="12"/>
      <w:bookmarkEnd w:id="13"/>
    </w:p>
    <w:p w14:paraId="667A45F4">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640" w:firstLineChars="200"/>
        <w:textAlignment w:val="auto"/>
        <w:rPr>
          <w:rStyle w:val="29"/>
          <w:rFonts w:hint="eastAsia" w:ascii="Times New Roman" w:hAnsi="Times New Roman" w:eastAsia="黑体"/>
          <w:b w:val="0"/>
          <w:bCs w:val="0"/>
          <w:lang w:eastAsia="zh-CN"/>
        </w:rPr>
      </w:pPr>
      <w:bookmarkStart w:id="14" w:name="_Toc15377197"/>
      <w:bookmarkStart w:id="15" w:name="_Toc15396600"/>
    </w:p>
    <w:p w14:paraId="3957464E">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right="0" w:firstLine="640" w:firstLineChars="200"/>
        <w:textAlignment w:val="auto"/>
        <w:rPr>
          <w:rStyle w:val="29"/>
          <w:rFonts w:ascii="Times New Roman" w:hAnsi="Times New Roman" w:eastAsia="黑体"/>
          <w:b w:val="0"/>
          <w:bCs w:val="0"/>
        </w:rPr>
      </w:pPr>
      <w:r>
        <w:rPr>
          <w:rStyle w:val="29"/>
          <w:rFonts w:hint="eastAsia" w:ascii="Times New Roman" w:hAnsi="Times New Roman" w:eastAsia="黑体"/>
          <w:b w:val="0"/>
          <w:bCs w:val="0"/>
          <w:lang w:eastAsia="zh-CN"/>
        </w:rPr>
        <w:t>一、</w:t>
      </w:r>
      <w:r>
        <w:rPr>
          <w:rStyle w:val="29"/>
          <w:rFonts w:hint="eastAsia" w:ascii="Times New Roman" w:hAnsi="Times New Roman" w:eastAsia="黑体"/>
          <w:b w:val="0"/>
          <w:bCs w:val="0"/>
        </w:rPr>
        <w:t>主要职责</w:t>
      </w:r>
    </w:p>
    <w:p w14:paraId="508F1A3A">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负责执行有关地方志工作的法律、法规、规章和政策，并监督实施；拟定本行政区域内地方志工作的中长期规划和制定年度计划，并组织实施；组织、指导、管理本行政区域内地方志书、史书、地方综合年鉴等编纂工作；搜集、保存、研究地方志文献及其他资料，组织开展旧志整理工作；组织开发利用地方志资源，制定并实施地方志资源信息管理规范；其他属于地方志工作机构职责范围内的工作；承担市政府交办的其他事项。</w:t>
      </w:r>
    </w:p>
    <w:p w14:paraId="2FF5BF10">
      <w:pPr>
        <w:pStyle w:val="3"/>
        <w:keepNext w:val="0"/>
        <w:keepLines w:val="0"/>
        <w:pageBreakBefore w:val="0"/>
        <w:widowControl w:val="0"/>
        <w:kinsoku/>
        <w:wordWrap/>
        <w:overflowPunct/>
        <w:topLinePunct w:val="0"/>
        <w:autoSpaceDE/>
        <w:autoSpaceDN/>
        <w:bidi w:val="0"/>
        <w:adjustRightInd/>
        <w:snapToGrid/>
        <w:spacing w:before="0" w:after="0" w:line="240" w:lineRule="auto"/>
        <w:ind w:left="0" w:right="0" w:firstLine="640" w:firstLineChars="200"/>
        <w:textAlignment w:val="auto"/>
        <w:rPr>
          <w:rFonts w:ascii="Times New Roman" w:hAnsi="Times New Roman" w:eastAsia="黑体"/>
          <w:b w:val="0"/>
        </w:rPr>
      </w:pPr>
      <w:r>
        <w:rPr>
          <w:rFonts w:hint="eastAsia" w:ascii="Times New Roman" w:hAnsi="Times New Roman" w:eastAsia="黑体"/>
          <w:b w:val="0"/>
          <w:lang w:eastAsia="zh-CN"/>
        </w:rPr>
        <w:t>二、</w:t>
      </w:r>
      <w:r>
        <w:rPr>
          <w:rFonts w:hint="eastAsia" w:ascii="Times New Roman" w:hAnsi="Times New Roman" w:eastAsia="黑体"/>
          <w:b w:val="0"/>
        </w:rPr>
        <w:t>机构设置</w:t>
      </w:r>
    </w:p>
    <w:bookmarkEnd w:id="14"/>
    <w:bookmarkEnd w:id="15"/>
    <w:p w14:paraId="20B511F3">
      <w:pPr>
        <w:keepNext w:val="0"/>
        <w:keepLines w:val="0"/>
        <w:pageBreakBefore w:val="0"/>
        <w:widowControl w:val="0"/>
        <w:kinsoku/>
        <w:wordWrap/>
        <w:overflowPunct/>
        <w:topLinePunct w:val="0"/>
        <w:autoSpaceDE/>
        <w:autoSpaceDN/>
        <w:bidi w:val="0"/>
        <w:adjustRightInd/>
        <w:snapToGrid/>
        <w:spacing w:line="240" w:lineRule="auto"/>
        <w:ind w:left="0" w:right="0" w:firstLine="640" w:firstLineChars="200"/>
        <w:jc w:val="left"/>
        <w:textAlignment w:val="auto"/>
        <w:rPr>
          <w:rFonts w:ascii="Times New Roman" w:hAnsi="Times New Roman" w:eastAsia="仿宋"/>
          <w:color w:val="auto"/>
          <w:kern w:val="0"/>
          <w:sz w:val="32"/>
          <w:szCs w:val="32"/>
          <w:highlight w:val="none"/>
        </w:rPr>
      </w:pPr>
      <w:r>
        <w:rPr>
          <w:rFonts w:hint="eastAsia" w:ascii="Times New Roman" w:hAnsi="Times New Roman" w:eastAsia="仿宋_GB2312"/>
          <w:sz w:val="32"/>
          <w:szCs w:val="32"/>
          <w:lang w:val="en-US" w:eastAsia="zh-CN"/>
        </w:rPr>
        <w:t>市地志办是参照公务员法管理的广安市人民政府直属事业单位。市地志办设主任1名，副主任1名，内设4个科室，即：综合科、编审科、资料管理科和开发利用科。</w:t>
      </w:r>
      <w:r>
        <w:rPr>
          <w:rFonts w:hint="eastAsia" w:ascii="Times New Roman" w:hAnsi="Times New Roman" w:eastAsia="仿宋_GB2312"/>
          <w:sz w:val="32"/>
          <w:szCs w:val="32"/>
        </w:rPr>
        <w:br w:type="page"/>
      </w:r>
    </w:p>
    <w:p w14:paraId="66FB179F">
      <w:pPr>
        <w:pStyle w:val="2"/>
        <w:keepNext w:val="0"/>
        <w:keepLines w:val="0"/>
        <w:pageBreakBefore w:val="0"/>
        <w:widowControl w:val="0"/>
        <w:kinsoku/>
        <w:wordWrap/>
        <w:overflowPunct/>
        <w:topLinePunct w:val="0"/>
        <w:bidi w:val="0"/>
        <w:adjustRightInd/>
        <w:snapToGrid/>
        <w:spacing w:before="0" w:after="0" w:line="240" w:lineRule="auto"/>
        <w:ind w:right="0"/>
        <w:jc w:val="center"/>
        <w:textAlignment w:val="auto"/>
        <w:rPr>
          <w:rStyle w:val="28"/>
          <w:rFonts w:ascii="Times New Roman" w:hAnsi="Times New Roman" w:eastAsia="黑体"/>
          <w:b w:val="0"/>
          <w:bCs/>
        </w:rPr>
      </w:pPr>
      <w:bookmarkStart w:id="16" w:name="_Toc15396602"/>
      <w:bookmarkStart w:id="17" w:name="_Toc15377204"/>
      <w:r>
        <w:rPr>
          <w:rFonts w:hint="eastAsia" w:ascii="Times New Roman" w:hAnsi="Times New Roman" w:eastAsia="黑体"/>
          <w:b w:val="0"/>
        </w:rPr>
        <w:t>第二部分 2023年度</w:t>
      </w:r>
      <w:r>
        <w:rPr>
          <w:rStyle w:val="28"/>
          <w:rFonts w:hint="eastAsia" w:eastAsia="黑体"/>
          <w:b w:val="0"/>
          <w:bCs/>
          <w:lang w:eastAsia="zh-CN"/>
        </w:rPr>
        <w:t>部门</w:t>
      </w:r>
      <w:bookmarkStart w:id="67" w:name="_GoBack"/>
      <w:bookmarkEnd w:id="67"/>
      <w:r>
        <w:rPr>
          <w:rStyle w:val="28"/>
          <w:rFonts w:hint="eastAsia" w:ascii="Times New Roman" w:hAnsi="Times New Roman" w:eastAsia="黑体"/>
          <w:b w:val="0"/>
          <w:bCs/>
        </w:rPr>
        <w:t>决算情况说明</w:t>
      </w:r>
      <w:bookmarkEnd w:id="16"/>
      <w:bookmarkEnd w:id="17"/>
    </w:p>
    <w:p w14:paraId="1904A6BA">
      <w:pPr>
        <w:keepNext w:val="0"/>
        <w:keepLines w:val="0"/>
        <w:pageBreakBefore w:val="0"/>
        <w:widowControl w:val="0"/>
        <w:kinsoku/>
        <w:wordWrap/>
        <w:overflowPunct/>
        <w:topLinePunct w:val="0"/>
        <w:bidi w:val="0"/>
        <w:adjustRightInd/>
        <w:snapToGrid/>
        <w:spacing w:line="240" w:lineRule="auto"/>
        <w:ind w:left="0" w:right="0" w:firstLine="420" w:firstLineChars="200"/>
        <w:textAlignment w:val="auto"/>
        <w:rPr>
          <w:rFonts w:ascii="Times New Roman" w:hAnsi="Times New Roman"/>
        </w:rPr>
      </w:pPr>
    </w:p>
    <w:p w14:paraId="076229E2">
      <w:pPr>
        <w:pStyle w:val="27"/>
        <w:keepNext w:val="0"/>
        <w:keepLines w:val="0"/>
        <w:pageBreakBefore w:val="0"/>
        <w:widowControl w:val="0"/>
        <w:numPr>
          <w:ilvl w:val="0"/>
          <w:numId w:val="0"/>
        </w:numPr>
        <w:kinsoku/>
        <w:wordWrap/>
        <w:overflowPunct/>
        <w:topLinePunct w:val="0"/>
        <w:bidi w:val="0"/>
        <w:adjustRightInd/>
        <w:snapToGrid/>
        <w:spacing w:line="240" w:lineRule="auto"/>
        <w:ind w:right="0" w:rightChars="0" w:firstLine="640" w:firstLineChars="200"/>
        <w:jc w:val="both"/>
        <w:textAlignment w:val="auto"/>
        <w:outlineLvl w:val="1"/>
        <w:rPr>
          <w:rStyle w:val="29"/>
          <w:rFonts w:ascii="Times New Roman" w:hAnsi="Times New Roman" w:eastAsia="黑体"/>
          <w:b w:val="0"/>
        </w:rPr>
      </w:pPr>
      <w:bookmarkStart w:id="18" w:name="_Toc15396603"/>
      <w:bookmarkStart w:id="19" w:name="_Toc15377205"/>
      <w:r>
        <w:rPr>
          <w:rFonts w:hint="eastAsia" w:eastAsia="黑体"/>
          <w:sz w:val="32"/>
          <w:szCs w:val="32"/>
          <w:lang w:eastAsia="zh-CN"/>
        </w:rPr>
        <w:t>一、</w:t>
      </w:r>
      <w:r>
        <w:rPr>
          <w:rFonts w:hint="eastAsia" w:ascii="Times New Roman" w:hAnsi="Times New Roman" w:eastAsia="黑体"/>
          <w:sz w:val="32"/>
          <w:szCs w:val="32"/>
        </w:rPr>
        <w:t>收</w:t>
      </w:r>
      <w:r>
        <w:rPr>
          <w:rStyle w:val="29"/>
          <w:rFonts w:hint="eastAsia" w:ascii="Times New Roman" w:hAnsi="Times New Roman" w:eastAsia="黑体"/>
          <w:b w:val="0"/>
        </w:rPr>
        <w:t>入支出决算总体情况说明</w:t>
      </w:r>
      <w:bookmarkEnd w:id="18"/>
      <w:bookmarkEnd w:id="19"/>
    </w:p>
    <w:p w14:paraId="204BF5FC">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2023年度收、支总计均为214.58万元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与2022年度相比，收、支总计各增加</w:t>
      </w:r>
      <w:r>
        <w:rPr>
          <w:rFonts w:hint="eastAsia" w:ascii="Times New Roman" w:hAnsi="Times New Roman" w:eastAsia="仿宋_GB2312"/>
          <w:sz w:val="32"/>
          <w:szCs w:val="32"/>
          <w:lang w:val="en-US" w:eastAsia="zh-CN"/>
        </w:rPr>
        <w:t>26.27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13.95</w:t>
      </w:r>
      <w:r>
        <w:rPr>
          <w:rFonts w:hint="eastAsia" w:ascii="Times New Roman" w:hAnsi="Times New Roman" w:eastAsia="仿宋_GB2312"/>
          <w:sz w:val="32"/>
          <w:szCs w:val="32"/>
        </w:rPr>
        <w:t>%。主要变动原因是</w:t>
      </w:r>
      <w:r>
        <w:rPr>
          <w:rFonts w:hint="eastAsia" w:ascii="Times New Roman" w:hAnsi="Times New Roman" w:eastAsia="仿宋_GB2312"/>
          <w:sz w:val="32"/>
          <w:szCs w:val="32"/>
          <w:lang w:val="en-US" w:eastAsia="zh-CN"/>
        </w:rPr>
        <w:t>本年度人员增加，人员经费增加较多，其中奖金增加19.42</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元，绩效工资增加1.82</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元，养老保险增加5.89</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元</w:t>
      </w:r>
      <w:r>
        <w:rPr>
          <w:rFonts w:hint="eastAsia" w:ascii="Times New Roman" w:hAnsi="Times New Roman" w:eastAsia="仿宋_GB2312"/>
          <w:sz w:val="32"/>
          <w:szCs w:val="32"/>
        </w:rPr>
        <w:t>。</w:t>
      </w:r>
    </w:p>
    <w:p w14:paraId="6162DB83">
      <w:pPr>
        <w:pStyle w:val="9"/>
        <w:rPr>
          <w:rFonts w:hint="eastAsia" w:ascii="仿宋_GB2312" w:hAnsi="仿宋_GB2312" w:eastAsia="仿宋_GB2312" w:cs="仿宋_GB2312"/>
        </w:rPr>
      </w:pPr>
    </w:p>
    <w:p w14:paraId="1BB2B8C4">
      <w:pPr>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图1：收、支</w:t>
      </w:r>
      <w:r>
        <w:rPr>
          <w:rFonts w:hint="eastAsia" w:ascii="仿宋_GB2312" w:hAnsi="仿宋_GB2312" w:eastAsia="仿宋_GB2312" w:cs="仿宋_GB2312"/>
          <w:sz w:val="32"/>
          <w:szCs w:val="32"/>
        </w:rPr>
        <w:t>决算总计变动情况图）（柱状图）</w:t>
      </w:r>
    </w:p>
    <w:p w14:paraId="114BB092">
      <w:pPr>
        <w:pStyle w:val="9"/>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drawing>
          <wp:inline distT="0" distB="0" distL="114300" distR="114300">
            <wp:extent cx="5393690" cy="3136265"/>
            <wp:effectExtent l="4445" t="4445" r="12065" b="215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1B8FA0">
      <w:pPr>
        <w:rPr>
          <w:rFonts w:hint="eastAsia"/>
          <w:lang w:eastAsia="zh-CN"/>
        </w:rPr>
      </w:pPr>
    </w:p>
    <w:p w14:paraId="185EDEFE">
      <w:pPr>
        <w:pStyle w:val="27"/>
        <w:keepNext w:val="0"/>
        <w:keepLines w:val="0"/>
        <w:pageBreakBefore w:val="0"/>
        <w:widowControl w:val="0"/>
        <w:numPr>
          <w:ilvl w:val="0"/>
          <w:numId w:val="0"/>
        </w:numPr>
        <w:kinsoku/>
        <w:wordWrap/>
        <w:overflowPunct/>
        <w:topLinePunct w:val="0"/>
        <w:bidi w:val="0"/>
        <w:adjustRightInd/>
        <w:snapToGrid/>
        <w:spacing w:line="240" w:lineRule="auto"/>
        <w:ind w:right="0" w:rightChars="0" w:firstLine="640" w:firstLineChars="200"/>
        <w:textAlignment w:val="auto"/>
        <w:outlineLvl w:val="1"/>
        <w:rPr>
          <w:rStyle w:val="29"/>
          <w:rFonts w:ascii="Times New Roman" w:hAnsi="Times New Roman" w:eastAsia="黑体"/>
          <w:b w:val="0"/>
        </w:rPr>
      </w:pPr>
      <w:bookmarkStart w:id="20" w:name="_Toc15377206"/>
      <w:bookmarkStart w:id="21" w:name="_Toc15396604"/>
      <w:r>
        <w:rPr>
          <w:rFonts w:hint="eastAsia" w:eastAsia="黑体"/>
          <w:sz w:val="32"/>
          <w:szCs w:val="32"/>
          <w:lang w:eastAsia="zh-CN"/>
        </w:rPr>
        <w:t>二、</w:t>
      </w:r>
      <w:r>
        <w:rPr>
          <w:rFonts w:hint="eastAsia" w:ascii="Times New Roman" w:hAnsi="Times New Roman" w:eastAsia="黑体"/>
          <w:sz w:val="32"/>
          <w:szCs w:val="32"/>
        </w:rPr>
        <w:t>收</w:t>
      </w:r>
      <w:r>
        <w:rPr>
          <w:rStyle w:val="29"/>
          <w:rFonts w:hint="eastAsia" w:ascii="Times New Roman" w:hAnsi="Times New Roman" w:eastAsia="黑体"/>
          <w:b w:val="0"/>
        </w:rPr>
        <w:t>入决算情况说明</w:t>
      </w:r>
      <w:bookmarkEnd w:id="20"/>
      <w:bookmarkEnd w:id="21"/>
    </w:p>
    <w:p w14:paraId="47D742E6">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2023年度本年收入合计214.58万元，其中：一般公共预算财政拨款收入214.58万元，占100%；政府性基金预算财政拨款收入0万元，占0%；国有资本经营预算财政拨款收入0万元，占0%；上级补助收入0万元，占0%；事业收入0万元，占0%；经营收入0万元，占0%；附属单位上缴收入0万元，占0%；其他收入0万元，占0%</w:t>
      </w:r>
      <w:r>
        <w:rPr>
          <w:rFonts w:hint="eastAsia" w:ascii="Times New Roman" w:hAnsi="Times New Roman" w:eastAsia="仿宋_GB2312"/>
          <w:sz w:val="32"/>
          <w:szCs w:val="32"/>
          <w:lang w:eastAsia="zh-CN"/>
        </w:rPr>
        <w:t>。</w:t>
      </w:r>
    </w:p>
    <w:p w14:paraId="52C5D91C">
      <w:pPr>
        <w:pStyle w:val="9"/>
        <w:rPr>
          <w:rFonts w:hint="eastAsia" w:ascii="仿宋_GB2312" w:hAnsi="仿宋_GB2312" w:eastAsia="仿宋_GB2312" w:cs="仿宋_GB2312"/>
          <w:lang w:eastAsia="zh-CN"/>
        </w:rPr>
      </w:pPr>
    </w:p>
    <w:p w14:paraId="61F3D897">
      <w:pPr>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w:t>
      </w:r>
      <w:r>
        <w:rPr>
          <w:rFonts w:hint="eastAsia" w:ascii="Times New Roman" w:hAnsi="Times New Roman" w:eastAsia="仿宋_GB2312"/>
          <w:sz w:val="32"/>
          <w:szCs w:val="32"/>
          <w:lang w:val="en-US" w:eastAsia="zh-CN"/>
        </w:rPr>
        <w:t>2：收</w:t>
      </w:r>
      <w:r>
        <w:rPr>
          <w:rFonts w:hint="eastAsia" w:ascii="仿宋_GB2312" w:hAnsi="仿宋_GB2312" w:eastAsia="仿宋_GB2312" w:cs="仿宋_GB2312"/>
          <w:sz w:val="32"/>
          <w:szCs w:val="32"/>
        </w:rPr>
        <w:t>入决算结构图）（饼状图）</w:t>
      </w:r>
    </w:p>
    <w:p w14:paraId="7AF234BE">
      <w:pPr>
        <w:pStyle w:val="9"/>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drawing>
          <wp:inline distT="0" distB="0" distL="114300" distR="114300">
            <wp:extent cx="5203825" cy="3699510"/>
            <wp:effectExtent l="4445" t="4445" r="11430" b="107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BC97D1">
      <w:pPr>
        <w:pStyle w:val="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sz w:val="32"/>
          <w:szCs w:val="32"/>
        </w:rPr>
      </w:pPr>
    </w:p>
    <w:p w14:paraId="4AC2F901">
      <w:pPr>
        <w:pStyle w:val="27"/>
        <w:keepNext w:val="0"/>
        <w:keepLines w:val="0"/>
        <w:pageBreakBefore w:val="0"/>
        <w:widowControl w:val="0"/>
        <w:numPr>
          <w:ilvl w:val="0"/>
          <w:numId w:val="0"/>
        </w:numPr>
        <w:kinsoku/>
        <w:wordWrap/>
        <w:overflowPunct/>
        <w:topLinePunct w:val="0"/>
        <w:bidi w:val="0"/>
        <w:adjustRightInd/>
        <w:snapToGrid/>
        <w:spacing w:line="240" w:lineRule="auto"/>
        <w:ind w:right="0" w:rightChars="0" w:firstLine="640" w:firstLineChars="200"/>
        <w:textAlignment w:val="auto"/>
        <w:outlineLvl w:val="1"/>
        <w:rPr>
          <w:rStyle w:val="29"/>
          <w:rFonts w:ascii="Times New Roman" w:hAnsi="Times New Roman" w:eastAsia="黑体"/>
          <w:b w:val="0"/>
        </w:rPr>
      </w:pPr>
      <w:bookmarkStart w:id="22" w:name="_Toc15396605"/>
      <w:bookmarkStart w:id="23" w:name="_Toc15377207"/>
      <w:r>
        <w:rPr>
          <w:rFonts w:hint="eastAsia" w:eastAsia="黑体"/>
          <w:sz w:val="32"/>
          <w:szCs w:val="32"/>
          <w:lang w:eastAsia="zh-CN"/>
        </w:rPr>
        <w:t>三、</w:t>
      </w:r>
      <w:r>
        <w:rPr>
          <w:rFonts w:hint="eastAsia" w:ascii="Times New Roman" w:hAnsi="Times New Roman" w:eastAsia="黑体"/>
          <w:sz w:val="32"/>
          <w:szCs w:val="32"/>
        </w:rPr>
        <w:t>支</w:t>
      </w:r>
      <w:r>
        <w:rPr>
          <w:rStyle w:val="29"/>
          <w:rFonts w:hint="eastAsia" w:ascii="Times New Roman" w:hAnsi="Times New Roman" w:eastAsia="黑体"/>
          <w:b w:val="0"/>
        </w:rPr>
        <w:t>出决算情况说明</w:t>
      </w:r>
      <w:bookmarkEnd w:id="22"/>
      <w:bookmarkEnd w:id="23"/>
    </w:p>
    <w:p w14:paraId="4DB543DB">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2023年度本年支出合计214.58万元，其中：基本支出195.62万元，占91.16%；项目支出18.95万元，占8.83%；上缴上级支出0万元，占0%；经营支出0万元，占0%；对附属单位补助支出0万元，占0%。</w:t>
      </w:r>
    </w:p>
    <w:p w14:paraId="1EE9C407">
      <w:pPr>
        <w:pStyle w:val="9"/>
        <w:rPr>
          <w:rFonts w:hint="eastAsia" w:ascii="仿宋_GB2312" w:hAnsi="仿宋_GB2312" w:eastAsia="仿宋_GB2312" w:cs="仿宋_GB2312"/>
        </w:rPr>
      </w:pPr>
    </w:p>
    <w:p w14:paraId="68B01E85">
      <w:pPr>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w:t>
      </w:r>
      <w:r>
        <w:rPr>
          <w:rFonts w:hint="eastAsia" w:ascii="Times New Roman" w:hAnsi="Times New Roman" w:eastAsia="仿宋_GB2312"/>
          <w:sz w:val="32"/>
          <w:szCs w:val="32"/>
          <w:lang w:val="en-US" w:eastAsia="zh-CN"/>
        </w:rPr>
        <w:t>3：支出</w:t>
      </w:r>
      <w:r>
        <w:rPr>
          <w:rFonts w:hint="eastAsia" w:ascii="仿宋_GB2312" w:hAnsi="仿宋_GB2312" w:eastAsia="仿宋_GB2312" w:cs="仿宋_GB2312"/>
          <w:sz w:val="32"/>
          <w:szCs w:val="32"/>
        </w:rPr>
        <w:t>决算结构图）（饼状图）</w:t>
      </w:r>
    </w:p>
    <w:p w14:paraId="78B7BCA6">
      <w:pPr>
        <w:pStyle w:val="9"/>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drawing>
          <wp:inline distT="0" distB="0" distL="114300" distR="114300">
            <wp:extent cx="4521200" cy="2247900"/>
            <wp:effectExtent l="4445" t="4445" r="82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B9991E">
      <w:pPr>
        <w:pStyle w:val="9"/>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sz w:val="32"/>
          <w:szCs w:val="32"/>
        </w:rPr>
      </w:pPr>
    </w:p>
    <w:p w14:paraId="53952FD8">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outlineLvl w:val="1"/>
        <w:rPr>
          <w:rStyle w:val="29"/>
          <w:rFonts w:ascii="Times New Roman" w:hAnsi="Times New Roman" w:eastAsia="黑体"/>
          <w:b w:val="0"/>
        </w:rPr>
      </w:pPr>
      <w:bookmarkStart w:id="24" w:name="_Toc15396606"/>
      <w:bookmarkStart w:id="25" w:name="_Toc15377208"/>
      <w:r>
        <w:rPr>
          <w:rFonts w:hint="eastAsia" w:ascii="Times New Roman" w:hAnsi="Times New Roman" w:eastAsia="黑体"/>
          <w:sz w:val="32"/>
          <w:szCs w:val="32"/>
        </w:rPr>
        <w:t>四、财</w:t>
      </w:r>
      <w:r>
        <w:rPr>
          <w:rStyle w:val="29"/>
          <w:rFonts w:hint="eastAsia" w:ascii="Times New Roman" w:hAnsi="Times New Roman" w:eastAsia="黑体"/>
          <w:b w:val="0"/>
        </w:rPr>
        <w:t>政拨款收入支出决算总体情况说明</w:t>
      </w:r>
      <w:bookmarkEnd w:id="24"/>
      <w:bookmarkEnd w:id="25"/>
    </w:p>
    <w:p w14:paraId="5CF7D550">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2023年度财政拨款收、支总计均为214.58万元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与2022年度相比，财政拨款收、支总计各增加</w:t>
      </w:r>
      <w:r>
        <w:rPr>
          <w:rFonts w:hint="eastAsia" w:ascii="Times New Roman" w:hAnsi="Times New Roman" w:eastAsia="仿宋_GB2312"/>
          <w:sz w:val="32"/>
          <w:szCs w:val="32"/>
          <w:lang w:val="en-US" w:eastAsia="zh-CN"/>
        </w:rPr>
        <w:t>26.27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13.95</w:t>
      </w:r>
      <w:r>
        <w:rPr>
          <w:rFonts w:hint="eastAsia" w:ascii="Times New Roman" w:hAnsi="Times New Roman" w:eastAsia="仿宋_GB2312"/>
          <w:sz w:val="32"/>
          <w:szCs w:val="32"/>
        </w:rPr>
        <w:t>%。主要变动原因是</w:t>
      </w:r>
      <w:r>
        <w:rPr>
          <w:rFonts w:hint="eastAsia" w:ascii="Times New Roman" w:hAnsi="Times New Roman" w:eastAsia="仿宋_GB2312"/>
          <w:sz w:val="32"/>
          <w:szCs w:val="32"/>
          <w:lang w:val="en-US" w:eastAsia="zh-CN"/>
        </w:rPr>
        <w:t>本年度人员增加，人员经费增加，其中奖金增加19.42</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元，绩效工资增加1.82</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元，养老保险增加5.89</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元。</w:t>
      </w:r>
    </w:p>
    <w:p w14:paraId="540E699B">
      <w:pPr>
        <w:pStyle w:val="9"/>
      </w:pPr>
    </w:p>
    <w:p w14:paraId="7CA98A14">
      <w:pPr>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eastAsia="仿宋"/>
          <w:sz w:val="32"/>
          <w:szCs w:val="32"/>
        </w:rPr>
      </w:pPr>
      <w:r>
        <w:rPr>
          <w:rFonts w:hint="eastAsia" w:ascii="Times New Roman" w:hAnsi="Times New Roman" w:eastAsia="仿宋"/>
          <w:sz w:val="32"/>
          <w:szCs w:val="32"/>
        </w:rPr>
        <w:t>（</w:t>
      </w:r>
      <w:r>
        <w:rPr>
          <w:rFonts w:hint="eastAsia" w:ascii="Times New Roman" w:hAnsi="Times New Roman" w:eastAsia="仿宋_GB2312"/>
          <w:sz w:val="32"/>
          <w:szCs w:val="32"/>
          <w:lang w:val="en-US" w:eastAsia="zh-CN"/>
        </w:rPr>
        <w:t>图4：财政拨款收、支决算总</w:t>
      </w:r>
      <w:r>
        <w:rPr>
          <w:rFonts w:hint="eastAsia" w:ascii="Times New Roman" w:hAnsi="Times New Roman" w:eastAsia="仿宋"/>
          <w:sz w:val="32"/>
          <w:szCs w:val="32"/>
        </w:rPr>
        <w:t>计变动情况）（柱状图）</w:t>
      </w:r>
    </w:p>
    <w:p w14:paraId="3B0CFF0F">
      <w:pPr>
        <w:pStyle w:val="9"/>
        <w:keepNext w:val="0"/>
        <w:keepLines w:val="0"/>
        <w:pageBreakBefore w:val="0"/>
        <w:widowControl w:val="0"/>
        <w:kinsoku/>
        <w:wordWrap/>
        <w:overflowPunct/>
        <w:topLinePunct w:val="0"/>
        <w:bidi w:val="0"/>
        <w:adjustRightInd/>
        <w:snapToGrid/>
        <w:spacing w:line="240" w:lineRule="auto"/>
        <w:ind w:right="0"/>
        <w:jc w:val="center"/>
        <w:textAlignment w:val="auto"/>
        <w:rPr>
          <w:rFonts w:ascii="Times New Roman" w:hAnsi="Times New Roman" w:eastAsia="仿宋"/>
          <w:b/>
          <w:sz w:val="32"/>
          <w:szCs w:val="32"/>
        </w:rPr>
      </w:pPr>
      <w:r>
        <w:rPr>
          <w:rFonts w:hint="eastAsia" w:ascii="Times New Roman" w:hAnsi="Times New Roman" w:eastAsia="仿宋_GB2312"/>
          <w:sz w:val="32"/>
          <w:szCs w:val="32"/>
          <w:lang w:eastAsia="zh-CN"/>
        </w:rPr>
        <w:drawing>
          <wp:inline distT="0" distB="0" distL="114300" distR="114300">
            <wp:extent cx="5014595" cy="2374900"/>
            <wp:effectExtent l="5080" t="4445" r="9525" b="2095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8C7CFC">
      <w:pPr>
        <w:pStyle w:val="9"/>
        <w:keepNext w:val="0"/>
        <w:keepLines w:val="0"/>
        <w:pageBreakBefore w:val="0"/>
        <w:widowControl w:val="0"/>
        <w:kinsoku/>
        <w:wordWrap/>
        <w:overflowPunct/>
        <w:topLinePunct w:val="0"/>
        <w:bidi w:val="0"/>
        <w:adjustRightInd/>
        <w:snapToGrid/>
        <w:spacing w:line="240" w:lineRule="auto"/>
        <w:ind w:left="0" w:right="0" w:firstLine="643" w:firstLineChars="200"/>
        <w:textAlignment w:val="auto"/>
        <w:rPr>
          <w:rFonts w:ascii="Times New Roman" w:hAnsi="Times New Roman" w:eastAsia="仿宋"/>
          <w:b/>
          <w:sz w:val="32"/>
          <w:szCs w:val="32"/>
        </w:rPr>
      </w:pPr>
    </w:p>
    <w:p w14:paraId="58FA2016">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outlineLvl w:val="1"/>
        <w:rPr>
          <w:rStyle w:val="29"/>
          <w:rFonts w:ascii="Times New Roman" w:hAnsi="Times New Roman" w:eastAsia="黑体"/>
          <w:b w:val="0"/>
        </w:rPr>
      </w:pPr>
      <w:bookmarkStart w:id="26" w:name="_Toc15377209"/>
      <w:bookmarkStart w:id="27" w:name="_Toc15396607"/>
      <w:r>
        <w:rPr>
          <w:rFonts w:hint="eastAsia" w:ascii="Times New Roman" w:hAnsi="Times New Roman" w:eastAsia="黑体"/>
          <w:sz w:val="32"/>
          <w:szCs w:val="32"/>
        </w:rPr>
        <w:t>五、</w:t>
      </w:r>
      <w:r>
        <w:rPr>
          <w:rFonts w:hint="eastAsia" w:ascii="Times New Roman" w:hAnsi="Times New Roman" w:eastAsia="黑体"/>
          <w:b/>
          <w:sz w:val="32"/>
          <w:szCs w:val="32"/>
        </w:rPr>
        <w:t>一</w:t>
      </w:r>
      <w:r>
        <w:rPr>
          <w:rStyle w:val="29"/>
          <w:rFonts w:hint="eastAsia" w:ascii="Times New Roman" w:hAnsi="Times New Roman" w:eastAsia="黑体"/>
          <w:b w:val="0"/>
        </w:rPr>
        <w:t>般公共预算财政拨款支出决算情况说明</w:t>
      </w:r>
      <w:bookmarkEnd w:id="26"/>
      <w:bookmarkEnd w:id="27"/>
    </w:p>
    <w:p w14:paraId="7068BF9D">
      <w:pPr>
        <w:keepNext w:val="0"/>
        <w:keepLines w:val="0"/>
        <w:pageBreakBefore w:val="0"/>
        <w:widowControl w:val="0"/>
        <w:kinsoku/>
        <w:wordWrap/>
        <w:overflowPunct/>
        <w:topLinePunct w:val="0"/>
        <w:bidi w:val="0"/>
        <w:adjustRightInd/>
        <w:snapToGrid/>
        <w:spacing w:line="240" w:lineRule="auto"/>
        <w:ind w:left="0" w:right="0" w:firstLine="643" w:firstLineChars="200"/>
        <w:textAlignment w:val="auto"/>
        <w:outlineLvl w:val="2"/>
        <w:rPr>
          <w:rFonts w:hint="eastAsia" w:ascii="仿宋_GB2312" w:hAnsi="仿宋_GB2312" w:eastAsia="仿宋_GB2312" w:cs="仿宋_GB2312"/>
          <w:b/>
          <w:sz w:val="32"/>
          <w:szCs w:val="32"/>
        </w:rPr>
      </w:pPr>
      <w:bookmarkStart w:id="28" w:name="_Toc15377210"/>
      <w:r>
        <w:rPr>
          <w:rFonts w:hint="eastAsia" w:ascii="仿宋_GB2312" w:hAnsi="仿宋_GB2312" w:eastAsia="仿宋_GB2312" w:cs="仿宋_GB2312"/>
          <w:b/>
          <w:sz w:val="32"/>
          <w:szCs w:val="32"/>
        </w:rPr>
        <w:t>（一）一般公共预算财政拨款支出决算总体情况</w:t>
      </w:r>
      <w:bookmarkEnd w:id="28"/>
    </w:p>
    <w:p w14:paraId="3551751A">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2023年度一般公共预算财政拨款支出214.58万元，占本年支出合计的100%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与2022年度相比，一般公共预算财政拨款支出增加</w:t>
      </w:r>
      <w:r>
        <w:rPr>
          <w:rFonts w:hint="eastAsia" w:ascii="Times New Roman" w:hAnsi="Times New Roman" w:eastAsia="仿宋_GB2312"/>
          <w:sz w:val="32"/>
          <w:szCs w:val="32"/>
          <w:lang w:val="en-US" w:eastAsia="zh-CN"/>
        </w:rPr>
        <w:t>26.27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13.95</w:t>
      </w:r>
      <w:r>
        <w:rPr>
          <w:rFonts w:hint="eastAsia" w:ascii="Times New Roman" w:hAnsi="Times New Roman" w:eastAsia="仿宋_GB2312"/>
          <w:sz w:val="32"/>
          <w:szCs w:val="32"/>
        </w:rPr>
        <w:t>%。主要变动原因是</w:t>
      </w:r>
      <w:r>
        <w:rPr>
          <w:rFonts w:hint="eastAsia" w:ascii="Times New Roman" w:hAnsi="Times New Roman" w:eastAsia="仿宋_GB2312"/>
          <w:sz w:val="32"/>
          <w:szCs w:val="32"/>
          <w:lang w:val="en-US" w:eastAsia="zh-CN"/>
        </w:rPr>
        <w:t>本年度人员增加，人员经费增加，其中奖金增加19.42</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元，绩效工资增加1.82</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元，养老保险增加5.89</w:t>
      </w:r>
      <w:r>
        <w:rPr>
          <w:rFonts w:hint="eastAsia" w:ascii="Times New Roman" w:hAnsi="Times New Roman" w:eastAsia="仿宋_GB2312"/>
          <w:sz w:val="32"/>
          <w:szCs w:val="32"/>
        </w:rPr>
        <w:t>万</w:t>
      </w:r>
      <w:r>
        <w:rPr>
          <w:rFonts w:hint="eastAsia" w:ascii="Times New Roman" w:hAnsi="Times New Roman" w:eastAsia="仿宋_GB2312"/>
          <w:sz w:val="32"/>
          <w:szCs w:val="32"/>
          <w:lang w:val="en-US" w:eastAsia="zh-CN"/>
        </w:rPr>
        <w:t>元。</w:t>
      </w:r>
    </w:p>
    <w:p w14:paraId="65B5821C">
      <w:pPr>
        <w:pStyle w:val="9"/>
        <w:rPr>
          <w:rFonts w:hint="eastAsia" w:ascii="仿宋_GB2312" w:hAnsi="仿宋_GB2312" w:eastAsia="仿宋_GB2312" w:cs="仿宋_GB2312"/>
          <w:lang w:eastAsia="zh-CN"/>
        </w:rPr>
      </w:pPr>
    </w:p>
    <w:p w14:paraId="759D6A4D">
      <w:pPr>
        <w:keepNext w:val="0"/>
        <w:keepLines w:val="0"/>
        <w:pageBreakBefore w:val="0"/>
        <w:widowControl w:val="0"/>
        <w:kinsoku/>
        <w:wordWrap/>
        <w:overflowPunct/>
        <w:topLinePunct w:val="0"/>
        <w:bidi w:val="0"/>
        <w:adjustRightInd/>
        <w:snapToGrid/>
        <w:spacing w:line="240" w:lineRule="auto"/>
        <w:ind w:right="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（图5：一般公共预算财政拨款支出决算变动情况）（柱状图）</w:t>
      </w:r>
    </w:p>
    <w:p w14:paraId="36440900">
      <w:pPr>
        <w:pStyle w:val="9"/>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EA90EF"/>
    <w:p w14:paraId="598A5DFA">
      <w:pPr>
        <w:keepNext w:val="0"/>
        <w:keepLines w:val="0"/>
        <w:pageBreakBefore w:val="0"/>
        <w:widowControl w:val="0"/>
        <w:kinsoku/>
        <w:wordWrap/>
        <w:overflowPunct/>
        <w:topLinePunct w:val="0"/>
        <w:bidi w:val="0"/>
        <w:adjustRightInd/>
        <w:snapToGrid/>
        <w:spacing w:line="240" w:lineRule="auto"/>
        <w:ind w:left="0" w:right="0" w:firstLine="643" w:firstLineChars="200"/>
        <w:textAlignment w:val="auto"/>
        <w:outlineLvl w:val="2"/>
        <w:rPr>
          <w:rFonts w:hint="eastAsia" w:ascii="仿宋_GB2312" w:hAnsi="仿宋_GB2312" w:eastAsia="仿宋_GB2312" w:cs="仿宋_GB2312"/>
          <w:b/>
          <w:sz w:val="32"/>
          <w:szCs w:val="32"/>
        </w:rPr>
      </w:pPr>
      <w:bookmarkStart w:id="29" w:name="_Toc15377211"/>
      <w:r>
        <w:rPr>
          <w:rFonts w:hint="eastAsia" w:ascii="仿宋_GB2312" w:hAnsi="仿宋_GB2312" w:eastAsia="仿宋_GB2312" w:cs="仿宋_GB2312"/>
          <w:b/>
          <w:sz w:val="32"/>
          <w:szCs w:val="32"/>
        </w:rPr>
        <w:t>（二）一般公共预算财政拨款支出决算结构情况</w:t>
      </w:r>
      <w:bookmarkEnd w:id="29"/>
    </w:p>
    <w:p w14:paraId="2DB48A34">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2023年度一般公共预算财政拨款支出214.58万元，主要用于以下方面:一般公共服务支出</w:t>
      </w:r>
      <w:r>
        <w:rPr>
          <w:rFonts w:hint="eastAsia" w:ascii="Times New Roman" w:hAnsi="Times New Roman" w:eastAsia="仿宋_GB2312"/>
          <w:sz w:val="32"/>
          <w:szCs w:val="32"/>
          <w:lang w:val="en-US" w:eastAsia="zh-CN"/>
        </w:rPr>
        <w:t>189.61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88.37</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18.79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8.76</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6.17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2.88</w:t>
      </w:r>
      <w:r>
        <w:rPr>
          <w:rFonts w:hint="eastAsia" w:ascii="Times New Roman" w:hAnsi="Times New Roman" w:eastAsia="仿宋_GB2312"/>
          <w:sz w:val="32"/>
          <w:szCs w:val="32"/>
        </w:rPr>
        <w:t>%。</w:t>
      </w:r>
    </w:p>
    <w:p w14:paraId="1FEB6149">
      <w:pPr>
        <w:pStyle w:val="9"/>
        <w:rPr>
          <w:rFonts w:hint="eastAsia"/>
        </w:rPr>
      </w:pPr>
    </w:p>
    <w:p w14:paraId="18F79221">
      <w:pPr>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en-US" w:eastAsia="zh-CN"/>
        </w:rPr>
        <w:t>图6：一</w:t>
      </w:r>
      <w:r>
        <w:rPr>
          <w:rFonts w:hint="eastAsia" w:ascii="仿宋_GB2312" w:hAnsi="仿宋_GB2312" w:eastAsia="仿宋_GB2312" w:cs="仿宋_GB2312"/>
          <w:sz w:val="32"/>
          <w:szCs w:val="32"/>
        </w:rPr>
        <w:t>般公共预算财政拨款支出决算结构）（饼状图）</w:t>
      </w:r>
    </w:p>
    <w:p w14:paraId="693F4159">
      <w:pPr>
        <w:pStyle w:val="9"/>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drawing>
          <wp:inline distT="0" distB="0" distL="114300" distR="114300">
            <wp:extent cx="5094605" cy="2654935"/>
            <wp:effectExtent l="4445" t="4445" r="6350"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8B9BCF"/>
    <w:p w14:paraId="3B24429B">
      <w:pPr>
        <w:keepNext w:val="0"/>
        <w:keepLines w:val="0"/>
        <w:pageBreakBefore w:val="0"/>
        <w:widowControl w:val="0"/>
        <w:kinsoku/>
        <w:wordWrap/>
        <w:overflowPunct/>
        <w:topLinePunct w:val="0"/>
        <w:bidi w:val="0"/>
        <w:adjustRightInd/>
        <w:snapToGrid/>
        <w:spacing w:line="240" w:lineRule="auto"/>
        <w:ind w:left="0" w:right="0" w:firstLine="643" w:firstLineChars="200"/>
        <w:textAlignment w:val="auto"/>
        <w:outlineLvl w:val="2"/>
        <w:rPr>
          <w:rFonts w:hint="eastAsia" w:ascii="仿宋_GB2312" w:hAnsi="仿宋_GB2312" w:eastAsia="仿宋_GB2312" w:cs="仿宋_GB2312"/>
          <w:b/>
          <w:sz w:val="32"/>
          <w:szCs w:val="32"/>
        </w:rPr>
      </w:pPr>
      <w:bookmarkStart w:id="30" w:name="_Toc15377212"/>
      <w:r>
        <w:rPr>
          <w:rFonts w:hint="eastAsia" w:ascii="仿宋_GB2312" w:hAnsi="仿宋_GB2312" w:eastAsia="仿宋_GB2312" w:cs="仿宋_GB2312"/>
          <w:b/>
          <w:sz w:val="32"/>
          <w:szCs w:val="32"/>
        </w:rPr>
        <w:t>（三）一般公共预算财政拨款支出决算具体情况</w:t>
      </w:r>
      <w:bookmarkEnd w:id="30"/>
    </w:p>
    <w:p w14:paraId="1F816B3A">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bookmarkStart w:id="31" w:name="_Toc15377213"/>
      <w:bookmarkStart w:id="32" w:name="_Toc15378460"/>
      <w:bookmarkStart w:id="33" w:name="_Toc15377444"/>
      <w:r>
        <w:rPr>
          <w:rFonts w:hint="eastAsia" w:ascii="Times New Roman" w:hAnsi="Times New Roman" w:eastAsia="仿宋_GB2312"/>
          <w:sz w:val="32"/>
          <w:szCs w:val="32"/>
        </w:rPr>
        <w:t>2023年度一般公共预算支出决算数为214.58</w:t>
      </w:r>
      <w:r>
        <w:rPr>
          <w:rFonts w:hint="eastAsia" w:eastAsia="仿宋_GB2312"/>
          <w:sz w:val="32"/>
          <w:szCs w:val="32"/>
          <w:lang w:eastAsia="zh-CN"/>
        </w:rPr>
        <w:t>万元</w:t>
      </w:r>
      <w:r>
        <w:rPr>
          <w:rFonts w:hint="eastAsia" w:ascii="Times New Roman" w:hAnsi="Times New Roman" w:eastAsia="仿宋_GB2312"/>
          <w:sz w:val="32"/>
          <w:szCs w:val="32"/>
        </w:rPr>
        <w:t>，完成预算</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bookmarkEnd w:id="31"/>
      <w:bookmarkEnd w:id="32"/>
      <w:bookmarkEnd w:id="33"/>
    </w:p>
    <w:p w14:paraId="1398505D">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支出决算为</w:t>
      </w:r>
      <w:r>
        <w:rPr>
          <w:rFonts w:hint="eastAsia" w:ascii="Times New Roman" w:hAnsi="Times New Roman" w:eastAsia="仿宋_GB2312"/>
          <w:sz w:val="32"/>
          <w:szCs w:val="32"/>
          <w:lang w:val="en-US" w:eastAsia="zh-CN"/>
        </w:rPr>
        <w:t>155.98</w:t>
      </w:r>
      <w:r>
        <w:rPr>
          <w:rFonts w:hint="eastAsia" w:ascii="Times New Roman" w:hAnsi="Times New Roman" w:eastAsia="仿宋_GB2312"/>
          <w:sz w:val="32"/>
          <w:szCs w:val="32"/>
        </w:rPr>
        <w:t>万元，完成预算</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3D9CA364">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专项业务及机关事务管理</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支出决算为</w:t>
      </w:r>
      <w:r>
        <w:rPr>
          <w:rFonts w:hint="eastAsia" w:ascii="Times New Roman" w:hAnsi="Times New Roman" w:eastAsia="仿宋_GB2312"/>
          <w:sz w:val="32"/>
          <w:szCs w:val="32"/>
          <w:lang w:val="en-US" w:eastAsia="zh-CN"/>
        </w:rPr>
        <w:t>18.95</w:t>
      </w:r>
      <w:r>
        <w:rPr>
          <w:rFonts w:hint="eastAsia" w:ascii="Times New Roman" w:hAnsi="Times New Roman" w:eastAsia="仿宋_GB2312"/>
          <w:sz w:val="32"/>
          <w:szCs w:val="32"/>
        </w:rPr>
        <w:t>万元，完成预算</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67C6E5B6">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3.一般公共服务（类）</w:t>
      </w:r>
      <w:r>
        <w:rPr>
          <w:rFonts w:hint="eastAsia" w:ascii="Times New Roman" w:hAnsi="Times New Roman" w:eastAsia="仿宋_GB2312"/>
          <w:sz w:val="32"/>
          <w:szCs w:val="32"/>
          <w:lang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事业运行</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支出决算为</w:t>
      </w:r>
      <w:r>
        <w:rPr>
          <w:rFonts w:hint="eastAsia" w:ascii="Times New Roman" w:hAnsi="Times New Roman" w:eastAsia="仿宋_GB2312"/>
          <w:sz w:val="32"/>
          <w:szCs w:val="32"/>
          <w:lang w:val="en-US" w:eastAsia="zh-CN"/>
        </w:rPr>
        <w:t>14.68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完成预算</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7065354C">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4.社会保障和就业（类）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机关事业单位基本养老保险缴费支出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支出决算为</w:t>
      </w:r>
      <w:r>
        <w:rPr>
          <w:rFonts w:hint="eastAsia" w:ascii="Times New Roman" w:hAnsi="Times New Roman" w:eastAsia="仿宋_GB2312"/>
          <w:sz w:val="32"/>
          <w:szCs w:val="32"/>
          <w:lang w:val="en-US" w:eastAsia="zh-CN"/>
        </w:rPr>
        <w:t>18.79</w:t>
      </w:r>
      <w:r>
        <w:rPr>
          <w:rFonts w:hint="eastAsia" w:ascii="Times New Roman" w:hAnsi="Times New Roman" w:eastAsia="仿宋_GB2312"/>
          <w:sz w:val="32"/>
          <w:szCs w:val="32"/>
        </w:rPr>
        <w:t>万元，完成预算</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D1FE682">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5.卫生健康（类）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行政单位医疗</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5.75</w:t>
      </w:r>
      <w:r>
        <w:rPr>
          <w:rFonts w:hint="eastAsia" w:ascii="Times New Roman" w:hAnsi="Times New Roman" w:eastAsia="仿宋_GB2312"/>
          <w:sz w:val="32"/>
          <w:szCs w:val="32"/>
        </w:rPr>
        <w:t>万元，完成预算</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77DD4F36">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6.卫生健康（类）</w:t>
      </w:r>
      <w:r>
        <w:rPr>
          <w:rFonts w:hint="eastAsia" w:ascii="Times New Roman" w:hAnsi="Times New Roman" w:eastAsia="仿宋_GB2312"/>
          <w:sz w:val="32"/>
          <w:szCs w:val="32"/>
          <w:lang w:eastAsia="zh-CN"/>
        </w:rPr>
        <w:t>行政事业单位医疗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事业单位医疗</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0.42</w:t>
      </w:r>
      <w:r>
        <w:rPr>
          <w:rFonts w:hint="eastAsia" w:ascii="Times New Roman" w:hAnsi="Times New Roman" w:eastAsia="仿宋_GB2312"/>
          <w:sz w:val="32"/>
          <w:szCs w:val="32"/>
        </w:rPr>
        <w:t>万元，完成预算</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2836BBE">
      <w:pPr>
        <w:keepNext w:val="0"/>
        <w:keepLines w:val="0"/>
        <w:pageBreakBefore w:val="0"/>
        <w:widowControl w:val="0"/>
        <w:tabs>
          <w:tab w:val="right" w:pos="8306"/>
        </w:tabs>
        <w:kinsoku/>
        <w:wordWrap/>
        <w:overflowPunct/>
        <w:topLinePunct w:val="0"/>
        <w:bidi w:val="0"/>
        <w:adjustRightInd/>
        <w:snapToGrid/>
        <w:spacing w:line="240" w:lineRule="auto"/>
        <w:ind w:left="0" w:right="0" w:firstLine="640" w:firstLineChars="200"/>
        <w:textAlignment w:val="auto"/>
        <w:outlineLvl w:val="1"/>
        <w:rPr>
          <w:rStyle w:val="29"/>
          <w:rFonts w:ascii="Times New Roman" w:hAnsi="Times New Roman"/>
        </w:rPr>
      </w:pPr>
      <w:bookmarkStart w:id="34" w:name="_Toc15377214"/>
      <w:bookmarkStart w:id="35" w:name="_Toc15396608"/>
      <w:r>
        <w:rPr>
          <w:rFonts w:hint="eastAsia" w:ascii="Times New Roman" w:hAnsi="Times New Roman" w:eastAsia="黑体"/>
          <w:sz w:val="32"/>
          <w:szCs w:val="32"/>
        </w:rPr>
        <w:t>六</w:t>
      </w:r>
      <w:r>
        <w:rPr>
          <w:rFonts w:hint="eastAsia" w:ascii="Times New Roman" w:hAnsi="Times New Roman" w:eastAsia="黑体"/>
          <w:b/>
          <w:sz w:val="32"/>
          <w:szCs w:val="32"/>
        </w:rPr>
        <w:t>、一</w:t>
      </w:r>
      <w:r>
        <w:rPr>
          <w:rStyle w:val="29"/>
          <w:rFonts w:hint="eastAsia" w:ascii="Times New Roman" w:hAnsi="Times New Roman" w:eastAsia="黑体"/>
          <w:b w:val="0"/>
        </w:rPr>
        <w:t>般公共预算财政拨款基本支出决算情况说明</w:t>
      </w:r>
      <w:bookmarkEnd w:id="34"/>
      <w:bookmarkEnd w:id="35"/>
      <w:r>
        <w:rPr>
          <w:rStyle w:val="29"/>
          <w:rFonts w:ascii="Times New Roman" w:hAnsi="Times New Roman" w:eastAsia="黑体"/>
          <w:b w:val="0"/>
        </w:rPr>
        <w:tab/>
      </w:r>
    </w:p>
    <w:p w14:paraId="27B731C5">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2023年度一般公共预算财政拨款基本支出</w:t>
      </w:r>
      <w:r>
        <w:rPr>
          <w:rFonts w:hint="eastAsia" w:ascii="Times New Roman" w:hAnsi="Times New Roman" w:eastAsia="仿宋_GB2312"/>
          <w:color w:val="000000" w:themeColor="text1"/>
          <w:sz w:val="32"/>
          <w:szCs w:val="32"/>
          <w14:textFill>
            <w14:solidFill>
              <w14:schemeClr w14:val="tx1"/>
            </w14:solidFill>
          </w14:textFill>
        </w:rPr>
        <w:t>195.62</w:t>
      </w:r>
      <w:r>
        <w:rPr>
          <w:rFonts w:hint="eastAsia" w:ascii="Times New Roman" w:hAnsi="Times New Roman" w:eastAsia="仿宋_GB2312"/>
          <w:sz w:val="32"/>
          <w:szCs w:val="32"/>
        </w:rPr>
        <w:t>万元，其中：</w:t>
      </w:r>
    </w:p>
    <w:p w14:paraId="3F752EAC">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color w:val="000000" w:themeColor="text1"/>
          <w:sz w:val="32"/>
          <w:szCs w:val="32"/>
          <w14:textFill>
            <w14:solidFill>
              <w14:schemeClr w14:val="tx1"/>
            </w14:solidFill>
          </w14:textFill>
        </w:rPr>
        <w:t>158.87</w:t>
      </w:r>
      <w:r>
        <w:rPr>
          <w:rFonts w:hint="eastAsia" w:ascii="Times New Roman" w:hAnsi="Times New Roman" w:eastAsia="仿宋_GB2312"/>
          <w:sz w:val="32"/>
          <w:szCs w:val="32"/>
        </w:rPr>
        <w:t>万元，主要包括：基本工资、津贴补贴、奖金、绩效工资、机关事业单位基本养老保险缴费、职工基本医疗保险缴费</w:t>
      </w:r>
      <w:r>
        <w:rPr>
          <w:rFonts w:hint="eastAsia" w:ascii="Times New Roman" w:hAnsi="Times New Roman" w:eastAsia="仿宋_GB2312"/>
          <w:sz w:val="32"/>
          <w:szCs w:val="32"/>
          <w:lang w:eastAsia="zh-CN"/>
        </w:rPr>
        <w:t>、公务员医疗补助缴费、</w:t>
      </w:r>
      <w:r>
        <w:rPr>
          <w:rFonts w:hint="eastAsia" w:ascii="Times New Roman" w:hAnsi="Times New Roman" w:eastAsia="仿宋_GB2312"/>
          <w:sz w:val="32"/>
          <w:szCs w:val="32"/>
        </w:rPr>
        <w:t>其他社会保障缴费、生活补助、奖励金、其他对个人和家庭的补助支出。</w:t>
      </w:r>
      <w:r>
        <w:rPr>
          <w:rFonts w:hint="eastAsia" w:ascii="Times New Roman" w:hAnsi="Times New Roman" w:eastAsia="仿宋_GB2312"/>
          <w:sz w:val="32"/>
          <w:szCs w:val="32"/>
        </w:rPr>
        <w:br w:type="textWrapping"/>
      </w:r>
      <w:r>
        <w:rPr>
          <w:rFonts w:hint="eastAsia" w:ascii="Times New Roman" w:hAnsi="Times New Roman" w:eastAsia="仿宋_GB2312"/>
          <w:sz w:val="32"/>
          <w:szCs w:val="32"/>
        </w:rPr>
        <w:t>　　公用经费</w:t>
      </w:r>
      <w:r>
        <w:rPr>
          <w:rFonts w:hint="eastAsia" w:ascii="Times New Roman" w:hAnsi="Times New Roman" w:eastAsia="仿宋_GB2312"/>
          <w:color w:val="000000" w:themeColor="text1"/>
          <w:sz w:val="32"/>
          <w:szCs w:val="32"/>
          <w14:textFill>
            <w14:solidFill>
              <w14:schemeClr w14:val="tx1"/>
            </w14:solidFill>
          </w14:textFill>
        </w:rPr>
        <w:t>36.76</w:t>
      </w:r>
      <w:r>
        <w:rPr>
          <w:rFonts w:hint="eastAsia" w:ascii="Times New Roman" w:hAnsi="Times New Roman" w:eastAsia="仿宋_GB2312"/>
          <w:sz w:val="32"/>
          <w:szCs w:val="32"/>
        </w:rPr>
        <w:t>万元，主要包括：办公费、印刷费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水费、邮电费、物业管理费、差旅费、维修（护）费、租赁费、会议费、培训费、公务接待费、劳务费、工会经费、福利费、其他交通费、其他商品和服务支出、办公设备购置。</w:t>
      </w:r>
    </w:p>
    <w:p w14:paraId="3B892819">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outlineLvl w:val="1"/>
        <w:rPr>
          <w:rStyle w:val="29"/>
          <w:rFonts w:ascii="Times New Roman" w:hAnsi="Times New Roman" w:eastAsia="黑体"/>
          <w:b w:val="0"/>
        </w:rPr>
      </w:pPr>
      <w:bookmarkStart w:id="36" w:name="_Toc15377215"/>
      <w:bookmarkStart w:id="37" w:name="_Toc15396609"/>
      <w:r>
        <w:rPr>
          <w:rFonts w:hint="eastAsia" w:ascii="Times New Roman" w:hAnsi="Times New Roman"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6"/>
      <w:bookmarkEnd w:id="37"/>
    </w:p>
    <w:p w14:paraId="1C0AADAC">
      <w:pPr>
        <w:keepNext w:val="0"/>
        <w:keepLines w:val="0"/>
        <w:pageBreakBefore w:val="0"/>
        <w:widowControl w:val="0"/>
        <w:kinsoku/>
        <w:wordWrap/>
        <w:overflowPunct/>
        <w:topLinePunct w:val="0"/>
        <w:bidi w:val="0"/>
        <w:adjustRightInd/>
        <w:snapToGrid/>
        <w:spacing w:line="240" w:lineRule="auto"/>
        <w:ind w:left="0" w:right="0" w:firstLine="643" w:firstLineChars="200"/>
        <w:textAlignment w:val="auto"/>
        <w:outlineLvl w:val="2"/>
        <w:rPr>
          <w:rFonts w:hint="eastAsia" w:ascii="仿宋_GB2312" w:hAnsi="仿宋_GB2312" w:eastAsia="仿宋_GB2312" w:cs="仿宋_GB2312"/>
          <w:b/>
          <w:sz w:val="32"/>
          <w:szCs w:val="32"/>
        </w:rPr>
      </w:pPr>
      <w:bookmarkStart w:id="38" w:name="_Toc15377216"/>
      <w:r>
        <w:rPr>
          <w:rFonts w:hint="eastAsia" w:ascii="仿宋_GB2312" w:hAnsi="仿宋_GB2312" w:eastAsia="仿宋_GB2312" w:cs="仿宋_GB2312"/>
          <w:b/>
          <w:sz w:val="32"/>
          <w:szCs w:val="32"/>
        </w:rPr>
        <w:t>（一）“三公”经费财政拨款支出决算总体情况说明</w:t>
      </w:r>
      <w:bookmarkEnd w:id="38"/>
    </w:p>
    <w:p w14:paraId="5B38C3F5">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2023年度“三公”经费财政拨款支出决算为0.81万元，完成预算100%，较上年度增加</w:t>
      </w:r>
      <w:r>
        <w:rPr>
          <w:rFonts w:hint="eastAsia" w:ascii="Times New Roman" w:hAnsi="Times New Roman" w:eastAsia="仿宋_GB2312"/>
          <w:sz w:val="32"/>
          <w:szCs w:val="32"/>
          <w:lang w:val="en-US" w:eastAsia="zh-CN"/>
        </w:rPr>
        <w:t>0.78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260</w:t>
      </w:r>
      <w:r>
        <w:rPr>
          <w:rFonts w:hint="eastAsia" w:ascii="Times New Roman" w:hAnsi="Times New Roman" w:eastAsia="仿宋_GB2312"/>
          <w:sz w:val="32"/>
          <w:szCs w:val="32"/>
        </w:rPr>
        <w:t>%。决算与预算数持平的主要原因是</w:t>
      </w:r>
      <w:r>
        <w:rPr>
          <w:rFonts w:hint="eastAsia" w:ascii="Times New Roman" w:hAnsi="Times New Roman" w:eastAsia="仿宋_GB2312"/>
          <w:sz w:val="32"/>
          <w:szCs w:val="32"/>
          <w:lang w:eastAsia="zh-CN"/>
        </w:rPr>
        <w:t>完成预算执行</w:t>
      </w:r>
      <w:r>
        <w:rPr>
          <w:rFonts w:hint="eastAsia" w:ascii="Times New Roman" w:hAnsi="Times New Roman" w:eastAsia="仿宋_GB2312"/>
          <w:sz w:val="32"/>
          <w:szCs w:val="32"/>
        </w:rPr>
        <w:t>。</w:t>
      </w:r>
    </w:p>
    <w:p w14:paraId="1C9B37F0">
      <w:pPr>
        <w:keepNext w:val="0"/>
        <w:keepLines w:val="0"/>
        <w:pageBreakBefore w:val="0"/>
        <w:widowControl w:val="0"/>
        <w:kinsoku/>
        <w:wordWrap/>
        <w:overflowPunct/>
        <w:topLinePunct w:val="0"/>
        <w:bidi w:val="0"/>
        <w:adjustRightInd/>
        <w:snapToGrid/>
        <w:spacing w:line="240" w:lineRule="auto"/>
        <w:ind w:left="0" w:right="0" w:firstLine="643" w:firstLineChars="200"/>
        <w:textAlignment w:val="auto"/>
        <w:outlineLvl w:val="2"/>
        <w:rPr>
          <w:rFonts w:hint="eastAsia" w:ascii="仿宋_GB2312" w:hAnsi="仿宋_GB2312" w:eastAsia="仿宋_GB2312" w:cs="仿宋_GB2312"/>
          <w:b/>
          <w:sz w:val="32"/>
          <w:szCs w:val="32"/>
        </w:rPr>
      </w:pPr>
      <w:bookmarkStart w:id="39" w:name="_Toc15377217"/>
      <w:r>
        <w:rPr>
          <w:rFonts w:hint="eastAsia" w:ascii="仿宋_GB2312" w:hAnsi="仿宋_GB2312" w:eastAsia="仿宋_GB2312" w:cs="仿宋_GB2312"/>
          <w:b/>
          <w:sz w:val="32"/>
          <w:szCs w:val="32"/>
        </w:rPr>
        <w:t>（二）“三公”经费财政拨款支出决算具体情况说明</w:t>
      </w:r>
      <w:bookmarkEnd w:id="39"/>
    </w:p>
    <w:p w14:paraId="71F1A06D">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2023年度“三公”经费财政拨款支出决算中，因公出国（境）费支出决算0万元，占0%；公务用车购置及运行维护费支出决算0万元，占0%；公务接待费支出决算0.81万元，占100%。具体情况如下：</w:t>
      </w:r>
    </w:p>
    <w:p w14:paraId="3B3D72D6">
      <w:pPr>
        <w:pStyle w:val="9"/>
        <w:rPr>
          <w:rFonts w:hint="eastAsia" w:ascii="仿宋_GB2312" w:hAnsi="仿宋_GB2312" w:eastAsia="仿宋_GB2312" w:cs="仿宋_GB2312"/>
        </w:rPr>
      </w:pPr>
    </w:p>
    <w:p w14:paraId="6CD49140">
      <w:pPr>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（图7：“三公”经费财政拨款支出结构）（饼状图）</w:t>
      </w:r>
    </w:p>
    <w:p w14:paraId="43987DCE">
      <w:pPr>
        <w:pStyle w:val="9"/>
        <w:keepNext w:val="0"/>
        <w:keepLines w:val="0"/>
        <w:pageBreakBefore w:val="0"/>
        <w:widowControl w:val="0"/>
        <w:kinsoku/>
        <w:wordWrap/>
        <w:overflowPunct/>
        <w:topLinePunct w:val="0"/>
        <w:bidi w:val="0"/>
        <w:adjustRightInd/>
        <w:snapToGrid/>
        <w:spacing w:line="240" w:lineRule="auto"/>
        <w:ind w:right="0"/>
        <w:jc w:val="center"/>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drawing>
          <wp:inline distT="0" distB="0" distL="114300" distR="114300">
            <wp:extent cx="4961890" cy="2521585"/>
            <wp:effectExtent l="4445" t="4445" r="5715" b="762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7B18B6">
      <w:pPr>
        <w:rPr>
          <w:rFonts w:hint="eastAsia"/>
        </w:rPr>
      </w:pPr>
    </w:p>
    <w:p w14:paraId="3CCD8213">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bookmarkStart w:id="40" w:name="_Toc15377218"/>
      <w:bookmarkStart w:id="41" w:name="_Toc15396610"/>
      <w:r>
        <w:rPr>
          <w:rFonts w:hint="eastAsia" w:ascii="Times New Roman" w:hAnsi="Times New Roman" w:eastAsia="仿宋_GB2312"/>
          <w:sz w:val="32"/>
          <w:szCs w:val="32"/>
        </w:rPr>
        <w:t>1.因公出国（境）经费支出0万元，完成预算0%。全年安排因公出国（境）团组0次，出国（境）0人。因公出国（境）支出决算</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2022年</w:t>
      </w:r>
      <w:r>
        <w:rPr>
          <w:rFonts w:hint="eastAsia" w:ascii="Times New Roman" w:hAnsi="Times New Roman" w:eastAsia="仿宋_GB2312"/>
          <w:sz w:val="32"/>
          <w:szCs w:val="32"/>
          <w:lang w:eastAsia="zh-CN"/>
        </w:rPr>
        <w:t>比无变动</w:t>
      </w:r>
      <w:r>
        <w:rPr>
          <w:rFonts w:hint="eastAsia" w:ascii="Times New Roman" w:hAnsi="Times New Roman" w:eastAsia="仿宋_GB2312"/>
          <w:sz w:val="32"/>
          <w:szCs w:val="32"/>
        </w:rPr>
        <w:t>。</w:t>
      </w:r>
    </w:p>
    <w:p w14:paraId="4E6D9BDC">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2.公务用车购置及运行维护费支出0万元,完成预算0%。公务用车购置及运行维护费支出决算</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2022年</w:t>
      </w:r>
      <w:r>
        <w:rPr>
          <w:rFonts w:hint="eastAsia" w:ascii="Times New Roman" w:hAnsi="Times New Roman" w:eastAsia="仿宋_GB2312"/>
          <w:sz w:val="32"/>
          <w:szCs w:val="32"/>
          <w:lang w:eastAsia="zh-CN"/>
        </w:rPr>
        <w:t>比无变动</w:t>
      </w:r>
      <w:r>
        <w:rPr>
          <w:rFonts w:hint="eastAsia" w:ascii="Times New Roman" w:hAnsi="Times New Roman" w:eastAsia="仿宋_GB2312"/>
          <w:sz w:val="32"/>
          <w:szCs w:val="32"/>
        </w:rPr>
        <w:t>。</w:t>
      </w:r>
    </w:p>
    <w:p w14:paraId="486C3E25">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3.公务接待费支出0.81万元，完成预算100%。公务接待费支出决算比2022年增加</w:t>
      </w:r>
      <w:r>
        <w:rPr>
          <w:rFonts w:hint="eastAsia" w:ascii="Times New Roman" w:hAnsi="Times New Roman" w:eastAsia="仿宋_GB2312"/>
          <w:sz w:val="32"/>
          <w:szCs w:val="32"/>
          <w:lang w:val="en-US" w:eastAsia="zh-CN"/>
        </w:rPr>
        <w:t>0.78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260</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日常公务接待频次增加</w:t>
      </w:r>
      <w:r>
        <w:rPr>
          <w:rFonts w:hint="eastAsia" w:ascii="Times New Roman" w:hAnsi="Times New Roman" w:eastAsia="仿宋_GB2312"/>
          <w:sz w:val="32"/>
          <w:szCs w:val="32"/>
        </w:rPr>
        <w:t>。其中：</w:t>
      </w:r>
    </w:p>
    <w:p w14:paraId="705A7E95">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国内公务接待支出0.81万元，主要用于执行公务、开展业务活动开支的用餐费。国内公务接待</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批次，</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人次（不包括陪同人员），共计支出</w:t>
      </w:r>
      <w:r>
        <w:rPr>
          <w:rFonts w:hint="eastAsia" w:ascii="Times New Roman" w:hAnsi="Times New Roman" w:eastAsia="仿宋_GB2312"/>
          <w:sz w:val="32"/>
          <w:szCs w:val="32"/>
          <w:lang w:val="en-US" w:eastAsia="zh-CN"/>
        </w:rPr>
        <w:t>0.81</w:t>
      </w:r>
      <w:r>
        <w:rPr>
          <w:rFonts w:hint="eastAsia" w:ascii="Times New Roman" w:hAnsi="Times New Roman" w:eastAsia="仿宋_GB2312"/>
          <w:sz w:val="32"/>
          <w:szCs w:val="32"/>
        </w:rPr>
        <w:t>万元，具体内容包括：用餐费</w:t>
      </w:r>
      <w:r>
        <w:rPr>
          <w:rFonts w:hint="eastAsia" w:ascii="Times New Roman" w:hAnsi="Times New Roman" w:eastAsia="仿宋_GB2312"/>
          <w:sz w:val="32"/>
          <w:szCs w:val="32"/>
          <w:lang w:val="en-US" w:eastAsia="zh-CN"/>
        </w:rPr>
        <w:t>0.81</w:t>
      </w:r>
      <w:r>
        <w:rPr>
          <w:rFonts w:hint="eastAsia" w:ascii="Times New Roman" w:hAnsi="Times New Roman" w:eastAsia="仿宋_GB2312"/>
          <w:sz w:val="32"/>
          <w:szCs w:val="32"/>
        </w:rPr>
        <w:t>万元。</w:t>
      </w:r>
    </w:p>
    <w:p w14:paraId="70E857D9">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外事接待支出0万元</w:t>
      </w:r>
      <w:r>
        <w:rPr>
          <w:rFonts w:hint="eastAsia" w:ascii="Times New Roman" w:hAnsi="Times New Roman" w:eastAsia="仿宋_GB2312"/>
          <w:sz w:val="32"/>
          <w:szCs w:val="32"/>
          <w:lang w:eastAsia="zh-CN"/>
        </w:rPr>
        <w:t>，因</w:t>
      </w:r>
      <w:r>
        <w:rPr>
          <w:rFonts w:hint="eastAsia" w:ascii="Times New Roman" w:hAnsi="Times New Roman" w:eastAsia="仿宋_GB2312"/>
          <w:sz w:val="32"/>
          <w:szCs w:val="32"/>
          <w:lang w:val="en-US" w:eastAsia="zh-CN"/>
        </w:rPr>
        <w:t>2023年度无外事接待活动。</w:t>
      </w:r>
    </w:p>
    <w:p w14:paraId="187496D1">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outlineLvl w:val="1"/>
        <w:rPr>
          <w:rStyle w:val="29"/>
          <w:rFonts w:ascii="Times New Roman" w:hAnsi="Times New Roman" w:eastAsia="黑体"/>
        </w:rPr>
      </w:pPr>
      <w:r>
        <w:rPr>
          <w:rFonts w:hint="eastAsia" w:ascii="Times New Roman" w:hAnsi="Times New Roman" w:eastAsia="黑体"/>
          <w:sz w:val="32"/>
          <w:szCs w:val="32"/>
        </w:rPr>
        <w:t>八、</w:t>
      </w:r>
      <w:r>
        <w:rPr>
          <w:rStyle w:val="29"/>
          <w:rFonts w:hint="eastAsia" w:ascii="Times New Roman" w:hAnsi="Times New Roman" w:eastAsia="黑体"/>
          <w:b w:val="0"/>
        </w:rPr>
        <w:t>政府性基金预算支出决算情况说明</w:t>
      </w:r>
      <w:bookmarkEnd w:id="40"/>
      <w:bookmarkEnd w:id="41"/>
    </w:p>
    <w:p w14:paraId="3183B1F4">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2023年度政府性基金预算财政拨款支出0万元。</w:t>
      </w:r>
    </w:p>
    <w:p w14:paraId="5705EB08">
      <w:pPr>
        <w:keepNext w:val="0"/>
        <w:keepLines w:val="0"/>
        <w:pageBreakBefore w:val="0"/>
        <w:widowControl w:val="0"/>
        <w:numPr>
          <w:ilvl w:val="0"/>
          <w:numId w:val="1"/>
        </w:numPr>
        <w:kinsoku/>
        <w:wordWrap/>
        <w:overflowPunct/>
        <w:topLinePunct w:val="0"/>
        <w:bidi w:val="0"/>
        <w:adjustRightInd/>
        <w:snapToGrid/>
        <w:spacing w:line="240" w:lineRule="auto"/>
        <w:ind w:left="0" w:right="0" w:firstLine="640" w:firstLineChars="200"/>
        <w:textAlignment w:val="auto"/>
        <w:outlineLvl w:val="1"/>
        <w:rPr>
          <w:rStyle w:val="29"/>
          <w:rFonts w:ascii="Times New Roman" w:hAnsi="Times New Roman" w:eastAsia="黑体"/>
          <w:b w:val="0"/>
        </w:rPr>
      </w:pPr>
      <w:bookmarkStart w:id="42" w:name="_Toc15396611"/>
      <w:bookmarkStart w:id="43" w:name="_Toc15377219"/>
      <w:r>
        <w:rPr>
          <w:rStyle w:val="29"/>
          <w:rFonts w:hint="eastAsia" w:ascii="Times New Roman" w:hAnsi="Times New Roman" w:eastAsia="黑体"/>
          <w:b w:val="0"/>
        </w:rPr>
        <w:t>国有资本经营预算支出决算情况说明</w:t>
      </w:r>
      <w:bookmarkEnd w:id="42"/>
      <w:bookmarkEnd w:id="43"/>
    </w:p>
    <w:p w14:paraId="30A80EE0">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2023年度国有资本经营预算财政拨款支出0万元。</w:t>
      </w:r>
    </w:p>
    <w:p w14:paraId="3A17EA77">
      <w:pPr>
        <w:keepNext w:val="0"/>
        <w:keepLines w:val="0"/>
        <w:pageBreakBefore w:val="0"/>
        <w:widowControl w:val="0"/>
        <w:numPr>
          <w:ilvl w:val="0"/>
          <w:numId w:val="1"/>
        </w:numPr>
        <w:kinsoku/>
        <w:wordWrap/>
        <w:overflowPunct/>
        <w:topLinePunct w:val="0"/>
        <w:bidi w:val="0"/>
        <w:adjustRightInd/>
        <w:snapToGrid/>
        <w:spacing w:line="240" w:lineRule="auto"/>
        <w:ind w:left="0" w:right="0" w:firstLine="640" w:firstLineChars="200"/>
        <w:textAlignment w:val="auto"/>
        <w:outlineLvl w:val="1"/>
        <w:rPr>
          <w:rStyle w:val="29"/>
          <w:rFonts w:ascii="Times New Roman" w:hAnsi="Times New Roman" w:eastAsia="黑体"/>
          <w:b w:val="0"/>
        </w:rPr>
      </w:pPr>
      <w:bookmarkStart w:id="44" w:name="_Toc15396612"/>
      <w:bookmarkStart w:id="45" w:name="_Toc15377221"/>
      <w:r>
        <w:rPr>
          <w:rStyle w:val="29"/>
          <w:rFonts w:hint="eastAsia" w:ascii="Times New Roman" w:hAnsi="Times New Roman" w:eastAsia="黑体"/>
          <w:b w:val="0"/>
        </w:rPr>
        <w:t>其他重要事项的情况说明</w:t>
      </w:r>
      <w:bookmarkEnd w:id="44"/>
      <w:bookmarkEnd w:id="45"/>
    </w:p>
    <w:p w14:paraId="2D463913">
      <w:pPr>
        <w:keepNext w:val="0"/>
        <w:keepLines w:val="0"/>
        <w:pageBreakBefore w:val="0"/>
        <w:widowControl w:val="0"/>
        <w:kinsoku/>
        <w:wordWrap/>
        <w:overflowPunct/>
        <w:topLinePunct w:val="0"/>
        <w:bidi w:val="0"/>
        <w:adjustRightInd/>
        <w:snapToGrid/>
        <w:spacing w:line="240" w:lineRule="auto"/>
        <w:ind w:left="0" w:right="0" w:firstLine="643" w:firstLineChars="200"/>
        <w:textAlignment w:val="auto"/>
        <w:outlineLvl w:val="2"/>
        <w:rPr>
          <w:rFonts w:hint="eastAsia" w:ascii="仿宋_GB2312" w:hAnsi="仿宋_GB2312" w:eastAsia="仿宋_GB2312" w:cs="仿宋_GB2312"/>
          <w:sz w:val="32"/>
          <w:szCs w:val="32"/>
        </w:rPr>
      </w:pPr>
      <w:bookmarkStart w:id="46" w:name="_Toc15377222"/>
      <w:r>
        <w:rPr>
          <w:rFonts w:hint="eastAsia" w:ascii="仿宋_GB2312" w:hAnsi="仿宋_GB2312" w:eastAsia="仿宋_GB2312" w:cs="仿宋_GB2312"/>
          <w:b/>
          <w:sz w:val="32"/>
          <w:szCs w:val="32"/>
        </w:rPr>
        <w:t>（一）机关运行经费支出情况</w:t>
      </w:r>
      <w:bookmarkEnd w:id="46"/>
    </w:p>
    <w:p w14:paraId="2C73D1F4">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2023年度，广安市地方志办公室机关运行经费支出</w:t>
      </w:r>
      <w:r>
        <w:rPr>
          <w:rFonts w:hint="eastAsia" w:ascii="Times New Roman" w:hAnsi="Times New Roman" w:eastAsia="仿宋_GB2312"/>
          <w:color w:val="000000" w:themeColor="text1"/>
          <w:sz w:val="32"/>
          <w:szCs w:val="32"/>
          <w14:textFill>
            <w14:solidFill>
              <w14:schemeClr w14:val="tx1"/>
            </w14:solidFill>
          </w14:textFill>
        </w:rPr>
        <w:t>36.76</w:t>
      </w:r>
      <w:r>
        <w:rPr>
          <w:rFonts w:hint="eastAsia" w:ascii="Times New Roman" w:hAnsi="Times New Roman" w:eastAsia="仿宋_GB2312"/>
          <w:sz w:val="32"/>
          <w:szCs w:val="32"/>
        </w:rPr>
        <w:t>万元，比2022年增加</w:t>
      </w:r>
      <w:r>
        <w:rPr>
          <w:rFonts w:hint="eastAsia" w:ascii="Times New Roman" w:hAnsi="Times New Roman" w:eastAsia="仿宋_GB2312"/>
          <w:sz w:val="32"/>
          <w:szCs w:val="32"/>
          <w:lang w:val="en-US" w:eastAsia="zh-CN"/>
        </w:rPr>
        <w:t>4.56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14.16</w:t>
      </w:r>
      <w:r>
        <w:rPr>
          <w:rFonts w:hint="eastAsia" w:ascii="Times New Roman" w:hAnsi="Times New Roman" w:eastAsia="仿宋_GB2312"/>
          <w:sz w:val="32"/>
          <w:szCs w:val="32"/>
        </w:rPr>
        <w:t>%。主要原因是</w:t>
      </w:r>
      <w:r>
        <w:rPr>
          <w:rFonts w:hint="eastAsia" w:eastAsia="仿宋_GB2312"/>
          <w:sz w:val="32"/>
          <w:szCs w:val="32"/>
          <w:lang w:val="en-US" w:eastAsia="zh-CN"/>
        </w:rPr>
        <w:t>2023</w:t>
      </w:r>
      <w:r>
        <w:rPr>
          <w:rFonts w:hint="eastAsia" w:ascii="Times New Roman" w:hAnsi="Times New Roman" w:eastAsia="仿宋_GB2312"/>
          <w:sz w:val="32"/>
          <w:szCs w:val="32"/>
          <w:lang w:eastAsia="zh-CN"/>
        </w:rPr>
        <w:t>年人员增</w:t>
      </w:r>
      <w:r>
        <w:rPr>
          <w:rFonts w:hint="eastAsia" w:eastAsia="仿宋_GB2312"/>
          <w:sz w:val="32"/>
          <w:szCs w:val="32"/>
          <w:lang w:eastAsia="zh-CN"/>
        </w:rPr>
        <w:t>加</w:t>
      </w:r>
      <w:r>
        <w:rPr>
          <w:rFonts w:hint="eastAsia" w:ascii="Times New Roman" w:hAnsi="Times New Roman" w:eastAsia="仿宋_GB2312"/>
          <w:sz w:val="32"/>
          <w:szCs w:val="32"/>
          <w:lang w:eastAsia="zh-CN"/>
        </w:rPr>
        <w:t>，日常公用经费增加</w:t>
      </w:r>
      <w:r>
        <w:rPr>
          <w:rFonts w:hint="eastAsia" w:eastAsia="仿宋_GB2312"/>
          <w:sz w:val="32"/>
          <w:szCs w:val="32"/>
          <w:lang w:eastAsia="zh-CN"/>
        </w:rPr>
        <w:t>，其中</w:t>
      </w:r>
      <w:r>
        <w:rPr>
          <w:rFonts w:hint="eastAsia" w:ascii="Times New Roman" w:hAnsi="Times New Roman" w:eastAsia="仿宋_GB2312"/>
          <w:sz w:val="32"/>
          <w:szCs w:val="32"/>
          <w:lang w:eastAsia="zh-CN"/>
        </w:rPr>
        <w:t>差旅费增加</w:t>
      </w:r>
      <w:r>
        <w:rPr>
          <w:rFonts w:hint="eastAsia" w:ascii="Times New Roman" w:hAnsi="Times New Roman" w:eastAsia="仿宋_GB2312"/>
          <w:sz w:val="32"/>
          <w:szCs w:val="32"/>
          <w:lang w:val="en-US" w:eastAsia="zh-CN"/>
        </w:rPr>
        <w:t>3.46万</w:t>
      </w:r>
      <w:r>
        <w:rPr>
          <w:rFonts w:hint="eastAsia" w:ascii="Times New Roman" w:hAnsi="Times New Roman" w:eastAsia="仿宋_GB2312"/>
          <w:sz w:val="32"/>
          <w:szCs w:val="32"/>
        </w:rPr>
        <w:t>。</w:t>
      </w:r>
    </w:p>
    <w:p w14:paraId="6B04E7C3">
      <w:pPr>
        <w:keepNext w:val="0"/>
        <w:keepLines w:val="0"/>
        <w:pageBreakBefore w:val="0"/>
        <w:widowControl w:val="0"/>
        <w:kinsoku/>
        <w:wordWrap/>
        <w:overflowPunct/>
        <w:topLinePunct w:val="0"/>
        <w:autoSpaceDE w:val="0"/>
        <w:autoSpaceDN w:val="0"/>
        <w:bidi w:val="0"/>
        <w:adjustRightInd/>
        <w:snapToGrid/>
        <w:spacing w:line="240" w:lineRule="auto"/>
        <w:ind w:left="0" w:right="0" w:firstLine="643" w:firstLineChars="200"/>
        <w:jc w:val="left"/>
        <w:textAlignment w:val="auto"/>
        <w:outlineLvl w:val="2"/>
        <w:rPr>
          <w:rFonts w:hint="eastAsia" w:ascii="仿宋_GB2312" w:hAnsi="仿宋_GB2312" w:eastAsia="仿宋_GB2312" w:cs="仿宋_GB2312"/>
          <w:b/>
          <w:sz w:val="32"/>
          <w:szCs w:val="32"/>
        </w:rPr>
      </w:pPr>
      <w:bookmarkStart w:id="47" w:name="_Toc15377223"/>
      <w:r>
        <w:rPr>
          <w:rFonts w:hint="eastAsia" w:ascii="仿宋_GB2312" w:hAnsi="仿宋_GB2312" w:eastAsia="仿宋_GB2312" w:cs="仿宋_GB2312"/>
          <w:b/>
          <w:sz w:val="32"/>
          <w:szCs w:val="32"/>
        </w:rPr>
        <w:t>（二）政府采购支出情况</w:t>
      </w:r>
      <w:bookmarkEnd w:id="47"/>
    </w:p>
    <w:p w14:paraId="1E5663FB">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2023年度，广安市地方志办公室政府采购支出0万元。</w:t>
      </w:r>
    </w:p>
    <w:p w14:paraId="19A06C67">
      <w:pPr>
        <w:keepNext w:val="0"/>
        <w:keepLines w:val="0"/>
        <w:pageBreakBefore w:val="0"/>
        <w:widowControl w:val="0"/>
        <w:kinsoku/>
        <w:wordWrap/>
        <w:overflowPunct/>
        <w:topLinePunct w:val="0"/>
        <w:autoSpaceDE w:val="0"/>
        <w:autoSpaceDN w:val="0"/>
        <w:bidi w:val="0"/>
        <w:adjustRightInd/>
        <w:snapToGrid/>
        <w:spacing w:line="240" w:lineRule="auto"/>
        <w:ind w:left="0" w:right="0" w:firstLine="643" w:firstLineChars="200"/>
        <w:jc w:val="left"/>
        <w:textAlignment w:val="auto"/>
        <w:outlineLvl w:val="2"/>
        <w:rPr>
          <w:rFonts w:hint="eastAsia" w:ascii="仿宋_GB2312" w:hAnsi="仿宋_GB2312" w:eastAsia="仿宋_GB2312" w:cs="仿宋_GB2312"/>
          <w:b/>
          <w:sz w:val="32"/>
          <w:szCs w:val="32"/>
        </w:rPr>
      </w:pPr>
      <w:bookmarkStart w:id="48" w:name="_Toc15377224"/>
      <w:r>
        <w:rPr>
          <w:rFonts w:hint="eastAsia" w:ascii="仿宋_GB2312" w:hAnsi="仿宋_GB2312" w:eastAsia="仿宋_GB2312" w:cs="仿宋_GB2312"/>
          <w:b/>
          <w:sz w:val="32"/>
          <w:szCs w:val="32"/>
        </w:rPr>
        <w:t>（三）国有资产占有使用情况</w:t>
      </w:r>
      <w:bookmarkEnd w:id="48"/>
    </w:p>
    <w:p w14:paraId="17CE29EC">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截至2023年12月31日，广安市地方志办公室共有车辆0辆。单价100万元以上设备（不含车辆）0台（套）。</w:t>
      </w:r>
    </w:p>
    <w:p w14:paraId="269F5A4A">
      <w:pPr>
        <w:keepNext w:val="0"/>
        <w:keepLines w:val="0"/>
        <w:pageBreakBefore w:val="0"/>
        <w:widowControl w:val="0"/>
        <w:kinsoku/>
        <w:wordWrap/>
        <w:overflowPunct/>
        <w:topLinePunct w:val="0"/>
        <w:autoSpaceDE w:val="0"/>
        <w:autoSpaceDN w:val="0"/>
        <w:bidi w:val="0"/>
        <w:adjustRightInd/>
        <w:snapToGrid/>
        <w:spacing w:line="240" w:lineRule="auto"/>
        <w:ind w:left="0" w:right="0" w:firstLine="643" w:firstLineChars="200"/>
        <w:jc w:val="left"/>
        <w:textAlignment w:val="auto"/>
        <w:outlineLvl w:val="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（四）预算绩效管理情况</w:t>
      </w:r>
    </w:p>
    <w:p w14:paraId="331034A2">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根据预算绩效管理要求，广安市地方志办公室在2023年度预算编制阶段，组织对</w:t>
      </w:r>
      <w:r>
        <w:rPr>
          <w:rFonts w:hint="eastAsia" w:ascii="Times New Roman" w:hAnsi="Times New Roman" w:eastAsia="仿宋_GB2312"/>
          <w:sz w:val="32"/>
          <w:szCs w:val="32"/>
          <w:lang w:val="en-US" w:eastAsia="zh-CN"/>
        </w:rPr>
        <w:t>广安年鉴编纂印刷出版、地情文献编纂印刷出版2</w:t>
      </w:r>
      <w:r>
        <w:rPr>
          <w:rFonts w:hint="eastAsia" w:ascii="Times New Roman" w:hAnsi="Times New Roman" w:eastAsia="仿宋_GB2312"/>
          <w:sz w:val="32"/>
          <w:szCs w:val="32"/>
        </w:rPr>
        <w:t>个项目开展了预算事前绩效评估，</w:t>
      </w:r>
      <w:r>
        <w:rPr>
          <w:rFonts w:hint="eastAsia" w:ascii="Times New Roman" w:hAnsi="Times New Roman" w:eastAsia="仿宋_GB2312"/>
          <w:sz w:val="32"/>
          <w:szCs w:val="32"/>
          <w:lang w:eastAsia="zh-CN"/>
        </w:rPr>
        <w:t>并</w:t>
      </w:r>
      <w:r>
        <w:rPr>
          <w:rFonts w:hint="eastAsia" w:ascii="Times New Roman" w:hAnsi="Times New Roman" w:eastAsia="仿宋_GB2312"/>
          <w:sz w:val="32"/>
          <w:szCs w:val="32"/>
        </w:rPr>
        <w:t>编制了绩效目标</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预算执行过程中，</w:t>
      </w:r>
      <w:r>
        <w:rPr>
          <w:rFonts w:hint="eastAsia" w:ascii="Times New Roman" w:hAnsi="Times New Roman" w:eastAsia="仿宋_GB2312"/>
          <w:sz w:val="32"/>
          <w:szCs w:val="32"/>
          <w:lang w:eastAsia="zh-CN"/>
        </w:rPr>
        <w:t>对</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个项目开展</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rPr>
        <w:t>绩效监控，</w:t>
      </w:r>
      <w:r>
        <w:rPr>
          <w:rFonts w:hint="eastAsia" w:ascii="Times New Roman" w:hAnsi="Times New Roman" w:eastAsia="仿宋_GB2312"/>
          <w:sz w:val="32"/>
          <w:szCs w:val="32"/>
          <w:lang w:eastAsia="zh-CN"/>
        </w:rPr>
        <w:t>并</w:t>
      </w:r>
      <w:r>
        <w:rPr>
          <w:rFonts w:hint="eastAsia" w:ascii="Times New Roman" w:hAnsi="Times New Roman" w:eastAsia="仿宋_GB2312"/>
          <w:sz w:val="32"/>
          <w:szCs w:val="32"/>
        </w:rPr>
        <w:t>开展</w:t>
      </w:r>
      <w:r>
        <w:rPr>
          <w:rFonts w:hint="eastAsia" w:ascii="Times New Roman" w:hAnsi="Times New Roman" w:eastAsia="仿宋_GB2312"/>
          <w:sz w:val="32"/>
          <w:szCs w:val="32"/>
          <w:lang w:eastAsia="zh-CN"/>
        </w:rPr>
        <w:t>了</w:t>
      </w:r>
      <w:r>
        <w:rPr>
          <w:rFonts w:hint="eastAsia" w:ascii="Times New Roman" w:hAnsi="Times New Roman" w:eastAsia="仿宋_GB2312"/>
          <w:sz w:val="32"/>
          <w:szCs w:val="32"/>
        </w:rPr>
        <w:t>绩效自评</w:t>
      </w:r>
      <w:r>
        <w:rPr>
          <w:rFonts w:hint="eastAsia" w:eastAsia="仿宋_GB2312"/>
          <w:sz w:val="32"/>
          <w:szCs w:val="32"/>
          <w:lang w:val="en-US" w:eastAsia="zh-CN"/>
        </w:rPr>
        <w:t>.</w:t>
      </w:r>
      <w:r>
        <w:rPr>
          <w:rFonts w:hint="eastAsia" w:ascii="Times New Roman" w:hAnsi="Times New Roman" w:eastAsia="仿宋_GB2312"/>
          <w:sz w:val="32"/>
          <w:szCs w:val="32"/>
        </w:rPr>
        <w:t>绩效自评表详见第四部分附件。</w:t>
      </w:r>
    </w:p>
    <w:p w14:paraId="4772EF77">
      <w:pPr>
        <w:spacing w:line="580" w:lineRule="exact"/>
        <w:ind w:firstLine="640" w:firstLineChars="200"/>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val="en-US" w:eastAsia="zh-CN"/>
        </w:rPr>
        <w:t>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全面开展绩效自评，形成广安市地方志办公室</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绩效自评报告，其中，广安市地方志办公室部门整体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w:t>
      </w:r>
      <w:r>
        <w:rPr>
          <w:rFonts w:hint="eastAsia" w:ascii="Times New Roman" w:hAnsi="Times New Roman" w:eastAsia="仿宋_GB2312" w:cs="Times New Roman"/>
          <w:color w:val="auto"/>
          <w:sz w:val="32"/>
          <w:szCs w:val="32"/>
          <w:highlight w:val="none"/>
          <w:lang w:val="en-US" w:eastAsia="zh-CN"/>
        </w:rPr>
        <w:t>95.22</w:t>
      </w:r>
      <w:r>
        <w:rPr>
          <w:rFonts w:hint="eastAsia" w:ascii="仿宋_GB2312" w:hAnsi="仿宋_GB2312" w:eastAsia="仿宋_GB2312" w:cs="仿宋_GB2312"/>
          <w:color w:val="auto"/>
          <w:sz w:val="32"/>
          <w:szCs w:val="32"/>
          <w:highlight w:val="none"/>
          <w:lang w:val="en-US" w:eastAsia="zh-CN"/>
        </w:rPr>
        <w:t>分，</w:t>
      </w:r>
      <w:r>
        <w:rPr>
          <w:rFonts w:hint="eastAsia" w:ascii="仿宋_GB2312" w:hAnsi="仿宋_GB2312" w:eastAsia="仿宋_GB2312" w:cs="仿宋_GB2312"/>
          <w:color w:val="000000"/>
          <w:sz w:val="32"/>
          <w:szCs w:val="32"/>
          <w:highlight w:val="none"/>
          <w:lang w:val="en-US" w:eastAsia="zh-CN"/>
        </w:rPr>
        <w:t>绩效自评综述：本部门按要求对</w:t>
      </w:r>
      <w:r>
        <w:rPr>
          <w:rFonts w:hint="default" w:ascii="Times New Roman" w:hAnsi="Times New Roman" w:eastAsia="仿宋_GB2312" w:cs="Times New Roman"/>
          <w:color w:val="000000"/>
          <w:sz w:val="32"/>
          <w:szCs w:val="32"/>
          <w:highlight w:val="none"/>
          <w:lang w:val="en-US" w:eastAsia="zh-CN"/>
        </w:rPr>
        <w:t>2023</w:t>
      </w:r>
      <w:r>
        <w:rPr>
          <w:rFonts w:hint="eastAsia" w:ascii="仿宋_GB2312" w:hAnsi="仿宋_GB2312" w:eastAsia="仿宋_GB2312" w:cs="仿宋_GB2312"/>
          <w:color w:val="000000"/>
          <w:sz w:val="32"/>
          <w:szCs w:val="32"/>
          <w:highlight w:val="none"/>
          <w:lang w:val="en-US" w:eastAsia="zh-CN"/>
        </w:rPr>
        <w:t>年部门整体支出开展绩效自评，从评价情况来看，本部门整体支出绩效评价情况良好，完成了相关重点工作和全年目标任务</w:t>
      </w:r>
      <w:r>
        <w:rPr>
          <w:rFonts w:hint="eastAsia" w:ascii="仿宋_GB2312" w:hAnsi="仿宋_GB2312" w:eastAsia="仿宋_GB2312" w:cs="仿宋_GB2312"/>
          <w:color w:val="auto"/>
          <w:sz w:val="32"/>
          <w:szCs w:val="32"/>
          <w:highlight w:val="none"/>
          <w:lang w:val="en-US" w:eastAsia="zh-CN"/>
        </w:rPr>
        <w:t>。绩效自评报告详见附件。</w:t>
      </w:r>
    </w:p>
    <w:p w14:paraId="2602895D">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81038E7">
      <w:pPr>
        <w:keepNext w:val="0"/>
        <w:keepLines w:val="0"/>
        <w:pageBreakBefore w:val="0"/>
        <w:widowControl w:val="0"/>
        <w:numPr>
          <w:ilvl w:val="0"/>
          <w:numId w:val="2"/>
        </w:numPr>
        <w:kinsoku/>
        <w:wordWrap/>
        <w:overflowPunct/>
        <w:topLinePunct w:val="0"/>
        <w:bidi w:val="0"/>
        <w:adjustRightInd/>
        <w:snapToGrid/>
        <w:spacing w:line="240" w:lineRule="auto"/>
        <w:ind w:left="0" w:right="0" w:firstLine="880" w:firstLineChars="200"/>
        <w:jc w:val="center"/>
        <w:textAlignment w:val="auto"/>
        <w:outlineLvl w:val="0"/>
        <w:rPr>
          <w:rStyle w:val="28"/>
          <w:rFonts w:ascii="Times New Roman" w:hAnsi="Times New Roman" w:eastAsia="黑体"/>
          <w:b w:val="0"/>
        </w:rPr>
      </w:pPr>
      <w:bookmarkStart w:id="49" w:name="_Toc15377225"/>
      <w:bookmarkStart w:id="50" w:name="_Toc15396613"/>
      <w:r>
        <w:rPr>
          <w:rFonts w:hint="eastAsia" w:ascii="Times New Roman" w:hAnsi="Times New Roman" w:eastAsia="黑体"/>
          <w:sz w:val="44"/>
          <w:szCs w:val="44"/>
        </w:rPr>
        <w:t>名</w:t>
      </w:r>
      <w:r>
        <w:rPr>
          <w:rStyle w:val="28"/>
          <w:rFonts w:hint="eastAsia" w:ascii="Times New Roman" w:hAnsi="Times New Roman" w:eastAsia="黑体"/>
          <w:b w:val="0"/>
        </w:rPr>
        <w:t>词解释</w:t>
      </w:r>
      <w:bookmarkEnd w:id="49"/>
      <w:bookmarkEnd w:id="50"/>
    </w:p>
    <w:p w14:paraId="7CA928BA">
      <w:pPr>
        <w:keepNext w:val="0"/>
        <w:keepLines w:val="0"/>
        <w:pageBreakBefore w:val="0"/>
        <w:widowControl w:val="0"/>
        <w:kinsoku/>
        <w:wordWrap/>
        <w:overflowPunct/>
        <w:topLinePunct w:val="0"/>
        <w:bidi w:val="0"/>
        <w:adjustRightInd/>
        <w:snapToGrid/>
        <w:spacing w:line="240" w:lineRule="auto"/>
        <w:ind w:left="0" w:right="0" w:firstLine="883" w:firstLineChars="200"/>
        <w:jc w:val="left"/>
        <w:textAlignment w:val="auto"/>
        <w:rPr>
          <w:rFonts w:ascii="Times New Roman" w:hAnsi="Times New Roman"/>
          <w:b/>
          <w:sz w:val="44"/>
          <w:szCs w:val="44"/>
        </w:rPr>
      </w:pPr>
    </w:p>
    <w:p w14:paraId="59EC846D">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财政拨款收入：指单位从同级财政部门取得的财政预算资金。</w:t>
      </w:r>
    </w:p>
    <w:p w14:paraId="49AA6F0B">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事业收入：指事业单位开展专业业务活动及辅助活动取得的收入。</w:t>
      </w:r>
    </w:p>
    <w:p w14:paraId="73A36683">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经营收入：指事业单位在专业业务活动及其辅助活动之外开展非独立核算经营活动取得的收入。</w:t>
      </w:r>
    </w:p>
    <w:p w14:paraId="60844964">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4.</w:t>
      </w:r>
      <w:r>
        <w:rPr>
          <w:rFonts w:hint="eastAsia" w:ascii="Times New Roman" w:hAnsi="Times New Roman" w:eastAsia="仿宋_GB2312"/>
          <w:color w:val="auto"/>
          <w:sz w:val="32"/>
          <w:szCs w:val="32"/>
        </w:rPr>
        <w:t>其他收入：指单位取得的除上述收入以外的各项收入。</w:t>
      </w:r>
      <w:r>
        <w:rPr>
          <w:rFonts w:ascii="Times New Roman" w:hAnsi="Times New Roman" w:eastAsia="仿宋_GB2312"/>
          <w:color w:val="auto"/>
          <w:sz w:val="32"/>
          <w:szCs w:val="32"/>
        </w:rPr>
        <w:t xml:space="preserve"> </w:t>
      </w:r>
    </w:p>
    <w:p w14:paraId="49042005">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5.</w:t>
      </w:r>
      <w:r>
        <w:rPr>
          <w:rFonts w:hint="eastAsia" w:ascii="Times New Roman" w:hAnsi="Times New Roman" w:eastAsia="仿宋_GB2312"/>
          <w:sz w:val="32"/>
          <w:szCs w:val="32"/>
        </w:rPr>
        <w:t>使用非财政拨款结余（含专用结余）</w:t>
      </w:r>
      <w:r>
        <w:rPr>
          <w:rFonts w:hint="eastAsia" w:ascii="Times New Roman" w:hAnsi="Times New Roman" w:eastAsia="仿宋_GB2312"/>
          <w:color w:val="auto"/>
          <w:sz w:val="32"/>
          <w:szCs w:val="32"/>
        </w:rPr>
        <w:t>：指事业单位使用以前年度积累的非财政拨款结余弥补当年收支差额的金额。</w:t>
      </w:r>
      <w:r>
        <w:rPr>
          <w:rFonts w:ascii="Times New Roman" w:hAnsi="Times New Roman" w:eastAsia="仿宋_GB2312"/>
          <w:color w:val="auto"/>
          <w:sz w:val="32"/>
          <w:szCs w:val="32"/>
        </w:rPr>
        <w:t xml:space="preserve"> </w:t>
      </w:r>
    </w:p>
    <w:p w14:paraId="72CCF995">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6.</w:t>
      </w:r>
      <w:r>
        <w:rPr>
          <w:rFonts w:hint="eastAsia" w:ascii="Times New Roman" w:hAnsi="Times New Roman" w:eastAsia="仿宋_GB2312"/>
          <w:color w:val="auto"/>
          <w:sz w:val="32"/>
          <w:szCs w:val="32"/>
        </w:rPr>
        <w:t>年初结转和结余：指以前年度尚未完成、结转到本年按有关规定继续使用的资金。</w:t>
      </w:r>
      <w:r>
        <w:rPr>
          <w:rFonts w:ascii="Times New Roman" w:hAnsi="Times New Roman" w:eastAsia="仿宋_GB2312"/>
          <w:color w:val="auto"/>
          <w:sz w:val="32"/>
          <w:szCs w:val="32"/>
        </w:rPr>
        <w:t xml:space="preserve"> </w:t>
      </w:r>
    </w:p>
    <w:p w14:paraId="10A874C8">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7.</w:t>
      </w:r>
      <w:r>
        <w:rPr>
          <w:rFonts w:hint="eastAsia" w:ascii="Times New Roman" w:hAnsi="Times New Roman" w:eastAsia="仿宋_GB2312"/>
          <w:color w:val="auto"/>
          <w:sz w:val="32"/>
          <w:szCs w:val="32"/>
        </w:rPr>
        <w:t>结余分配：指事业单位按照会计制度规定缴纳的所得税、提取的专用结余以及转入非财政拨款结余的金额等。</w:t>
      </w:r>
    </w:p>
    <w:p w14:paraId="7EF56399">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8</w:t>
      </w:r>
      <w:r>
        <w:rPr>
          <w:rFonts w:hint="eastAsia" w:ascii="Times New Roman" w:hAnsi="Times New Roman" w:eastAsia="仿宋_GB2312"/>
          <w:color w:val="auto"/>
          <w:sz w:val="32"/>
          <w:szCs w:val="32"/>
        </w:rPr>
        <w:t>.年末结转和结余：指单位按有关规定结转到下年或以后年度继续使用的资金。</w:t>
      </w:r>
    </w:p>
    <w:p w14:paraId="2EC6EB57">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9.一般公共服务（类）</w:t>
      </w:r>
      <w:r>
        <w:rPr>
          <w:rFonts w:hint="eastAsia" w:ascii="Times New Roman" w:hAnsi="Times New Roman" w:eastAsia="仿宋_GB2312" w:cs="Times New Roman"/>
          <w:color w:val="auto"/>
          <w:sz w:val="32"/>
          <w:szCs w:val="32"/>
          <w:highlight w:val="none"/>
          <w:lang w:eastAsia="zh-CN"/>
        </w:rPr>
        <w:t>政府办公厅（室）及相关机构事务</w:t>
      </w:r>
      <w:r>
        <w:rPr>
          <w:rFonts w:hint="default"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行政运行</w:t>
      </w:r>
      <w:r>
        <w:rPr>
          <w:rFonts w:hint="default" w:ascii="Times New Roman" w:hAnsi="Times New Roman" w:eastAsia="仿宋_GB2312" w:cs="Times New Roman"/>
          <w:color w:val="auto"/>
          <w:sz w:val="32"/>
          <w:szCs w:val="32"/>
          <w:highlight w:val="none"/>
        </w:rPr>
        <w:t>（项）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指</w:t>
      </w:r>
      <w:r>
        <w:rPr>
          <w:rFonts w:hint="eastAsia" w:eastAsia="仿宋_GB2312" w:cs="Times New Roman"/>
          <w:color w:val="auto"/>
          <w:sz w:val="32"/>
          <w:szCs w:val="32"/>
          <w:highlight w:val="none"/>
          <w:lang w:eastAsia="zh-CN"/>
        </w:rPr>
        <w:t>反映行政单位（包括实行公务员管理的事业单位）的基本支出</w:t>
      </w:r>
      <w:r>
        <w:rPr>
          <w:rFonts w:hint="default" w:ascii="Times New Roman" w:hAnsi="Times New Roman" w:eastAsia="仿宋_GB2312" w:cs="Times New Roman"/>
          <w:color w:val="auto"/>
          <w:sz w:val="32"/>
          <w:szCs w:val="32"/>
          <w:highlight w:val="none"/>
        </w:rPr>
        <w:t>。</w:t>
      </w:r>
    </w:p>
    <w:p w14:paraId="3A5787CD">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10.一般公共服务（类）</w:t>
      </w:r>
      <w:r>
        <w:rPr>
          <w:rFonts w:hint="eastAsia" w:ascii="Times New Roman" w:hAnsi="Times New Roman" w:eastAsia="仿宋_GB2312" w:cs="Times New Roman"/>
          <w:color w:val="auto"/>
          <w:sz w:val="32"/>
          <w:szCs w:val="32"/>
          <w:highlight w:val="none"/>
          <w:lang w:eastAsia="zh-CN"/>
        </w:rPr>
        <w:t>政府办公厅（室）及相关机构事务</w:t>
      </w:r>
      <w:r>
        <w:rPr>
          <w:rFonts w:hint="default"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专项业务及机关事务管理</w:t>
      </w:r>
      <w:r>
        <w:rPr>
          <w:rFonts w:hint="default" w:ascii="Times New Roman" w:hAnsi="Times New Roman" w:eastAsia="仿宋_GB2312" w:cs="Times New Roman"/>
          <w:color w:val="auto"/>
          <w:sz w:val="32"/>
          <w:szCs w:val="32"/>
          <w:highlight w:val="none"/>
        </w:rPr>
        <w:t>（项）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指</w:t>
      </w:r>
      <w:r>
        <w:rPr>
          <w:rFonts w:hint="eastAsia" w:eastAsia="仿宋_GB2312" w:cs="Times New Roman"/>
          <w:color w:val="auto"/>
          <w:sz w:val="32"/>
          <w:szCs w:val="32"/>
          <w:highlight w:val="none"/>
          <w:lang w:eastAsia="zh-CN"/>
        </w:rPr>
        <w:t>反映各级政府举行各类重大活动、召开重要会议（如国务院一类会议、国庆招待会、全国劳模大会）的支出，政府机关房地产管理、公务用车管理等方面指出</w:t>
      </w:r>
      <w:r>
        <w:rPr>
          <w:rFonts w:hint="default" w:ascii="Times New Roman" w:hAnsi="Times New Roman" w:eastAsia="仿宋_GB2312" w:cs="Times New Roman"/>
          <w:color w:val="auto"/>
          <w:sz w:val="32"/>
          <w:szCs w:val="32"/>
          <w:highlight w:val="none"/>
        </w:rPr>
        <w:t>。</w:t>
      </w:r>
    </w:p>
    <w:p w14:paraId="7D77016F">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11.一般公共服务（类）</w:t>
      </w:r>
      <w:r>
        <w:rPr>
          <w:rFonts w:hint="eastAsia" w:ascii="Times New Roman" w:hAnsi="Times New Roman" w:eastAsia="仿宋_GB2312" w:cs="Times New Roman"/>
          <w:color w:val="auto"/>
          <w:sz w:val="32"/>
          <w:szCs w:val="32"/>
          <w:highlight w:val="none"/>
          <w:lang w:eastAsia="zh-CN"/>
        </w:rPr>
        <w:t>政府办公厅（室）及相关机构事务</w:t>
      </w:r>
      <w:r>
        <w:rPr>
          <w:rFonts w:hint="default"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事业运行</w:t>
      </w:r>
      <w:r>
        <w:rPr>
          <w:rFonts w:hint="default" w:ascii="Times New Roman" w:hAnsi="Times New Roman" w:eastAsia="仿宋_GB2312" w:cs="Times New Roman"/>
          <w:color w:val="auto"/>
          <w:sz w:val="32"/>
          <w:szCs w:val="32"/>
          <w:highlight w:val="none"/>
        </w:rPr>
        <w:t>（项）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w:t>
      </w:r>
      <w:r>
        <w:rPr>
          <w:rFonts w:hint="eastAsia" w:eastAsia="仿宋_GB2312" w:cs="Times New Roman"/>
          <w:color w:val="auto"/>
          <w:sz w:val="32"/>
          <w:szCs w:val="32"/>
          <w:highlight w:val="none"/>
          <w:lang w:eastAsia="zh-CN"/>
        </w:rPr>
        <w:t>反映事业单位的基本支出，不包括行政单位（包括实行公务员管理的事业单位）后勤服务中心、医务室等附属事业单位</w:t>
      </w:r>
      <w:r>
        <w:rPr>
          <w:rFonts w:hint="default" w:ascii="Times New Roman" w:hAnsi="Times New Roman" w:eastAsia="仿宋_GB2312" w:cs="Times New Roman"/>
          <w:color w:val="auto"/>
          <w:sz w:val="32"/>
          <w:szCs w:val="32"/>
          <w:highlight w:val="none"/>
        </w:rPr>
        <w:t>。</w:t>
      </w:r>
    </w:p>
    <w:p w14:paraId="4FAD39A2">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12.社会保障和就业（类）</w:t>
      </w:r>
      <w:r>
        <w:rPr>
          <w:rFonts w:hint="eastAsia" w:ascii="Times New Roman" w:hAnsi="Times New Roman" w:eastAsia="仿宋_GB2312" w:cs="Times New Roman"/>
          <w:color w:val="auto"/>
          <w:sz w:val="32"/>
          <w:szCs w:val="32"/>
          <w:highlight w:val="none"/>
          <w:lang w:eastAsia="zh-CN"/>
        </w:rPr>
        <w:t>行政事业单位养老支出</w:t>
      </w:r>
      <w:r>
        <w:rPr>
          <w:rFonts w:hint="default"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机关事业单位基本养老保险缴费支出</w:t>
      </w:r>
      <w:r>
        <w:rPr>
          <w:rFonts w:hint="default" w:ascii="Times New Roman" w:hAnsi="Times New Roman" w:eastAsia="仿宋_GB2312" w:cs="Times New Roman"/>
          <w:color w:val="auto"/>
          <w:sz w:val="32"/>
          <w:szCs w:val="32"/>
          <w:highlight w:val="none"/>
        </w:rPr>
        <w:t>（项）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 指</w:t>
      </w:r>
      <w:r>
        <w:rPr>
          <w:rFonts w:hint="eastAsia" w:eastAsia="仿宋_GB2312" w:cs="Times New Roman"/>
          <w:color w:val="auto"/>
          <w:sz w:val="32"/>
          <w:szCs w:val="32"/>
          <w:highlight w:val="none"/>
          <w:lang w:eastAsia="zh-CN"/>
        </w:rPr>
        <w:t>反映机关事业单位实施养老保险制度由单位缴纳的基本养老保险费支出</w:t>
      </w:r>
      <w:r>
        <w:rPr>
          <w:rFonts w:hint="default" w:ascii="Times New Roman" w:hAnsi="Times New Roman" w:eastAsia="仿宋_GB2312" w:cs="Times New Roman"/>
          <w:color w:val="auto"/>
          <w:sz w:val="32"/>
          <w:szCs w:val="32"/>
          <w:highlight w:val="none"/>
        </w:rPr>
        <w:t>。</w:t>
      </w:r>
    </w:p>
    <w:p w14:paraId="50B1E7A7">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13.卫生健康（类）</w:t>
      </w:r>
      <w:r>
        <w:rPr>
          <w:rFonts w:hint="eastAsia" w:ascii="Times New Roman" w:hAnsi="Times New Roman" w:eastAsia="仿宋_GB2312" w:cs="Times New Roman"/>
          <w:color w:val="auto"/>
          <w:sz w:val="32"/>
          <w:szCs w:val="32"/>
          <w:highlight w:val="none"/>
          <w:lang w:eastAsia="zh-CN"/>
        </w:rPr>
        <w:t>行政事业单位医疗</w:t>
      </w:r>
      <w:r>
        <w:rPr>
          <w:rFonts w:hint="default"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行政单位医疗</w:t>
      </w:r>
      <w:r>
        <w:rPr>
          <w:rFonts w:hint="default" w:ascii="Times New Roman" w:hAnsi="Times New Roman" w:eastAsia="仿宋_GB2312" w:cs="Times New Roman"/>
          <w:color w:val="auto"/>
          <w:sz w:val="32"/>
          <w:szCs w:val="32"/>
          <w:highlight w:val="none"/>
        </w:rPr>
        <w:t>（项）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w:t>
      </w:r>
      <w:r>
        <w:rPr>
          <w:rFonts w:hint="eastAsia" w:eastAsia="仿宋_GB2312" w:cs="Times New Roman"/>
          <w:color w:val="auto"/>
          <w:sz w:val="32"/>
          <w:szCs w:val="32"/>
          <w:highlight w:val="none"/>
          <w:lang w:eastAsia="zh-CN"/>
        </w:rPr>
        <w:t>反映财政部门安排的行政单位（包括实行公务员管理的事业单位）基本医疗保险缴费经费，未参加医疗保险的行政单位的公费医疗经费，按国家规定享受离休人员、红军老战士待遇人员的医疗经费</w:t>
      </w:r>
      <w:r>
        <w:rPr>
          <w:rFonts w:hint="default" w:ascii="Times New Roman" w:hAnsi="Times New Roman" w:eastAsia="仿宋_GB2312" w:cs="Times New Roman"/>
          <w:color w:val="auto"/>
          <w:sz w:val="32"/>
          <w:szCs w:val="32"/>
          <w:highlight w:val="none"/>
        </w:rPr>
        <w:t>。</w:t>
      </w:r>
    </w:p>
    <w:p w14:paraId="78D89702">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14.卫生健康（类）</w:t>
      </w:r>
      <w:r>
        <w:rPr>
          <w:rFonts w:hint="eastAsia" w:ascii="Times New Roman" w:hAnsi="Times New Roman" w:eastAsia="仿宋_GB2312" w:cs="Times New Roman"/>
          <w:color w:val="auto"/>
          <w:sz w:val="32"/>
          <w:szCs w:val="32"/>
          <w:highlight w:val="none"/>
          <w:lang w:eastAsia="zh-CN"/>
        </w:rPr>
        <w:t>行政事业单位医疗</w:t>
      </w:r>
      <w:r>
        <w:rPr>
          <w:rFonts w:hint="default"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事业单位医疗</w:t>
      </w:r>
      <w:r>
        <w:rPr>
          <w:rFonts w:hint="default" w:ascii="Times New Roman" w:hAnsi="Times New Roman" w:eastAsia="仿宋_GB2312" w:cs="Times New Roman"/>
          <w:color w:val="auto"/>
          <w:sz w:val="32"/>
          <w:szCs w:val="32"/>
          <w:highlight w:val="none"/>
        </w:rPr>
        <w:t>（项）</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w:t>
      </w:r>
      <w:r>
        <w:rPr>
          <w:rFonts w:hint="eastAsia" w:eastAsia="仿宋_GB2312" w:cs="Times New Roman"/>
          <w:color w:val="auto"/>
          <w:sz w:val="32"/>
          <w:szCs w:val="32"/>
          <w:highlight w:val="none"/>
          <w:lang w:eastAsia="zh-CN"/>
        </w:rPr>
        <w:t>反映财政部门安排的事业单位基本医疗保险缴费经费，未参加医疗保险的行政单位的公费医疗经费，按国家规定享受离休人员待遇的医疗经费</w:t>
      </w:r>
      <w:r>
        <w:rPr>
          <w:rFonts w:hint="default" w:ascii="Times New Roman" w:hAnsi="Times New Roman" w:eastAsia="仿宋_GB2312" w:cs="Times New Roman"/>
          <w:color w:val="auto"/>
          <w:sz w:val="32"/>
          <w:szCs w:val="32"/>
          <w:highlight w:val="none"/>
        </w:rPr>
        <w:t>。</w:t>
      </w:r>
    </w:p>
    <w:p w14:paraId="41597705">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15.卫生健康（类）</w:t>
      </w:r>
      <w:r>
        <w:rPr>
          <w:rFonts w:hint="eastAsia" w:ascii="Times New Roman" w:hAnsi="Times New Roman" w:eastAsia="仿宋_GB2312" w:cs="Times New Roman"/>
          <w:color w:val="auto"/>
          <w:sz w:val="32"/>
          <w:szCs w:val="32"/>
          <w:highlight w:val="none"/>
          <w:lang w:eastAsia="zh-CN"/>
        </w:rPr>
        <w:t>行政事业单位医疗</w:t>
      </w:r>
      <w:r>
        <w:rPr>
          <w:rFonts w:hint="default"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公务员医疗补助</w:t>
      </w:r>
      <w:r>
        <w:rPr>
          <w:rFonts w:hint="default" w:ascii="Times New Roman" w:hAnsi="Times New Roman" w:eastAsia="仿宋_GB2312" w:cs="Times New Roman"/>
          <w:color w:val="auto"/>
          <w:sz w:val="32"/>
          <w:szCs w:val="32"/>
          <w:highlight w:val="none"/>
        </w:rPr>
        <w:t>（项）：指</w:t>
      </w:r>
      <w:r>
        <w:rPr>
          <w:rFonts w:hint="eastAsia" w:eastAsia="仿宋_GB2312" w:cs="Times New Roman"/>
          <w:color w:val="auto"/>
          <w:sz w:val="32"/>
          <w:szCs w:val="32"/>
          <w:highlight w:val="none"/>
          <w:lang w:eastAsia="zh-CN"/>
        </w:rPr>
        <w:t>反映财政部门安排的公务员医疗补助经费</w:t>
      </w:r>
      <w:r>
        <w:rPr>
          <w:rFonts w:hint="default" w:ascii="Times New Roman" w:hAnsi="Times New Roman" w:eastAsia="仿宋_GB2312" w:cs="Times New Roman"/>
          <w:color w:val="auto"/>
          <w:sz w:val="32"/>
          <w:szCs w:val="32"/>
          <w:highlight w:val="none"/>
        </w:rPr>
        <w:t>。</w:t>
      </w:r>
    </w:p>
    <w:p w14:paraId="7C217838">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sz w:val="32"/>
          <w:szCs w:val="32"/>
        </w:rPr>
      </w:pPr>
      <w:r>
        <w:rPr>
          <w:rFonts w:hint="eastAsia" w:eastAsia="仿宋_GB2312"/>
          <w:sz w:val="32"/>
          <w:szCs w:val="32"/>
          <w:lang w:val="en-US" w:eastAsia="zh-CN"/>
        </w:rPr>
        <w:t>16.</w:t>
      </w:r>
      <w:r>
        <w:rPr>
          <w:rFonts w:hint="eastAsia" w:ascii="Times New Roman" w:hAnsi="Times New Roman" w:eastAsia="仿宋_GB2312"/>
          <w:sz w:val="32"/>
          <w:szCs w:val="32"/>
        </w:rPr>
        <w:t>基本支出：指为保障机构正常运转、完成日常工作任务而发生的人员支出和公用支出。</w:t>
      </w:r>
    </w:p>
    <w:p w14:paraId="74449F12">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sz w:val="32"/>
          <w:szCs w:val="32"/>
        </w:rPr>
      </w:pPr>
      <w:r>
        <w:rPr>
          <w:rFonts w:hint="eastAsia" w:eastAsia="仿宋_GB2312"/>
          <w:sz w:val="32"/>
          <w:szCs w:val="32"/>
          <w:lang w:val="en-US" w:eastAsia="zh-CN"/>
        </w:rPr>
        <w:t>17.</w:t>
      </w:r>
      <w:r>
        <w:rPr>
          <w:rFonts w:hint="eastAsia" w:ascii="Times New Roman" w:hAnsi="Times New Roman" w:eastAsia="仿宋_GB2312"/>
          <w:sz w:val="32"/>
          <w:szCs w:val="32"/>
        </w:rPr>
        <w:t>项目支出：指在基本支出之外为完成特定行政任务和事业发展目标所发生的支出。</w:t>
      </w:r>
      <w:r>
        <w:rPr>
          <w:rFonts w:ascii="Times New Roman" w:hAnsi="Times New Roman" w:eastAsia="仿宋_GB2312"/>
          <w:sz w:val="32"/>
          <w:szCs w:val="32"/>
        </w:rPr>
        <w:t xml:space="preserve"> </w:t>
      </w:r>
    </w:p>
    <w:p w14:paraId="76BD60B0">
      <w:pPr>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sz w:val="32"/>
          <w:szCs w:val="32"/>
        </w:rPr>
      </w:pPr>
      <w:r>
        <w:rPr>
          <w:rFonts w:hint="eastAsia" w:eastAsia="仿宋_GB2312"/>
          <w:sz w:val="32"/>
          <w:szCs w:val="32"/>
          <w:lang w:val="en-US" w:eastAsia="zh-CN"/>
        </w:rPr>
        <w:t>18.</w:t>
      </w:r>
      <w:r>
        <w:rPr>
          <w:rFonts w:hint="eastAsia" w:ascii="Times New Roman" w:hAnsi="Times New Roman" w:eastAsia="仿宋_GB2312"/>
          <w:sz w:val="32"/>
          <w:szCs w:val="32"/>
        </w:rPr>
        <w:t>经营支出：指事业单位在专业业务活动及其辅助活动之外开展非独立核算经营活动发生的支出。</w:t>
      </w:r>
    </w:p>
    <w:p w14:paraId="60BD715E">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19.</w:t>
      </w:r>
      <w:r>
        <w:rPr>
          <w:rFonts w:hint="eastAsia" w:ascii="Times New Roman" w:hAnsi="Times New Roman"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AF1A708">
      <w:pPr>
        <w:pStyle w:val="26"/>
        <w:keepNext w:val="0"/>
        <w:keepLines w:val="0"/>
        <w:pageBreakBefore w:val="0"/>
        <w:widowControl w:val="0"/>
        <w:kinsoku/>
        <w:wordWrap/>
        <w:overflowPunct/>
        <w:topLinePunct w:val="0"/>
        <w:bidi w:val="0"/>
        <w:adjustRightInd/>
        <w:snapToGrid/>
        <w:spacing w:line="240" w:lineRule="auto"/>
        <w:ind w:left="0" w:right="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0DDEA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0"/>
        <w:rPr>
          <w:rStyle w:val="28"/>
          <w:rFonts w:hint="eastAsia" w:ascii="Times New Roman" w:hAnsi="Times New Roman" w:eastAsia="黑体"/>
          <w:b w:val="0"/>
        </w:rPr>
      </w:pPr>
      <w:bookmarkStart w:id="51" w:name="_Toc15377226"/>
      <w:r>
        <w:rPr>
          <w:rFonts w:ascii="Times New Roman" w:hAnsi="Times New Roman"/>
          <w:b/>
          <w:sz w:val="44"/>
          <w:szCs w:val="44"/>
        </w:rPr>
        <w:br w:type="page"/>
      </w:r>
      <w:bookmarkStart w:id="52" w:name="_Toc15396614"/>
      <w:r>
        <w:rPr>
          <w:rFonts w:hint="eastAsia" w:ascii="Times New Roman" w:hAnsi="Times New Roman" w:eastAsia="黑体"/>
          <w:sz w:val="44"/>
          <w:szCs w:val="44"/>
        </w:rPr>
        <w:t>第</w:t>
      </w:r>
      <w:r>
        <w:rPr>
          <w:rStyle w:val="28"/>
          <w:rFonts w:hint="eastAsia" w:ascii="Times New Roman" w:hAnsi="Times New Roman" w:eastAsia="黑体"/>
          <w:b w:val="0"/>
        </w:rPr>
        <w:t>四部分 附件</w:t>
      </w:r>
      <w:bookmarkEnd w:id="52"/>
    </w:p>
    <w:p w14:paraId="39711C17">
      <w:pPr>
        <w:widowControl/>
        <w:spacing w:line="578" w:lineRule="exact"/>
        <w:jc w:val="center"/>
        <w:rPr>
          <w:rFonts w:hint="eastAsia" w:ascii="方正小标宋简体" w:hAnsi="方正小标宋简体" w:eastAsia="方正小标宋简体" w:cs="方正小标宋简体"/>
          <w:sz w:val="44"/>
          <w:szCs w:val="44"/>
        </w:rPr>
      </w:pPr>
    </w:p>
    <w:p w14:paraId="6F9AD851">
      <w:pPr>
        <w:widowControl/>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广安市地方志办公室</w:t>
      </w:r>
    </w:p>
    <w:p w14:paraId="0DE2AB3F">
      <w:pPr>
        <w:widowControl/>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2E2E0874">
      <w:pPr>
        <w:widowControl/>
        <w:spacing w:line="578" w:lineRule="exact"/>
        <w:rPr>
          <w:rFonts w:ascii="仿宋_GB2312" w:hAnsi="仿宋_GB2312" w:eastAsia="仿宋_GB2312" w:cs="仿宋_GB2312"/>
          <w:sz w:val="32"/>
          <w:szCs w:val="32"/>
        </w:rPr>
      </w:pPr>
    </w:p>
    <w:p w14:paraId="7E6EBD73">
      <w:pPr>
        <w:pStyle w:val="9"/>
        <w:keepNext w:val="0"/>
        <w:keepLines w:val="0"/>
        <w:pageBreakBefore w:val="0"/>
        <w:kinsoku/>
        <w:overflowPunct/>
        <w:topLinePunct w:val="0"/>
        <w:autoSpaceDE/>
        <w:autoSpaceDN/>
        <w:bidi w:val="0"/>
        <w:adjustRightInd/>
        <w:snapToGrid/>
        <w:spacing w:line="550"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根据《广安市财政局关于开展2024年市级部门绩效自评工作的通知》</w:t>
      </w:r>
      <w:r>
        <w:rPr>
          <w:rFonts w:hint="eastAsia" w:ascii="Times New Roman" w:hAnsi="Times New Roman" w:eastAsia="方正仿宋_GBK" w:cs="Times New Roman"/>
          <w:sz w:val="32"/>
          <w:szCs w:val="32"/>
          <w:lang w:eastAsia="zh-CN"/>
        </w:rPr>
        <w:t>（广市财绩【</w:t>
      </w:r>
      <w:r>
        <w:rPr>
          <w:rFonts w:hint="eastAsia" w:ascii="Times New Roman" w:hAnsi="Times New Roman" w:eastAsia="方正仿宋_GBK" w:cs="Times New Roman"/>
          <w:sz w:val="32"/>
          <w:szCs w:val="32"/>
          <w:lang w:val="en-US" w:eastAsia="zh-CN"/>
        </w:rPr>
        <w:t>2024】620号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kern w:val="2"/>
          <w:sz w:val="32"/>
          <w:szCs w:val="32"/>
          <w:lang w:val="en-US" w:eastAsia="zh-CN" w:bidi="ar-SA"/>
        </w:rPr>
        <w:t>要求，现将本部门预算绩效评价报告如下。</w:t>
      </w:r>
    </w:p>
    <w:p w14:paraId="06682EFF">
      <w:pPr>
        <w:keepNext w:val="0"/>
        <w:keepLines w:val="0"/>
        <w:pageBreakBefore w:val="0"/>
        <w:widowControl/>
        <w:kinsoku/>
        <w:wordWrap/>
        <w:overflowPunct/>
        <w:topLinePunct w:val="0"/>
        <w:autoSpaceDE/>
        <w:autoSpaceDN/>
        <w:bidi w:val="0"/>
        <w:adjustRightInd/>
        <w:snapToGrid/>
        <w:spacing w:line="550" w:lineRule="exact"/>
        <w:ind w:firstLine="640" w:firstLineChars="200"/>
        <w:textAlignment w:val="auto"/>
        <w:rPr>
          <w:rFonts w:hint="eastAsia"/>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部门基本情况</w:t>
      </w:r>
    </w:p>
    <w:p w14:paraId="2B740E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（一）机构组成。</w:t>
      </w:r>
      <w:r>
        <w:rPr>
          <w:rFonts w:hint="eastAsia" w:ascii="Times New Roman" w:hAnsi="仿宋_GB2312" w:eastAsia="方正仿宋_GBK" w:cs="Times New Roman"/>
          <w:kern w:val="2"/>
          <w:sz w:val="32"/>
          <w:szCs w:val="32"/>
          <w:lang w:val="en-US" w:eastAsia="zh-CN" w:bidi="ar-SA"/>
        </w:rPr>
        <w:t>市地志办是参照公务员法管理的广安市人民政府直属事业单位。市地志办设主任1名，副主任1名，内设4个科室，即：综合科、编审科、资料管理科和开发利用科。</w:t>
      </w:r>
    </w:p>
    <w:p w14:paraId="571299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left="0" w:right="0" w:firstLine="420"/>
        <w:jc w:val="both"/>
        <w:textAlignment w:val="auto"/>
        <w:rPr>
          <w:rFonts w:hint="eastAsia" w:ascii="Times New Roman" w:hAnsi="Times New Roman" w:eastAsia="方正仿宋_GBK" w:cs="Times New Roman"/>
          <w:kern w:val="2"/>
          <w:sz w:val="32"/>
          <w:szCs w:val="22"/>
          <w:highlight w:val="none"/>
          <w:lang w:val="en-US" w:eastAsia="zh-CN" w:bidi="ar-SA"/>
        </w:rPr>
      </w:pPr>
      <w:r>
        <w:rPr>
          <w:rFonts w:hint="eastAsia" w:ascii="方正楷体_GBK" w:hAnsi="方正楷体_GBK" w:eastAsia="方正楷体_GBK" w:cs="方正楷体_GBK"/>
          <w:kern w:val="2"/>
          <w:sz w:val="32"/>
          <w:szCs w:val="32"/>
          <w:lang w:val="en-US" w:eastAsia="zh-CN" w:bidi="ar-SA"/>
        </w:rPr>
        <w:t>（二）机构职能。</w:t>
      </w:r>
      <w:r>
        <w:rPr>
          <w:rFonts w:hint="eastAsia" w:ascii="Times New Roman" w:hAnsi="Times New Roman" w:eastAsia="方正仿宋_GBK" w:cs="Times New Roman"/>
          <w:kern w:val="2"/>
          <w:sz w:val="32"/>
          <w:szCs w:val="22"/>
          <w:highlight w:val="none"/>
          <w:lang w:val="en-US" w:eastAsia="zh-CN" w:bidi="ar-SA"/>
        </w:rPr>
        <w:t>负责执行有关地方志工作的法律、法规、规章和政策，并监督实施；拟定本行政区域内地方志工作的中长期规划和制定年度计划，并组织实施；组织、指导、管理本行政区域内地方志书、史书、地方综合年鉴等编纂工作；搜集、保存、研究地方志文献及其他资料，组织开展旧志整理工作；组织开发利用地方志资源，制定并实施地方志资源信息管理规范；其他属于地方志工作机构职责范围内的工作；承担市政府交办的其他事项。</w:t>
      </w:r>
    </w:p>
    <w:p w14:paraId="4793DE4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仿宋_GB2312"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（三）人员概况。</w:t>
      </w:r>
      <w:r>
        <w:rPr>
          <w:rFonts w:hint="eastAsia" w:ascii="Times New Roman" w:hAnsi="仿宋_GB2312" w:eastAsia="方正仿宋_GBK" w:cs="Times New Roman"/>
          <w:kern w:val="2"/>
          <w:sz w:val="32"/>
          <w:szCs w:val="32"/>
          <w:lang w:val="en-US" w:eastAsia="zh-CN" w:bidi="ar-SA"/>
        </w:rPr>
        <w:t>截至2023年末，本部门参公事业编制14人，年末在职参公管理人员10人，退休人员1人。</w:t>
      </w:r>
    </w:p>
    <w:p w14:paraId="046DF873">
      <w:pPr>
        <w:keepNext w:val="0"/>
        <w:keepLines w:val="0"/>
        <w:pageBreakBefore w:val="0"/>
        <w:widowControl/>
        <w:kinsoku/>
        <w:overflowPunct/>
        <w:topLinePunct w:val="0"/>
        <w:autoSpaceDE/>
        <w:autoSpaceDN/>
        <w:bidi w:val="0"/>
        <w:adjustRightInd/>
        <w:snapToGrid/>
        <w:spacing w:line="550" w:lineRule="exact"/>
        <w:ind w:firstLine="640" w:firstLineChars="200"/>
        <w:rPr>
          <w:rFonts w:hint="eastAsia" w:ascii="方正黑体_GBK" w:hAnsi="方正黑体_GBK" w:eastAsia="方正黑体_GBK" w:cs="方正黑体_GBK"/>
          <w:sz w:val="32"/>
          <w:szCs w:val="32"/>
          <w:lang w:eastAsia="zh-CN"/>
        </w:rPr>
        <w:sectPr>
          <w:footerReference r:id="rId7" w:type="default"/>
          <w:pgSz w:w="11906" w:h="16838"/>
          <w:pgMar w:top="2098" w:right="1474" w:bottom="1587" w:left="1588" w:header="851" w:footer="992" w:gutter="0"/>
          <w:pgNumType w:fmt="decimal" w:start="1"/>
          <w:cols w:space="0" w:num="1"/>
          <w:rtlGutter w:val="0"/>
          <w:docGrid w:type="lines" w:linePitch="312" w:charSpace="0"/>
        </w:sectPr>
      </w:pPr>
    </w:p>
    <w:p w14:paraId="594F346B">
      <w:pPr>
        <w:keepNext w:val="0"/>
        <w:keepLines w:val="0"/>
        <w:pageBreakBefore w:val="0"/>
        <w:widowControl/>
        <w:kinsoku/>
        <w:overflowPunct/>
        <w:topLinePunct w:val="0"/>
        <w:autoSpaceDE/>
        <w:autoSpaceDN/>
        <w:bidi w:val="0"/>
        <w:adjustRightInd/>
        <w:snapToGrid/>
        <w:spacing w:line="55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部门资金收支情况</w:t>
      </w:r>
    </w:p>
    <w:p w14:paraId="0FA9A02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仿宋_GB2312"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（一）收入情况。</w:t>
      </w:r>
      <w:r>
        <w:rPr>
          <w:rFonts w:hint="eastAsia" w:ascii="Times New Roman" w:hAnsi="Times New Roman" w:eastAsia="方正仿宋_GBK" w:cs="Times New Roman"/>
          <w:kern w:val="2"/>
          <w:sz w:val="32"/>
          <w:szCs w:val="32"/>
          <w:lang w:val="en-US" w:eastAsia="zh-CN" w:bidi="ar-SA"/>
        </w:rPr>
        <w:t>2023年年初预算收入173.94万元，无上年结转；一般公共预算拨款收入173.94万元，占100%。2023年决算报表收入</w:t>
      </w:r>
      <w:r>
        <w:rPr>
          <w:rFonts w:hint="eastAsia" w:ascii="Times New Roman" w:hAnsi="仿宋_GB2312" w:eastAsia="方正仿宋_GBK" w:cs="Times New Roman"/>
          <w:kern w:val="2"/>
          <w:sz w:val="32"/>
          <w:szCs w:val="32"/>
          <w:lang w:val="en-US" w:eastAsia="zh-CN" w:bidi="ar-SA"/>
        </w:rPr>
        <w:t>214.58万元，较上年增加26.27万元。</w:t>
      </w:r>
    </w:p>
    <w:p w14:paraId="2C10F77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（二）支出情况。</w:t>
      </w:r>
      <w:r>
        <w:rPr>
          <w:rFonts w:hint="eastAsia" w:ascii="Times New Roman" w:hAnsi="Times New Roman" w:eastAsia="方正仿宋_GBK" w:cs="Times New Roman"/>
          <w:kern w:val="2"/>
          <w:sz w:val="32"/>
          <w:szCs w:val="32"/>
          <w:lang w:val="en-US" w:eastAsia="zh-CN" w:bidi="ar-SA"/>
        </w:rPr>
        <w:t>2023年年初预算支出173.94万元，其中：基本支出150.94万元，占86.78%；项目支出23.00万元，占13.22%。2023年决算报表支出214.58万元，</w:t>
      </w:r>
      <w:r>
        <w:rPr>
          <w:rFonts w:hint="eastAsia" w:ascii="Times New Roman" w:hAnsi="仿宋_GB2312" w:eastAsia="方正仿宋_GBK" w:cs="Times New Roman"/>
          <w:kern w:val="2"/>
          <w:sz w:val="32"/>
          <w:szCs w:val="32"/>
          <w:lang w:val="en-US" w:eastAsia="zh-CN" w:bidi="ar-SA"/>
        </w:rPr>
        <w:t>较上年增加26.27万元，</w:t>
      </w:r>
      <w:r>
        <w:rPr>
          <w:rFonts w:hint="eastAsia" w:ascii="Times New Roman" w:hAnsi="Times New Roman" w:eastAsia="方正仿宋_GBK" w:cs="Times New Roman"/>
          <w:kern w:val="2"/>
          <w:sz w:val="32"/>
          <w:szCs w:val="32"/>
          <w:lang w:val="en-US" w:eastAsia="zh-CN" w:bidi="ar-SA"/>
        </w:rPr>
        <w:t>其中：基本支出</w:t>
      </w:r>
      <w:r>
        <w:rPr>
          <w:rFonts w:hint="default" w:ascii="Times New Roman" w:hAnsi="Times New Roman" w:eastAsia="方正仿宋_GBK" w:cs="Times New Roman"/>
          <w:kern w:val="2"/>
          <w:sz w:val="32"/>
          <w:szCs w:val="32"/>
          <w:lang w:val="en-US" w:eastAsia="zh-CN" w:bidi="ar-SA"/>
        </w:rPr>
        <w:t>195.6</w:t>
      </w:r>
      <w:r>
        <w:rPr>
          <w:rFonts w:hint="eastAsia" w:ascii="Times New Roman" w:hAnsi="Times New Roman" w:eastAsia="方正仿宋_GBK" w:cs="Times New Roman"/>
          <w:kern w:val="2"/>
          <w:sz w:val="32"/>
          <w:szCs w:val="32"/>
          <w:lang w:val="en-US" w:eastAsia="zh-CN" w:bidi="ar-SA"/>
        </w:rPr>
        <w:t>3元，占91.17%；项目支出</w:t>
      </w:r>
      <w:r>
        <w:rPr>
          <w:rFonts w:hint="default" w:ascii="Times New Roman" w:hAnsi="Times New Roman" w:eastAsia="方正仿宋_GBK" w:cs="Times New Roman"/>
          <w:kern w:val="2"/>
          <w:sz w:val="32"/>
          <w:szCs w:val="32"/>
          <w:lang w:val="en-US" w:eastAsia="zh-CN" w:bidi="ar-SA"/>
        </w:rPr>
        <w:t>18</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95</w:t>
      </w:r>
      <w:r>
        <w:rPr>
          <w:rFonts w:hint="eastAsia" w:ascii="Times New Roman" w:hAnsi="Times New Roman" w:eastAsia="方正仿宋_GBK" w:cs="Times New Roman"/>
          <w:kern w:val="2"/>
          <w:sz w:val="32"/>
          <w:szCs w:val="32"/>
          <w:lang w:val="en-US" w:eastAsia="zh-CN" w:bidi="ar-SA"/>
        </w:rPr>
        <w:t>万元，占8.83%。</w:t>
      </w:r>
    </w:p>
    <w:p w14:paraId="5CA63443">
      <w:pPr>
        <w:pStyle w:val="34"/>
        <w:keepNext w:val="0"/>
        <w:keepLines w:val="0"/>
        <w:pageBreakBefore w:val="0"/>
        <w:kinsoku/>
        <w:overflowPunct/>
        <w:topLinePunct w:val="0"/>
        <w:autoSpaceDE/>
        <w:autoSpaceDN/>
        <w:bidi w:val="0"/>
        <w:adjustRightInd/>
        <w:snapToGrid/>
        <w:spacing w:line="550" w:lineRule="exact"/>
        <w:rPr>
          <w:rFonts w:hint="eastAsia" w:ascii="Times New Roman" w:hAnsi="仿宋_GB2312"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（三）结余分配和结转结余情况。</w:t>
      </w:r>
      <w:r>
        <w:rPr>
          <w:rFonts w:hint="eastAsia" w:ascii="Times New Roman" w:hAnsi="仿宋_GB2312" w:eastAsia="方正仿宋_GBK" w:cs="Times New Roman"/>
          <w:kern w:val="2"/>
          <w:sz w:val="32"/>
          <w:szCs w:val="32"/>
          <w:lang w:val="en-US" w:eastAsia="zh-CN" w:bidi="ar-SA"/>
        </w:rPr>
        <w:t>2023年决算报表无年末结转结余。</w:t>
      </w:r>
    </w:p>
    <w:p w14:paraId="3C601918">
      <w:pPr>
        <w:keepNext w:val="0"/>
        <w:keepLines w:val="0"/>
        <w:pageBreakBefore w:val="0"/>
        <w:widowControl/>
        <w:kinsoku/>
        <w:overflowPunct/>
        <w:topLinePunct w:val="0"/>
        <w:autoSpaceDE/>
        <w:autoSpaceDN/>
        <w:bidi w:val="0"/>
        <w:adjustRightInd/>
        <w:snapToGrid/>
        <w:spacing w:line="550" w:lineRule="exact"/>
        <w:ind w:firstLine="640" w:firstLineChars="200"/>
        <w:rPr>
          <w:rFonts w:hint="eastAsia" w:ascii="Times New Roman" w:hAnsi="仿宋_GB2312"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预算绩效</w:t>
      </w:r>
      <w:r>
        <w:rPr>
          <w:rFonts w:hint="eastAsia" w:ascii="方正黑体_GBK" w:hAnsi="方正黑体_GBK" w:eastAsia="方正黑体_GBK" w:cs="方正黑体_GBK"/>
          <w:sz w:val="32"/>
          <w:szCs w:val="32"/>
          <w:lang w:eastAsia="zh-CN"/>
        </w:rPr>
        <w:t>分析</w:t>
      </w:r>
    </w:p>
    <w:p w14:paraId="4B86DA3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contextualSpacing/>
        <w:jc w:val="both"/>
        <w:textAlignment w:val="auto"/>
        <w:outlineLvl w:val="9"/>
        <w:rPr>
          <w:rFonts w:hint="default" w:ascii="Times New Roman" w:hAnsi="仿宋_GB2312" w:eastAsia="方正仿宋_GBK" w:cs="Times New Roman"/>
          <w:kern w:val="2"/>
          <w:sz w:val="32"/>
          <w:szCs w:val="32"/>
          <w:lang w:val="en-US" w:eastAsia="zh-CN" w:bidi="ar-SA"/>
        </w:rPr>
      </w:pPr>
      <w:r>
        <w:rPr>
          <w:rFonts w:hint="default" w:ascii="方正楷体_GBK" w:hAnsi="方正楷体_GBK" w:eastAsia="方正楷体_GBK" w:cs="方正楷体_GBK"/>
          <w:kern w:val="2"/>
          <w:sz w:val="32"/>
          <w:szCs w:val="32"/>
          <w:lang w:val="zh-CN" w:eastAsia="zh-CN" w:bidi="ar-SA"/>
        </w:rPr>
        <w:t>（一）</w:t>
      </w:r>
      <w:r>
        <w:rPr>
          <w:rFonts w:hint="eastAsia" w:ascii="方正楷体_GBK" w:hAnsi="方正楷体_GBK" w:eastAsia="方正楷体_GBK" w:cs="方正楷体_GBK"/>
          <w:kern w:val="2"/>
          <w:sz w:val="32"/>
          <w:szCs w:val="32"/>
          <w:lang w:val="zh-CN" w:eastAsia="zh-CN" w:bidi="ar-SA"/>
        </w:rPr>
        <w:t>部门预算</w:t>
      </w:r>
      <w:r>
        <w:rPr>
          <w:rFonts w:hint="default" w:ascii="方正楷体_GBK" w:hAnsi="方正楷体_GBK" w:eastAsia="方正楷体_GBK" w:cs="方正楷体_GBK"/>
          <w:kern w:val="2"/>
          <w:sz w:val="32"/>
          <w:szCs w:val="32"/>
          <w:lang w:val="zh-CN" w:eastAsia="zh-CN" w:bidi="ar-SA"/>
        </w:rPr>
        <w:t>总体绩效分析</w:t>
      </w:r>
      <w:r>
        <w:rPr>
          <w:rFonts w:hint="default" w:ascii="Times New Roman" w:hAnsi="仿宋_GB2312" w:eastAsia="方正仿宋_GBK" w:cs="Times New Roman"/>
          <w:kern w:val="2"/>
          <w:sz w:val="32"/>
          <w:szCs w:val="32"/>
          <w:lang w:val="zh-CN" w:eastAsia="zh-CN" w:bidi="ar-SA"/>
        </w:rPr>
        <w:t>。</w:t>
      </w:r>
      <w:r>
        <w:rPr>
          <w:rFonts w:hint="eastAsia" w:ascii="Times New Roman" w:hAnsi="仿宋_GB2312" w:eastAsia="方正仿宋_GBK" w:cs="Times New Roman"/>
          <w:kern w:val="2"/>
          <w:sz w:val="32"/>
          <w:szCs w:val="32"/>
          <w:lang w:val="zh-CN" w:eastAsia="zh-CN" w:bidi="ar-SA"/>
        </w:rPr>
        <w:t>按照本</w:t>
      </w:r>
      <w:r>
        <w:rPr>
          <w:rFonts w:hint="default" w:ascii="Times New Roman" w:hAnsi="仿宋_GB2312" w:eastAsia="方正仿宋_GBK" w:cs="Times New Roman"/>
          <w:kern w:val="2"/>
          <w:sz w:val="32"/>
          <w:szCs w:val="32"/>
          <w:lang w:val="zh-CN" w:eastAsia="zh-CN" w:bidi="ar-SA"/>
        </w:rPr>
        <w:t>部门预算绩效评价指标体系“总体绩效”涉及</w:t>
      </w:r>
      <w:r>
        <w:rPr>
          <w:rFonts w:hint="eastAsia" w:ascii="Times New Roman" w:hAnsi="仿宋_GB2312" w:eastAsia="方正仿宋_GBK" w:cs="Times New Roman"/>
          <w:kern w:val="2"/>
          <w:sz w:val="32"/>
          <w:szCs w:val="32"/>
          <w:lang w:val="zh-CN" w:eastAsia="zh-CN" w:bidi="ar-SA"/>
        </w:rPr>
        <w:t>二、三级</w:t>
      </w:r>
      <w:r>
        <w:rPr>
          <w:rFonts w:hint="default" w:ascii="Times New Roman" w:hAnsi="仿宋_GB2312" w:eastAsia="方正仿宋_GBK" w:cs="Times New Roman"/>
          <w:kern w:val="2"/>
          <w:sz w:val="32"/>
          <w:szCs w:val="32"/>
          <w:lang w:val="zh-CN" w:eastAsia="zh-CN" w:bidi="ar-SA"/>
        </w:rPr>
        <w:t>指标进行</w:t>
      </w:r>
      <w:r>
        <w:rPr>
          <w:rFonts w:hint="eastAsia" w:ascii="Times New Roman" w:hAnsi="仿宋_GB2312" w:eastAsia="方正仿宋_GBK" w:cs="Times New Roman"/>
          <w:kern w:val="2"/>
          <w:sz w:val="32"/>
          <w:szCs w:val="32"/>
          <w:lang w:val="zh-CN" w:eastAsia="zh-CN" w:bidi="ar-SA"/>
        </w:rPr>
        <w:t>逐项</w:t>
      </w:r>
      <w:r>
        <w:rPr>
          <w:rFonts w:hint="default" w:ascii="Times New Roman" w:hAnsi="仿宋_GB2312" w:eastAsia="方正仿宋_GBK" w:cs="Times New Roman"/>
          <w:kern w:val="2"/>
          <w:sz w:val="32"/>
          <w:szCs w:val="32"/>
          <w:lang w:val="zh-CN" w:eastAsia="zh-CN" w:bidi="ar-SA"/>
        </w:rPr>
        <w:t>绩效分析</w:t>
      </w:r>
      <w:r>
        <w:rPr>
          <w:rFonts w:hint="eastAsia" w:ascii="Times New Roman" w:hAnsi="仿宋_GB2312" w:eastAsia="方正仿宋_GBK" w:cs="Times New Roman"/>
          <w:kern w:val="2"/>
          <w:sz w:val="32"/>
          <w:szCs w:val="32"/>
          <w:lang w:val="zh-CN" w:eastAsia="zh-CN" w:bidi="ar-SA"/>
        </w:rPr>
        <w:t>并评分</w:t>
      </w:r>
      <w:r>
        <w:rPr>
          <w:rFonts w:hint="default" w:ascii="Times New Roman" w:hAnsi="仿宋_GB2312" w:eastAsia="方正仿宋_GBK" w:cs="Times New Roman"/>
          <w:kern w:val="2"/>
          <w:sz w:val="32"/>
          <w:szCs w:val="32"/>
          <w:lang w:val="zh-CN" w:eastAsia="zh-CN" w:bidi="ar-SA"/>
        </w:rPr>
        <w:t>，依次包括履职效能、预算管理、财务管理、资产管理、采购管理等情况。总体绩效</w:t>
      </w:r>
      <w:r>
        <w:rPr>
          <w:rFonts w:hint="eastAsia" w:ascii="Times New Roman" w:hAnsi="仿宋_GB2312" w:eastAsia="方正仿宋_GBK" w:cs="Times New Roman"/>
          <w:kern w:val="2"/>
          <w:sz w:val="32"/>
          <w:szCs w:val="32"/>
          <w:lang w:val="zh-CN" w:eastAsia="zh-CN" w:bidi="ar-SA"/>
        </w:rPr>
        <w:t>自评得分</w:t>
      </w:r>
      <w:r>
        <w:rPr>
          <w:rFonts w:hint="eastAsia" w:ascii="Times New Roman" w:hAnsi="仿宋_GB2312" w:eastAsia="方正仿宋_GBK" w:cs="Times New Roman"/>
          <w:kern w:val="2"/>
          <w:sz w:val="32"/>
          <w:szCs w:val="32"/>
          <w:lang w:val="en-US" w:eastAsia="zh-CN" w:bidi="ar-SA"/>
        </w:rPr>
        <w:t>64.22分。</w:t>
      </w:r>
    </w:p>
    <w:p w14:paraId="2147B6F0">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default" w:ascii="Times New Roman" w:hAnsi="仿宋_GB2312" w:eastAsia="方正仿宋_GBK" w:cs="Times New Roman"/>
          <w:kern w:val="2"/>
          <w:sz w:val="32"/>
          <w:szCs w:val="32"/>
          <w:lang w:val="en-US" w:eastAsia="zh-CN" w:bidi="ar-SA"/>
        </w:rPr>
      </w:pPr>
      <w:r>
        <w:rPr>
          <w:rFonts w:hint="eastAsia" w:ascii="Times New Roman" w:hAnsi="仿宋_GB2312" w:eastAsia="方正仿宋_GBK" w:cs="Times New Roman"/>
          <w:b/>
          <w:bCs/>
          <w:kern w:val="2"/>
          <w:sz w:val="32"/>
          <w:szCs w:val="32"/>
          <w:lang w:val="en-US" w:eastAsia="zh-CN" w:bidi="ar-SA"/>
        </w:rPr>
        <w:t>1.</w:t>
      </w:r>
      <w:r>
        <w:rPr>
          <w:rFonts w:hint="eastAsia" w:ascii="Times New Roman" w:hAnsi="仿宋_GB2312" w:eastAsia="方正仿宋_GBK" w:cs="Times New Roman"/>
          <w:b/>
          <w:bCs/>
          <w:kern w:val="2"/>
          <w:sz w:val="32"/>
          <w:szCs w:val="32"/>
          <w:lang w:val="zh-CN" w:eastAsia="zh-CN" w:bidi="ar-SA"/>
        </w:rPr>
        <w:t>履职效能。</w:t>
      </w:r>
      <w:r>
        <w:rPr>
          <w:rFonts w:hint="eastAsia" w:ascii="Times New Roman" w:hAnsi="仿宋_GB2312" w:eastAsia="方正仿宋_GBK" w:cs="Times New Roman"/>
          <w:kern w:val="2"/>
          <w:sz w:val="32"/>
          <w:szCs w:val="32"/>
          <w:lang w:val="zh-CN" w:eastAsia="zh-CN" w:bidi="ar-SA"/>
        </w:rPr>
        <w:t>一是“</w:t>
      </w:r>
      <w:r>
        <w:rPr>
          <w:rFonts w:hint="eastAsia" w:ascii="Times New Roman" w:hAnsi="仿宋_GB2312" w:eastAsia="方正仿宋_GBK" w:cs="Times New Roman"/>
          <w:kern w:val="2"/>
          <w:sz w:val="32"/>
          <w:szCs w:val="32"/>
          <w:lang w:val="en-US" w:eastAsia="zh-CN" w:bidi="ar-SA"/>
        </w:rPr>
        <w:t>编纂出版广安年鉴”指标完成</w:t>
      </w:r>
      <w:r>
        <w:rPr>
          <w:rFonts w:hint="default" w:ascii="Times New Roman" w:hAnsi="仿宋_GB2312" w:eastAsia="方正仿宋_GBK" w:cs="Times New Roman"/>
          <w:kern w:val="2"/>
          <w:sz w:val="32"/>
          <w:szCs w:val="32"/>
          <w:lang w:val="en-US" w:eastAsia="zh-CN" w:bidi="ar-SA"/>
        </w:rPr>
        <w:t>。</w:t>
      </w:r>
      <w:r>
        <w:rPr>
          <w:rFonts w:hint="eastAsia" w:ascii="Times New Roman" w:hAnsi="仿宋_GB2312" w:eastAsia="方正仿宋_GBK" w:cs="Times New Roman"/>
          <w:kern w:val="2"/>
          <w:sz w:val="32"/>
          <w:szCs w:val="32"/>
          <w:lang w:val="en-US" w:eastAsia="zh-CN" w:bidi="ar-SA"/>
        </w:rPr>
        <w:t>紧紧抓</w:t>
      </w:r>
      <w:r>
        <w:rPr>
          <w:rFonts w:hint="eastAsia" w:ascii="仿宋_GB2312" w:hAnsi="Calibri" w:eastAsia="仿宋_GB2312"/>
          <w:sz w:val="32"/>
          <w:szCs w:val="32"/>
          <w:lang w:val="en-US" w:eastAsia="zh-CN"/>
        </w:rPr>
        <w:t>住年鉴质量这条生命线，在全省率先启动《广</w:t>
      </w:r>
      <w:r>
        <w:rPr>
          <w:rFonts w:hint="eastAsia" w:ascii="Times New Roman" w:hAnsi="仿宋_GB2312" w:eastAsia="方正仿宋_GBK" w:cs="Times New Roman"/>
          <w:kern w:val="2"/>
          <w:sz w:val="32"/>
          <w:szCs w:val="32"/>
          <w:lang w:val="en-US" w:eastAsia="zh-CN" w:bidi="ar-SA"/>
        </w:rPr>
        <w:t>安年鉴（2023）》创建四川精品年鉴工作，并以第一名成功创建首批“四川精品年</w:t>
      </w:r>
      <w:r>
        <w:rPr>
          <w:rFonts w:hint="eastAsia" w:ascii="仿宋_GB2312" w:hAnsi="Calibri" w:eastAsia="仿宋_GB2312"/>
          <w:sz w:val="32"/>
          <w:szCs w:val="32"/>
          <w:lang w:val="en-US" w:eastAsia="zh-CN"/>
        </w:rPr>
        <w:t>鉴”。二是“</w:t>
      </w:r>
      <w:r>
        <w:rPr>
          <w:rFonts w:hint="eastAsia" w:ascii="Times New Roman" w:hAnsi="仿宋_GB2312" w:eastAsia="方正仿宋_GBK" w:cs="Times New Roman"/>
          <w:kern w:val="2"/>
          <w:sz w:val="32"/>
          <w:szCs w:val="32"/>
          <w:lang w:val="en-US" w:eastAsia="zh-CN" w:bidi="ar-SA"/>
        </w:rPr>
        <w:t>指导督促全市乡镇志、村（社区）志编纂”指标完成</w:t>
      </w:r>
      <w:r>
        <w:rPr>
          <w:rFonts w:hint="default" w:ascii="Times New Roman" w:hAnsi="仿宋_GB2312" w:eastAsia="方正仿宋_GBK" w:cs="Times New Roman"/>
          <w:kern w:val="2"/>
          <w:sz w:val="32"/>
          <w:szCs w:val="32"/>
          <w:lang w:val="en-US" w:eastAsia="zh-CN" w:bidi="ar-SA"/>
        </w:rPr>
        <w:t>。</w:t>
      </w:r>
      <w:r>
        <w:rPr>
          <w:rFonts w:hint="eastAsia" w:ascii="仿宋_GB2312" w:hAnsi="Calibri" w:eastAsia="仿宋_GB2312"/>
          <w:sz w:val="32"/>
          <w:szCs w:val="32"/>
          <w:lang w:val="en-US" w:eastAsia="zh-CN"/>
        </w:rPr>
        <w:t>落实</w:t>
      </w:r>
      <w:r>
        <w:rPr>
          <w:rFonts w:hint="default" w:ascii="仿宋_GB2312" w:hAnsi="Calibri" w:eastAsia="仿宋_GB2312"/>
          <w:sz w:val="32"/>
          <w:szCs w:val="32"/>
          <w:lang w:val="en-US" w:eastAsia="zh-CN"/>
        </w:rPr>
        <w:t>每月</w:t>
      </w:r>
      <w:r>
        <w:rPr>
          <w:rFonts w:hint="eastAsia" w:ascii="仿宋_GB2312" w:hAnsi="Calibri" w:eastAsia="仿宋_GB2312"/>
          <w:sz w:val="32"/>
          <w:szCs w:val="32"/>
          <w:lang w:val="en-US" w:eastAsia="zh-CN"/>
        </w:rPr>
        <w:t>检查</w:t>
      </w:r>
      <w:r>
        <w:rPr>
          <w:rFonts w:hint="default" w:ascii="仿宋_GB2312" w:hAnsi="Calibri" w:eastAsia="仿宋_GB2312"/>
          <w:sz w:val="32"/>
          <w:szCs w:val="32"/>
          <w:lang w:val="en-US" w:eastAsia="zh-CN"/>
        </w:rPr>
        <w:t>和通报制度，深入乡镇和村进行面对面</w:t>
      </w:r>
      <w:r>
        <w:rPr>
          <w:rFonts w:hint="eastAsia" w:ascii="仿宋_GB2312" w:hAnsi="Calibri" w:eastAsia="仿宋_GB2312"/>
          <w:sz w:val="32"/>
          <w:szCs w:val="32"/>
          <w:lang w:val="en-US" w:eastAsia="zh-CN"/>
        </w:rPr>
        <w:t>督促指导</w:t>
      </w:r>
      <w:r>
        <w:rPr>
          <w:rFonts w:hint="default" w:ascii="仿宋_GB2312" w:hAnsi="Calibri" w:eastAsia="仿宋_GB2312"/>
          <w:sz w:val="32"/>
          <w:szCs w:val="32"/>
          <w:lang w:val="en-US" w:eastAsia="zh-CN"/>
        </w:rPr>
        <w:t>，</w:t>
      </w:r>
      <w:r>
        <w:rPr>
          <w:rFonts w:hint="eastAsia" w:ascii="仿宋_GB2312" w:hAnsi="Calibri" w:eastAsia="仿宋_GB2312"/>
          <w:sz w:val="32"/>
          <w:szCs w:val="32"/>
          <w:lang w:val="en-US" w:eastAsia="zh-CN"/>
        </w:rPr>
        <w:t>协</w:t>
      </w:r>
      <w:r>
        <w:rPr>
          <w:rFonts w:hint="eastAsia" w:ascii="Times New Roman" w:hAnsi="仿宋_GB2312" w:eastAsia="方正仿宋_GBK" w:cs="Times New Roman"/>
          <w:kern w:val="2"/>
          <w:sz w:val="32"/>
          <w:szCs w:val="32"/>
          <w:lang w:val="en-US" w:eastAsia="zh-CN" w:bidi="ar-SA"/>
        </w:rPr>
        <w:t>调解决</w:t>
      </w:r>
      <w:r>
        <w:rPr>
          <w:rFonts w:hint="default" w:ascii="Times New Roman" w:hAnsi="仿宋_GB2312" w:eastAsia="方正仿宋_GBK" w:cs="Times New Roman"/>
          <w:kern w:val="2"/>
          <w:sz w:val="32"/>
          <w:szCs w:val="32"/>
          <w:lang w:val="en-US" w:eastAsia="zh-CN" w:bidi="ar-SA"/>
        </w:rPr>
        <w:t>乡镇（街道）、村（社区）志编纂</w:t>
      </w:r>
      <w:r>
        <w:rPr>
          <w:rFonts w:hint="eastAsia" w:ascii="Times New Roman" w:hAnsi="仿宋_GB2312" w:eastAsia="方正仿宋_GBK" w:cs="Times New Roman"/>
          <w:kern w:val="2"/>
          <w:sz w:val="32"/>
          <w:szCs w:val="32"/>
          <w:lang w:val="en-US" w:eastAsia="zh-CN" w:bidi="ar-SA"/>
        </w:rPr>
        <w:t>中存在的问题，有力有序推进26</w:t>
      </w:r>
      <w:r>
        <w:rPr>
          <w:rFonts w:hint="default" w:ascii="Times New Roman" w:hAnsi="仿宋_GB2312" w:eastAsia="方正仿宋_GBK" w:cs="Times New Roman"/>
          <w:kern w:val="2"/>
          <w:sz w:val="32"/>
          <w:szCs w:val="32"/>
          <w:lang w:val="en-US" w:eastAsia="zh-CN" w:bidi="ar-SA"/>
        </w:rPr>
        <w:t>部乡镇（街道）志、</w:t>
      </w:r>
      <w:r>
        <w:rPr>
          <w:rFonts w:hint="eastAsia" w:ascii="Times New Roman" w:hAnsi="仿宋_GB2312" w:eastAsia="方正仿宋_GBK" w:cs="Times New Roman"/>
          <w:kern w:val="2"/>
          <w:sz w:val="32"/>
          <w:szCs w:val="32"/>
          <w:lang w:val="en-US" w:eastAsia="zh-CN" w:bidi="ar-SA"/>
        </w:rPr>
        <w:t>13</w:t>
      </w:r>
      <w:r>
        <w:rPr>
          <w:rFonts w:hint="default" w:ascii="Times New Roman" w:hAnsi="仿宋_GB2312" w:eastAsia="方正仿宋_GBK" w:cs="Times New Roman"/>
          <w:kern w:val="2"/>
          <w:sz w:val="32"/>
          <w:szCs w:val="32"/>
          <w:lang w:val="en-US" w:eastAsia="zh-CN" w:bidi="ar-SA"/>
        </w:rPr>
        <w:t>部村（社区）志</w:t>
      </w:r>
      <w:r>
        <w:rPr>
          <w:rFonts w:hint="eastAsia" w:ascii="Times New Roman" w:hAnsi="仿宋_GB2312" w:eastAsia="方正仿宋_GBK" w:cs="Times New Roman"/>
          <w:kern w:val="2"/>
          <w:sz w:val="32"/>
          <w:szCs w:val="32"/>
          <w:lang w:val="en-US" w:eastAsia="zh-CN" w:bidi="ar-SA"/>
        </w:rPr>
        <w:t>编纂工作。三是“编纂出版地情文献”指标完成。组织人员搜集、整理广安区协兴镇邓氏家族相关图文史料、邓氏遗址遗存，以及缅怀、歌颂邓小平丰功伟绩的文章、诗赋、书画、摄影作品等图文资料，历经多次修改完善，形成了约45万字的《广安邓氏文史》总纂稿，2023年8月完成印刷出版，得到市委、市政府和社会各界的高度肯定。该项自评得分15分。</w:t>
      </w:r>
    </w:p>
    <w:p w14:paraId="0C366FE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3" w:firstLineChars="200"/>
        <w:contextualSpacing/>
        <w:jc w:val="both"/>
        <w:textAlignment w:val="auto"/>
        <w:outlineLvl w:val="9"/>
        <w:rPr>
          <w:rFonts w:hint="eastAsia" w:ascii="仿宋_GB2312" w:eastAsia="仿宋_GB2312"/>
          <w:sz w:val="32"/>
          <w:szCs w:val="32"/>
          <w:lang w:val="en-US" w:eastAsia="zh-CN"/>
        </w:rPr>
      </w:pPr>
      <w:r>
        <w:rPr>
          <w:rFonts w:hint="eastAsia" w:ascii="Times New Roman" w:hAnsi="仿宋_GB2312" w:eastAsia="方正仿宋_GBK" w:cs="Times New Roman"/>
          <w:b/>
          <w:bCs/>
          <w:kern w:val="2"/>
          <w:sz w:val="32"/>
          <w:szCs w:val="32"/>
          <w:lang w:val="en-US" w:eastAsia="zh-CN" w:bidi="ar-SA"/>
        </w:rPr>
        <w:t>2.</w:t>
      </w:r>
      <w:r>
        <w:rPr>
          <w:rFonts w:hint="default" w:ascii="Times New Roman" w:hAnsi="仿宋_GB2312" w:eastAsia="方正仿宋_GBK" w:cs="Times New Roman"/>
          <w:b/>
          <w:bCs/>
          <w:kern w:val="2"/>
          <w:sz w:val="32"/>
          <w:szCs w:val="32"/>
          <w:lang w:val="zh-CN" w:eastAsia="zh-CN" w:bidi="ar-SA"/>
        </w:rPr>
        <w:t>预算管理</w:t>
      </w:r>
      <w:r>
        <w:rPr>
          <w:rFonts w:hint="eastAsia" w:ascii="Times New Roman" w:hAnsi="仿宋_GB2312" w:eastAsia="方正仿宋_GBK" w:cs="Times New Roman"/>
          <w:b/>
          <w:bCs/>
          <w:kern w:val="2"/>
          <w:sz w:val="32"/>
          <w:szCs w:val="32"/>
          <w:lang w:val="zh-CN" w:eastAsia="zh-CN" w:bidi="ar-SA"/>
        </w:rPr>
        <w:t>。</w:t>
      </w:r>
      <w:r>
        <w:rPr>
          <w:rFonts w:hint="eastAsia" w:ascii="仿宋_GB2312" w:hAnsi="Calibri" w:eastAsia="仿宋_GB2312"/>
          <w:sz w:val="32"/>
          <w:szCs w:val="32"/>
        </w:rPr>
        <w:t>预算编制</w:t>
      </w:r>
      <w:r>
        <w:rPr>
          <w:rFonts w:hint="eastAsia" w:ascii="Times New Roman" w:hAnsi="仿宋_GB2312" w:eastAsia="方正仿宋_GBK" w:cs="Times New Roman"/>
          <w:kern w:val="2"/>
          <w:sz w:val="32"/>
          <w:szCs w:val="32"/>
          <w:lang w:val="en-US" w:eastAsia="zh-CN" w:bidi="ar-SA"/>
        </w:rPr>
        <w:t>中坚持“量入为出，收支平衡，统筹兼顾，保证重点，勤俭节约”的原则，以业务开展的实际需要为前提，严格按照预算编制的有关要求，按时完成了2023年预算基础库、项目库的报送，保证了年度预算编制项目分类的准确性。预算</w:t>
      </w:r>
      <w:r>
        <w:rPr>
          <w:rFonts w:hint="eastAsia" w:ascii="Times New Roman" w:hAnsi="仿宋_GB2312" w:eastAsia="方正仿宋_GBK" w:cs="Times New Roman"/>
          <w:kern w:val="2"/>
          <w:sz w:val="32"/>
          <w:szCs w:val="32"/>
          <w:lang w:val="zh-CN" w:eastAsia="zh-CN" w:bidi="ar-SA"/>
        </w:rPr>
        <w:t>支出执行符合财政进度要求，按照“过紧日子”要求严控部门一般性支出，保证了预算资金使用高效。</w:t>
      </w:r>
      <w:r>
        <w:rPr>
          <w:rFonts w:hint="eastAsia" w:ascii="Times New Roman" w:hAnsi="仿宋_GB2312" w:eastAsia="方正仿宋_GBK" w:cs="Times New Roman"/>
          <w:kern w:val="2"/>
          <w:sz w:val="32"/>
          <w:szCs w:val="32"/>
          <w:lang w:val="en-US" w:eastAsia="zh-CN" w:bidi="ar-SA"/>
        </w:rPr>
        <w:t>该项自评得分24.52</w:t>
      </w:r>
      <w:r>
        <w:rPr>
          <w:rFonts w:hint="eastAsia" w:ascii="仿宋_GB2312" w:eastAsia="仿宋_GB2312"/>
          <w:sz w:val="32"/>
          <w:szCs w:val="32"/>
          <w:lang w:val="en-US" w:eastAsia="zh-CN"/>
        </w:rPr>
        <w:t>分。</w:t>
      </w:r>
    </w:p>
    <w:p w14:paraId="4952B0F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3" w:firstLineChars="200"/>
        <w:contextualSpacing/>
        <w:jc w:val="both"/>
        <w:textAlignment w:val="auto"/>
        <w:outlineLvl w:val="9"/>
        <w:rPr>
          <w:rFonts w:hint="eastAsia" w:ascii="Times New Roman" w:hAnsi="仿宋_GB2312" w:eastAsia="方正仿宋_GBK" w:cs="Times New Roman"/>
          <w:kern w:val="2"/>
          <w:sz w:val="32"/>
          <w:szCs w:val="32"/>
          <w:lang w:val="zh-CN" w:eastAsia="zh-CN" w:bidi="ar-SA"/>
        </w:rPr>
      </w:pPr>
      <w:r>
        <w:rPr>
          <w:rFonts w:hint="eastAsia" w:ascii="Times New Roman" w:hAnsi="仿宋_GB2312" w:eastAsia="方正仿宋_GBK" w:cs="Times New Roman"/>
          <w:b/>
          <w:bCs/>
          <w:kern w:val="2"/>
          <w:sz w:val="32"/>
          <w:szCs w:val="32"/>
          <w:lang w:val="en-US" w:eastAsia="zh-CN" w:bidi="ar-SA"/>
        </w:rPr>
        <w:t>3.</w:t>
      </w:r>
      <w:r>
        <w:rPr>
          <w:rFonts w:hint="default" w:ascii="Times New Roman" w:hAnsi="仿宋_GB2312" w:eastAsia="方正仿宋_GBK" w:cs="Times New Roman"/>
          <w:b/>
          <w:bCs/>
          <w:kern w:val="2"/>
          <w:sz w:val="32"/>
          <w:szCs w:val="32"/>
          <w:lang w:val="zh-CN" w:eastAsia="zh-CN" w:bidi="ar-SA"/>
        </w:rPr>
        <w:t>财务管理</w:t>
      </w:r>
      <w:r>
        <w:rPr>
          <w:rFonts w:hint="eastAsia" w:ascii="Times New Roman" w:hAnsi="仿宋_GB2312" w:eastAsia="方正仿宋_GBK" w:cs="Times New Roman"/>
          <w:b/>
          <w:bCs/>
          <w:kern w:val="2"/>
          <w:sz w:val="32"/>
          <w:szCs w:val="32"/>
          <w:lang w:val="zh-CN" w:eastAsia="zh-CN" w:bidi="ar-SA"/>
        </w:rPr>
        <w:t>。</w:t>
      </w:r>
      <w:r>
        <w:rPr>
          <w:rFonts w:hint="eastAsia" w:ascii="Times New Roman" w:hAnsi="仿宋_GB2312" w:eastAsia="方正仿宋_GBK" w:cs="Times New Roman"/>
          <w:kern w:val="2"/>
          <w:sz w:val="32"/>
          <w:szCs w:val="32"/>
          <w:lang w:val="zh-CN" w:eastAsia="zh-CN" w:bidi="ar-SA"/>
        </w:rPr>
        <w:t>严格执行财经纪律，会计采用财务代理做账，与出纳岗位分设。按照本部门财务管理制度进行账务处理，做到了报销凭证要素齐全、报账程序合规、资金支付使用规范。</w:t>
      </w:r>
      <w:r>
        <w:rPr>
          <w:rFonts w:hint="eastAsia" w:ascii="Times New Roman" w:hAnsi="仿宋_GB2312" w:eastAsia="方正仿宋_GBK" w:cs="Times New Roman"/>
          <w:kern w:val="2"/>
          <w:sz w:val="32"/>
          <w:szCs w:val="32"/>
          <w:lang w:val="en-US" w:eastAsia="zh-CN" w:bidi="ar-SA"/>
        </w:rPr>
        <w:t>该项自评得分10分。</w:t>
      </w:r>
    </w:p>
    <w:p w14:paraId="0CFB740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3" w:firstLineChars="200"/>
        <w:contextualSpacing/>
        <w:jc w:val="both"/>
        <w:textAlignment w:val="auto"/>
        <w:outlineLvl w:val="9"/>
        <w:rPr>
          <w:rFonts w:hint="eastAsia" w:ascii="Times New Roman" w:hAnsi="仿宋_GB2312" w:eastAsia="方正仿宋_GBK" w:cs="Times New Roman"/>
          <w:kern w:val="2"/>
          <w:sz w:val="32"/>
          <w:szCs w:val="32"/>
          <w:lang w:val="zh-CN" w:eastAsia="zh-CN" w:bidi="ar-SA"/>
        </w:rPr>
      </w:pPr>
      <w:r>
        <w:rPr>
          <w:rFonts w:hint="eastAsia" w:ascii="Times New Roman" w:hAnsi="仿宋_GB2312" w:eastAsia="方正仿宋_GBK" w:cs="Times New Roman"/>
          <w:b/>
          <w:bCs/>
          <w:kern w:val="2"/>
          <w:sz w:val="32"/>
          <w:szCs w:val="32"/>
          <w:lang w:val="en-US" w:eastAsia="zh-CN" w:bidi="ar-SA"/>
        </w:rPr>
        <w:t>4.</w:t>
      </w:r>
      <w:r>
        <w:rPr>
          <w:rFonts w:hint="default" w:ascii="Times New Roman" w:hAnsi="仿宋_GB2312" w:eastAsia="方正仿宋_GBK" w:cs="Times New Roman"/>
          <w:b/>
          <w:bCs/>
          <w:kern w:val="2"/>
          <w:sz w:val="32"/>
          <w:szCs w:val="32"/>
          <w:lang w:val="zh-CN" w:eastAsia="zh-CN" w:bidi="ar-SA"/>
        </w:rPr>
        <w:t>资产管理</w:t>
      </w:r>
      <w:r>
        <w:rPr>
          <w:rFonts w:hint="eastAsia" w:ascii="Times New Roman" w:hAnsi="仿宋_GB2312" w:eastAsia="方正仿宋_GBK" w:cs="Times New Roman"/>
          <w:b/>
          <w:bCs/>
          <w:kern w:val="2"/>
          <w:sz w:val="32"/>
          <w:szCs w:val="32"/>
          <w:lang w:val="zh-CN" w:eastAsia="zh-CN" w:bidi="ar-SA"/>
        </w:rPr>
        <w:t>。</w:t>
      </w:r>
      <w:r>
        <w:rPr>
          <w:rFonts w:hint="eastAsia" w:ascii="Times New Roman" w:hAnsi="仿宋_GB2312" w:eastAsia="方正仿宋_GBK" w:cs="Times New Roman"/>
          <w:kern w:val="2"/>
          <w:sz w:val="32"/>
          <w:szCs w:val="32"/>
          <w:lang w:val="zh-CN" w:eastAsia="zh-CN" w:bidi="ar-SA"/>
        </w:rPr>
        <w:t>截至2023年12月31日，本部门资产总额（账面净值，下同）5.07万元，因人员增加和固定资产折旧影响，人均资产较上年减少</w:t>
      </w:r>
      <w:r>
        <w:rPr>
          <w:rFonts w:hint="eastAsia" w:ascii="Times New Roman" w:hAnsi="仿宋_GB2312" w:eastAsia="方正仿宋_GBK" w:cs="Times New Roman"/>
          <w:kern w:val="2"/>
          <w:sz w:val="32"/>
          <w:szCs w:val="32"/>
          <w:lang w:val="en-US" w:eastAsia="zh-CN" w:bidi="ar-SA"/>
        </w:rPr>
        <w:t>35.08</w:t>
      </w:r>
      <w:r>
        <w:rPr>
          <w:rFonts w:hint="eastAsia" w:ascii="Times New Roman" w:hAnsi="仿宋_GB2312" w:eastAsia="方正仿宋_GBK" w:cs="Times New Roman"/>
          <w:kern w:val="2"/>
          <w:sz w:val="32"/>
          <w:szCs w:val="32"/>
          <w:lang w:val="zh-CN" w:eastAsia="zh-CN" w:bidi="ar-SA"/>
        </w:rPr>
        <w:t>%。流动资产2.21万元，因人员增加使人均资产较上年减少</w:t>
      </w:r>
      <w:r>
        <w:rPr>
          <w:rFonts w:hint="eastAsia" w:ascii="Times New Roman" w:hAnsi="仿宋_GB2312" w:eastAsia="方正仿宋_GBK" w:cs="Times New Roman"/>
          <w:kern w:val="2"/>
          <w:sz w:val="32"/>
          <w:szCs w:val="32"/>
          <w:lang w:val="en-US" w:eastAsia="zh-CN" w:bidi="ar-SA"/>
        </w:rPr>
        <w:t>27.31</w:t>
      </w:r>
      <w:r>
        <w:rPr>
          <w:rFonts w:hint="eastAsia" w:ascii="Times New Roman" w:hAnsi="仿宋_GB2312" w:eastAsia="方正仿宋_GBK" w:cs="Times New Roman"/>
          <w:kern w:val="2"/>
          <w:sz w:val="32"/>
          <w:szCs w:val="32"/>
          <w:lang w:val="zh-CN" w:eastAsia="zh-CN" w:bidi="ar-SA"/>
        </w:rPr>
        <w:t>%，占资产总额43.61%；固定资产2.86万元，因人员增加和固定资产折旧影响，人均资产较上年减少</w:t>
      </w:r>
      <w:r>
        <w:rPr>
          <w:rFonts w:hint="eastAsia" w:ascii="Times New Roman" w:hAnsi="仿宋_GB2312" w:eastAsia="方正仿宋_GBK" w:cs="Times New Roman"/>
          <w:kern w:val="2"/>
          <w:sz w:val="32"/>
          <w:szCs w:val="32"/>
          <w:lang w:val="en-US" w:eastAsia="zh-CN" w:bidi="ar-SA"/>
        </w:rPr>
        <w:t>38.63</w:t>
      </w:r>
      <w:r>
        <w:rPr>
          <w:rFonts w:hint="eastAsia" w:ascii="Times New Roman" w:hAnsi="仿宋_GB2312" w:eastAsia="方正仿宋_GBK" w:cs="Times New Roman"/>
          <w:kern w:val="2"/>
          <w:sz w:val="32"/>
          <w:szCs w:val="32"/>
          <w:lang w:val="zh-CN" w:eastAsia="zh-CN" w:bidi="ar-SA"/>
        </w:rPr>
        <w:t>%, 占资产总额56.39%。本部门固定资产利用充分，无闲置资产，利用率达</w:t>
      </w:r>
      <w:r>
        <w:rPr>
          <w:rFonts w:hint="eastAsia" w:ascii="Times New Roman" w:hAnsi="仿宋_GB2312" w:eastAsia="方正仿宋_GBK" w:cs="Times New Roman"/>
          <w:kern w:val="2"/>
          <w:sz w:val="32"/>
          <w:szCs w:val="32"/>
          <w:lang w:val="en-US" w:eastAsia="zh-CN" w:bidi="ar-SA"/>
        </w:rPr>
        <w:t>100%</w:t>
      </w:r>
      <w:r>
        <w:rPr>
          <w:rFonts w:hint="eastAsia" w:ascii="Times New Roman" w:hAnsi="仿宋_GB2312" w:eastAsia="方正仿宋_GBK" w:cs="Times New Roman"/>
          <w:kern w:val="2"/>
          <w:sz w:val="32"/>
          <w:szCs w:val="32"/>
          <w:lang w:val="zh-CN" w:eastAsia="zh-CN" w:bidi="ar-SA"/>
        </w:rPr>
        <w:t>。</w:t>
      </w:r>
      <w:r>
        <w:rPr>
          <w:rFonts w:hint="eastAsia" w:ascii="Times New Roman" w:hAnsi="仿宋_GB2312" w:eastAsia="方正仿宋_GBK" w:cs="Times New Roman"/>
          <w:kern w:val="2"/>
          <w:sz w:val="32"/>
          <w:szCs w:val="32"/>
          <w:lang w:val="en-US" w:eastAsia="zh-CN" w:bidi="ar-SA"/>
        </w:rPr>
        <w:t>该项自评得分9分。</w:t>
      </w:r>
    </w:p>
    <w:p w14:paraId="10E599E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3" w:firstLineChars="200"/>
        <w:contextualSpacing/>
        <w:jc w:val="both"/>
        <w:textAlignment w:val="auto"/>
        <w:outlineLvl w:val="9"/>
        <w:rPr>
          <w:rFonts w:hint="eastAsia" w:ascii="Times New Roman" w:hAnsi="仿宋_GB2312" w:eastAsia="方正仿宋_GBK" w:cs="Times New Roman"/>
          <w:kern w:val="2"/>
          <w:sz w:val="32"/>
          <w:szCs w:val="32"/>
          <w:lang w:val="zh-CN" w:eastAsia="zh-CN" w:bidi="ar-SA"/>
        </w:rPr>
      </w:pPr>
      <w:r>
        <w:rPr>
          <w:rFonts w:hint="eastAsia" w:ascii="Times New Roman" w:hAnsi="仿宋_GB2312" w:eastAsia="方正仿宋_GBK" w:cs="Times New Roman"/>
          <w:b/>
          <w:bCs/>
          <w:kern w:val="2"/>
          <w:sz w:val="32"/>
          <w:szCs w:val="32"/>
          <w:lang w:val="en-US" w:eastAsia="zh-CN" w:bidi="ar-SA"/>
        </w:rPr>
        <w:t>5.</w:t>
      </w:r>
      <w:r>
        <w:rPr>
          <w:rFonts w:hint="default" w:ascii="Times New Roman" w:hAnsi="仿宋_GB2312" w:eastAsia="方正仿宋_GBK" w:cs="Times New Roman"/>
          <w:b/>
          <w:bCs/>
          <w:kern w:val="2"/>
          <w:sz w:val="32"/>
          <w:szCs w:val="32"/>
          <w:lang w:val="zh-CN" w:eastAsia="zh-CN" w:bidi="ar-SA"/>
        </w:rPr>
        <w:t>采购管理</w:t>
      </w:r>
      <w:r>
        <w:rPr>
          <w:rFonts w:hint="eastAsia" w:ascii="Times New Roman" w:hAnsi="仿宋_GB2312" w:eastAsia="方正仿宋_GBK" w:cs="Times New Roman"/>
          <w:b/>
          <w:bCs/>
          <w:kern w:val="2"/>
          <w:sz w:val="32"/>
          <w:szCs w:val="32"/>
          <w:lang w:val="zh-CN" w:eastAsia="zh-CN" w:bidi="ar-SA"/>
        </w:rPr>
        <w:t>。</w:t>
      </w:r>
      <w:r>
        <w:rPr>
          <w:rFonts w:hint="eastAsia" w:ascii="Times New Roman" w:hAnsi="仿宋_GB2312" w:eastAsia="方正仿宋_GBK" w:cs="Times New Roman"/>
          <w:kern w:val="2"/>
          <w:sz w:val="32"/>
          <w:szCs w:val="32"/>
          <w:lang w:val="zh-CN" w:eastAsia="zh-CN" w:bidi="ar-SA"/>
        </w:rPr>
        <w:t>本部门</w:t>
      </w:r>
      <w:r>
        <w:rPr>
          <w:rFonts w:hint="eastAsia" w:ascii="Times New Roman" w:hAnsi="仿宋_GB2312" w:eastAsia="方正仿宋_GBK" w:cs="Times New Roman"/>
          <w:kern w:val="2"/>
          <w:sz w:val="32"/>
          <w:szCs w:val="32"/>
          <w:lang w:val="en-US" w:eastAsia="zh-CN" w:bidi="ar-SA"/>
        </w:rPr>
        <w:t>2023年</w:t>
      </w:r>
      <w:r>
        <w:rPr>
          <w:rFonts w:hint="eastAsia" w:ascii="Times New Roman" w:hAnsi="仿宋_GB2312" w:eastAsia="方正仿宋_GBK" w:cs="Times New Roman"/>
          <w:kern w:val="2"/>
          <w:sz w:val="32"/>
          <w:szCs w:val="32"/>
          <w:lang w:val="zh-CN" w:eastAsia="zh-CN" w:bidi="ar-SA"/>
        </w:rPr>
        <w:t>有</w:t>
      </w:r>
      <w:r>
        <w:rPr>
          <w:rFonts w:hint="eastAsia" w:ascii="Times New Roman" w:hAnsi="仿宋_GB2312" w:eastAsia="方正仿宋_GBK" w:cs="Times New Roman"/>
          <w:kern w:val="2"/>
          <w:sz w:val="32"/>
          <w:szCs w:val="32"/>
          <w:lang w:val="en-US" w:eastAsia="zh-CN" w:bidi="ar-SA"/>
        </w:rPr>
        <w:t>1个</w:t>
      </w:r>
      <w:r>
        <w:rPr>
          <w:rFonts w:hint="eastAsia" w:ascii="Times New Roman" w:hAnsi="仿宋_GB2312" w:eastAsia="方正仿宋_GBK" w:cs="Times New Roman"/>
          <w:kern w:val="2"/>
          <w:sz w:val="32"/>
          <w:szCs w:val="32"/>
          <w:lang w:val="zh-CN" w:eastAsia="zh-CN" w:bidi="ar-SA"/>
        </w:rPr>
        <w:t>政府分散采购办公空调，年初有采购计划和预算，按程序通过网上采购平台购买了</w:t>
      </w:r>
      <w:r>
        <w:rPr>
          <w:rFonts w:hint="eastAsia" w:ascii="Times New Roman" w:hAnsi="仿宋_GB2312" w:eastAsia="方正仿宋_GBK" w:cs="Times New Roman"/>
          <w:kern w:val="2"/>
          <w:sz w:val="32"/>
          <w:szCs w:val="32"/>
          <w:lang w:val="en-US" w:eastAsia="zh-CN" w:bidi="ar-SA"/>
        </w:rPr>
        <w:t>1台美的空调。2023年</w:t>
      </w:r>
      <w:r>
        <w:rPr>
          <w:rFonts w:hint="eastAsia" w:ascii="Times New Roman" w:hAnsi="仿宋_GB2312" w:eastAsia="方正仿宋_GBK" w:cs="Times New Roman"/>
          <w:kern w:val="2"/>
          <w:sz w:val="32"/>
          <w:szCs w:val="32"/>
          <w:lang w:val="zh-CN" w:eastAsia="zh-CN" w:bidi="ar-SA"/>
        </w:rPr>
        <w:t>有</w:t>
      </w:r>
      <w:r>
        <w:rPr>
          <w:rFonts w:hint="eastAsia" w:ascii="Times New Roman" w:hAnsi="仿宋_GB2312" w:eastAsia="方正仿宋_GBK" w:cs="Times New Roman"/>
          <w:kern w:val="2"/>
          <w:sz w:val="32"/>
          <w:szCs w:val="32"/>
          <w:lang w:val="en-US" w:eastAsia="zh-CN" w:bidi="ar-SA"/>
        </w:rPr>
        <w:t>2个单位内控采购项目，年初有预算资金安排，遵循单位内控采购程序，按时按质完成了2个印刷出版采购项目</w:t>
      </w:r>
      <w:r>
        <w:rPr>
          <w:rFonts w:hint="eastAsia" w:ascii="Times New Roman" w:hAnsi="仿宋_GB2312" w:eastAsia="方正仿宋_GBK" w:cs="Times New Roman"/>
          <w:kern w:val="2"/>
          <w:sz w:val="32"/>
          <w:szCs w:val="32"/>
          <w:lang w:val="zh-CN" w:eastAsia="zh-CN" w:bidi="ar-SA"/>
        </w:rPr>
        <w:t>。</w:t>
      </w:r>
      <w:r>
        <w:rPr>
          <w:rFonts w:hint="eastAsia" w:ascii="Times New Roman" w:hAnsi="仿宋_GB2312" w:eastAsia="方正仿宋_GBK" w:cs="Times New Roman"/>
          <w:kern w:val="2"/>
          <w:sz w:val="32"/>
          <w:szCs w:val="32"/>
          <w:lang w:val="en-US" w:eastAsia="zh-CN" w:bidi="ar-SA"/>
        </w:rPr>
        <w:t>该项自评得分6分。</w:t>
      </w:r>
    </w:p>
    <w:p w14:paraId="4307BAE9">
      <w:pPr>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contextualSpacing/>
        <w:jc w:val="both"/>
        <w:textAlignment w:val="auto"/>
        <w:outlineLvl w:val="9"/>
        <w:rPr>
          <w:rFonts w:hint="default" w:ascii="Times New Roman" w:hAnsi="仿宋_GB2312" w:eastAsia="方正仿宋_GBK" w:cs="Times New Roman"/>
          <w:kern w:val="2"/>
          <w:sz w:val="32"/>
          <w:szCs w:val="32"/>
          <w:lang w:val="en-US" w:eastAsia="zh-CN" w:bidi="ar-SA"/>
        </w:rPr>
      </w:pPr>
      <w:r>
        <w:rPr>
          <w:rFonts w:hint="default" w:ascii="方正楷体_GBK" w:hAnsi="方正楷体_GBK" w:eastAsia="方正楷体_GBK" w:cs="方正楷体_GBK"/>
          <w:kern w:val="2"/>
          <w:sz w:val="32"/>
          <w:szCs w:val="32"/>
          <w:lang w:val="zh-CN" w:eastAsia="zh-CN" w:bidi="ar-SA"/>
        </w:rPr>
        <w:t>（二）部门预算项目绩效分析</w:t>
      </w:r>
      <w:r>
        <w:rPr>
          <w:rFonts w:hint="default" w:ascii="Times New Roman" w:hAnsi="仿宋_GB2312" w:eastAsia="方正仿宋_GBK" w:cs="Times New Roman"/>
          <w:kern w:val="2"/>
          <w:sz w:val="32"/>
          <w:szCs w:val="32"/>
          <w:lang w:val="zh-CN" w:eastAsia="zh-CN" w:bidi="ar-SA"/>
        </w:rPr>
        <w:t>。</w:t>
      </w:r>
      <w:r>
        <w:rPr>
          <w:rFonts w:hint="eastAsia" w:ascii="Times New Roman" w:hAnsi="仿宋_GB2312" w:eastAsia="方正仿宋_GBK" w:cs="Times New Roman"/>
          <w:kern w:val="2"/>
          <w:sz w:val="32"/>
          <w:szCs w:val="32"/>
          <w:lang w:val="zh-CN" w:eastAsia="zh-CN" w:bidi="ar-SA"/>
        </w:rPr>
        <w:t>按照本</w:t>
      </w:r>
      <w:r>
        <w:rPr>
          <w:rFonts w:hint="default" w:ascii="Times New Roman" w:hAnsi="仿宋_GB2312" w:eastAsia="方正仿宋_GBK" w:cs="Times New Roman"/>
          <w:kern w:val="2"/>
          <w:sz w:val="32"/>
          <w:szCs w:val="32"/>
          <w:lang w:val="zh-CN" w:eastAsia="zh-CN" w:bidi="ar-SA"/>
        </w:rPr>
        <w:t>部门预算绩效评价指标体系“项目绩效”涉及</w:t>
      </w:r>
      <w:r>
        <w:rPr>
          <w:rFonts w:hint="eastAsia" w:ascii="Times New Roman" w:hAnsi="仿宋_GB2312" w:eastAsia="方正仿宋_GBK" w:cs="Times New Roman"/>
          <w:kern w:val="2"/>
          <w:sz w:val="32"/>
          <w:szCs w:val="32"/>
          <w:lang w:val="zh-CN" w:eastAsia="zh-CN" w:bidi="ar-SA"/>
        </w:rPr>
        <w:t>二、三级</w:t>
      </w:r>
      <w:r>
        <w:rPr>
          <w:rFonts w:hint="default" w:ascii="Times New Roman" w:hAnsi="仿宋_GB2312" w:eastAsia="方正仿宋_GBK" w:cs="Times New Roman"/>
          <w:kern w:val="2"/>
          <w:sz w:val="32"/>
          <w:szCs w:val="32"/>
          <w:lang w:val="zh-CN" w:eastAsia="zh-CN" w:bidi="ar-SA"/>
        </w:rPr>
        <w:t>指标进行</w:t>
      </w:r>
      <w:r>
        <w:rPr>
          <w:rFonts w:hint="eastAsia" w:ascii="Times New Roman" w:hAnsi="仿宋_GB2312" w:eastAsia="方正仿宋_GBK" w:cs="Times New Roman"/>
          <w:kern w:val="2"/>
          <w:sz w:val="32"/>
          <w:szCs w:val="32"/>
          <w:lang w:val="zh-CN" w:eastAsia="zh-CN" w:bidi="ar-SA"/>
        </w:rPr>
        <w:t>逐项</w:t>
      </w:r>
      <w:r>
        <w:rPr>
          <w:rFonts w:hint="default" w:ascii="Times New Roman" w:hAnsi="仿宋_GB2312" w:eastAsia="方正仿宋_GBK" w:cs="Times New Roman"/>
          <w:kern w:val="2"/>
          <w:sz w:val="32"/>
          <w:szCs w:val="32"/>
          <w:lang w:val="zh-CN" w:eastAsia="zh-CN" w:bidi="ar-SA"/>
        </w:rPr>
        <w:t>绩效分析</w:t>
      </w:r>
      <w:r>
        <w:rPr>
          <w:rFonts w:hint="eastAsia" w:ascii="Times New Roman" w:hAnsi="仿宋_GB2312" w:eastAsia="方正仿宋_GBK" w:cs="Times New Roman"/>
          <w:kern w:val="2"/>
          <w:sz w:val="32"/>
          <w:szCs w:val="32"/>
          <w:lang w:val="zh-CN" w:eastAsia="zh-CN" w:bidi="ar-SA"/>
        </w:rPr>
        <w:t>并评分</w:t>
      </w:r>
      <w:r>
        <w:rPr>
          <w:rFonts w:hint="default" w:ascii="Times New Roman" w:hAnsi="仿宋_GB2312" w:eastAsia="方正仿宋_GBK" w:cs="Times New Roman"/>
          <w:kern w:val="2"/>
          <w:sz w:val="32"/>
          <w:szCs w:val="32"/>
          <w:lang w:val="zh-CN" w:eastAsia="zh-CN" w:bidi="ar-SA"/>
        </w:rPr>
        <w:t>，依次包括项目</w:t>
      </w:r>
      <w:r>
        <w:rPr>
          <w:rFonts w:hint="default" w:ascii="Times New Roman" w:hAnsi="仿宋_GB2312" w:eastAsia="方正仿宋_GBK" w:cs="Times New Roman"/>
          <w:kern w:val="2"/>
          <w:sz w:val="32"/>
          <w:szCs w:val="32"/>
          <w:lang w:val="en-US" w:eastAsia="zh-CN" w:bidi="ar-SA"/>
        </w:rPr>
        <w:t>决策、项目执行、目标实现等情况</w:t>
      </w:r>
      <w:r>
        <w:rPr>
          <w:rFonts w:hint="eastAsia" w:ascii="Times New Roman" w:hAnsi="仿宋_GB2312" w:eastAsia="方正仿宋_GBK" w:cs="Times New Roman"/>
          <w:kern w:val="2"/>
          <w:sz w:val="32"/>
          <w:szCs w:val="32"/>
          <w:lang w:val="en-US" w:eastAsia="zh-CN" w:bidi="ar-SA"/>
        </w:rPr>
        <w:t>。</w:t>
      </w:r>
      <w:r>
        <w:rPr>
          <w:rFonts w:hint="default" w:ascii="Times New Roman" w:hAnsi="仿宋_GB2312" w:eastAsia="方正仿宋_GBK" w:cs="Times New Roman"/>
          <w:kern w:val="2"/>
          <w:sz w:val="32"/>
          <w:szCs w:val="32"/>
          <w:lang w:val="zh-CN" w:eastAsia="zh-CN" w:bidi="ar-SA"/>
        </w:rPr>
        <w:t>项目绩效</w:t>
      </w:r>
      <w:r>
        <w:rPr>
          <w:rFonts w:hint="eastAsia" w:ascii="Times New Roman" w:hAnsi="仿宋_GB2312" w:eastAsia="方正仿宋_GBK" w:cs="Times New Roman"/>
          <w:kern w:val="2"/>
          <w:sz w:val="32"/>
          <w:szCs w:val="32"/>
          <w:lang w:val="zh-CN" w:eastAsia="zh-CN" w:bidi="ar-SA"/>
        </w:rPr>
        <w:t>自评得分</w:t>
      </w:r>
      <w:r>
        <w:rPr>
          <w:rFonts w:hint="eastAsia" w:ascii="Times New Roman" w:hAnsi="仿宋_GB2312" w:eastAsia="方正仿宋_GBK" w:cs="Times New Roman"/>
          <w:kern w:val="2"/>
          <w:sz w:val="32"/>
          <w:szCs w:val="32"/>
          <w:lang w:val="en-US" w:eastAsia="zh-CN" w:bidi="ar-SA"/>
        </w:rPr>
        <w:t>31分。</w:t>
      </w:r>
    </w:p>
    <w:p w14:paraId="33728CE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contextualSpacing/>
        <w:jc w:val="both"/>
        <w:textAlignment w:val="auto"/>
        <w:outlineLvl w:val="9"/>
        <w:rPr>
          <w:rFonts w:hint="default" w:ascii="Times New Roman" w:hAnsi="仿宋_GB2312" w:eastAsia="方正仿宋_GBK" w:cs="Times New Roman"/>
          <w:kern w:val="2"/>
          <w:sz w:val="32"/>
          <w:szCs w:val="32"/>
          <w:lang w:val="zh-CN" w:eastAsia="zh-CN" w:bidi="ar-SA"/>
        </w:rPr>
      </w:pPr>
      <w:r>
        <w:rPr>
          <w:rFonts w:hint="default" w:ascii="Times New Roman" w:hAnsi="仿宋_GB2312" w:eastAsia="方正仿宋_GBK" w:cs="Times New Roman"/>
          <w:kern w:val="2"/>
          <w:sz w:val="32"/>
          <w:szCs w:val="32"/>
          <w:lang w:val="en-US" w:eastAsia="zh-CN" w:bidi="ar-SA"/>
        </w:rPr>
        <w:t>常年项目绩效分析。</w:t>
      </w:r>
      <w:r>
        <w:rPr>
          <w:rFonts w:hint="default" w:ascii="Times New Roman" w:hAnsi="仿宋_GB2312" w:eastAsia="方正仿宋_GBK" w:cs="Times New Roman"/>
          <w:kern w:val="2"/>
          <w:sz w:val="32"/>
          <w:szCs w:val="32"/>
          <w:lang w:val="zh-CN" w:eastAsia="zh-CN" w:bidi="ar-SA"/>
        </w:rPr>
        <w:t>该类项目总数</w:t>
      </w:r>
      <w:r>
        <w:rPr>
          <w:rFonts w:hint="eastAsia" w:ascii="Times New Roman" w:hAnsi="仿宋_GB2312" w:eastAsia="方正仿宋_GBK" w:cs="Times New Roman"/>
          <w:kern w:val="2"/>
          <w:sz w:val="32"/>
          <w:szCs w:val="32"/>
          <w:lang w:val="en-US" w:eastAsia="zh-CN" w:bidi="ar-SA"/>
        </w:rPr>
        <w:t>1</w:t>
      </w:r>
      <w:r>
        <w:rPr>
          <w:rFonts w:hint="default" w:ascii="Times New Roman" w:hAnsi="仿宋_GB2312" w:eastAsia="方正仿宋_GBK" w:cs="Times New Roman"/>
          <w:kern w:val="2"/>
          <w:sz w:val="32"/>
          <w:szCs w:val="32"/>
          <w:lang w:val="zh-CN" w:eastAsia="zh-CN" w:bidi="ar-SA"/>
        </w:rPr>
        <w:t>个，涉及预算总金额</w:t>
      </w:r>
      <w:r>
        <w:rPr>
          <w:rFonts w:hint="eastAsia" w:ascii="Times New Roman" w:hAnsi="仿宋_GB2312" w:eastAsia="方正仿宋_GBK" w:cs="Times New Roman"/>
          <w:kern w:val="2"/>
          <w:sz w:val="32"/>
          <w:szCs w:val="32"/>
          <w:lang w:val="en-US" w:eastAsia="zh-CN" w:bidi="ar-SA"/>
        </w:rPr>
        <w:t>11</w:t>
      </w:r>
      <w:r>
        <w:rPr>
          <w:rFonts w:hint="default" w:ascii="Times New Roman" w:hAnsi="仿宋_GB2312" w:eastAsia="方正仿宋_GBK" w:cs="Times New Roman"/>
          <w:kern w:val="2"/>
          <w:sz w:val="32"/>
          <w:szCs w:val="32"/>
          <w:lang w:val="zh-CN" w:eastAsia="zh-CN" w:bidi="ar-SA"/>
        </w:rPr>
        <w:t>万元，1</w:t>
      </w:r>
      <w:r>
        <w:rPr>
          <w:rFonts w:hint="eastAsia" w:ascii="Times New Roman" w:hAnsi="仿宋_GB2312" w:eastAsia="方正仿宋_GBK" w:cs="Times New Roman"/>
          <w:kern w:val="2"/>
          <w:sz w:val="32"/>
          <w:szCs w:val="32"/>
          <w:lang w:val="zh-CN" w:eastAsia="zh-CN" w:bidi="ar-SA"/>
        </w:rPr>
        <w:t>—</w:t>
      </w:r>
      <w:r>
        <w:rPr>
          <w:rFonts w:hint="default" w:ascii="Times New Roman" w:hAnsi="仿宋_GB2312" w:eastAsia="方正仿宋_GBK" w:cs="Times New Roman"/>
          <w:kern w:val="2"/>
          <w:sz w:val="32"/>
          <w:szCs w:val="32"/>
          <w:lang w:val="zh-CN" w:eastAsia="zh-CN" w:bidi="ar-SA"/>
        </w:rPr>
        <w:t>1</w:t>
      </w:r>
      <w:r>
        <w:rPr>
          <w:rFonts w:hint="default" w:ascii="Times New Roman" w:hAnsi="仿宋_GB2312" w:eastAsia="方正仿宋_GBK" w:cs="Times New Roman"/>
          <w:kern w:val="2"/>
          <w:sz w:val="32"/>
          <w:szCs w:val="32"/>
          <w:lang w:val="en-US" w:eastAsia="zh-CN" w:bidi="ar-SA"/>
        </w:rPr>
        <w:t>2</w:t>
      </w:r>
      <w:r>
        <w:rPr>
          <w:rFonts w:hint="default" w:ascii="Times New Roman" w:hAnsi="仿宋_GB2312" w:eastAsia="方正仿宋_GBK" w:cs="Times New Roman"/>
          <w:kern w:val="2"/>
          <w:sz w:val="32"/>
          <w:szCs w:val="32"/>
          <w:lang w:val="zh-CN" w:eastAsia="zh-CN" w:bidi="ar-SA"/>
        </w:rPr>
        <w:t>月预算执行总体进度为</w:t>
      </w:r>
      <w:r>
        <w:rPr>
          <w:rFonts w:hint="eastAsia" w:ascii="Times New Roman" w:hAnsi="仿宋_GB2312" w:eastAsia="方正仿宋_GBK" w:cs="Times New Roman"/>
          <w:kern w:val="2"/>
          <w:sz w:val="32"/>
          <w:szCs w:val="32"/>
          <w:lang w:val="en-US" w:eastAsia="zh-CN" w:bidi="ar-SA"/>
        </w:rPr>
        <w:t>100</w:t>
      </w:r>
      <w:r>
        <w:rPr>
          <w:rFonts w:hint="default" w:ascii="Times New Roman" w:hAnsi="仿宋_GB2312" w:eastAsia="方正仿宋_GBK" w:cs="Times New Roman"/>
          <w:kern w:val="2"/>
          <w:sz w:val="32"/>
          <w:szCs w:val="32"/>
          <w:lang w:val="zh-CN" w:eastAsia="zh-CN" w:bidi="ar-SA"/>
        </w:rPr>
        <w:t>%，预算结余</w:t>
      </w:r>
      <w:r>
        <w:rPr>
          <w:rFonts w:hint="eastAsia" w:ascii="Times New Roman" w:hAnsi="仿宋_GB2312" w:eastAsia="方正仿宋_GBK" w:cs="Times New Roman"/>
          <w:kern w:val="2"/>
          <w:sz w:val="32"/>
          <w:szCs w:val="32"/>
          <w:lang w:val="en-US" w:eastAsia="zh-CN" w:bidi="ar-SA"/>
        </w:rPr>
        <w:t>1.74万元，结余</w:t>
      </w:r>
      <w:r>
        <w:rPr>
          <w:rFonts w:hint="default" w:ascii="Times New Roman" w:hAnsi="仿宋_GB2312" w:eastAsia="方正仿宋_GBK" w:cs="Times New Roman"/>
          <w:kern w:val="2"/>
          <w:sz w:val="32"/>
          <w:szCs w:val="32"/>
          <w:lang w:val="zh-CN" w:eastAsia="zh-CN" w:bidi="ar-SA"/>
        </w:rPr>
        <w:t>率大于</w:t>
      </w:r>
      <w:r>
        <w:rPr>
          <w:rFonts w:hint="default" w:ascii="Times New Roman" w:hAnsi="仿宋_GB2312" w:eastAsia="方正仿宋_GBK" w:cs="Times New Roman"/>
          <w:kern w:val="2"/>
          <w:sz w:val="32"/>
          <w:szCs w:val="32"/>
          <w:lang w:val="en-US" w:eastAsia="zh-CN" w:bidi="ar-SA"/>
        </w:rPr>
        <w:t>10%</w:t>
      </w:r>
      <w:r>
        <w:rPr>
          <w:rFonts w:hint="default" w:ascii="Times New Roman" w:hAnsi="仿宋_GB2312" w:eastAsia="方正仿宋_GBK" w:cs="Times New Roman"/>
          <w:kern w:val="2"/>
          <w:sz w:val="32"/>
          <w:szCs w:val="32"/>
          <w:lang w:val="zh-CN" w:eastAsia="zh-CN" w:bidi="ar-SA"/>
        </w:rPr>
        <w:t>。</w:t>
      </w:r>
    </w:p>
    <w:p w14:paraId="437A1C1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contextualSpacing/>
        <w:jc w:val="both"/>
        <w:textAlignment w:val="auto"/>
        <w:outlineLvl w:val="9"/>
        <w:rPr>
          <w:rFonts w:hint="default" w:ascii="Times New Roman" w:hAnsi="仿宋_GB2312" w:eastAsia="方正仿宋_GBK" w:cs="Times New Roman"/>
          <w:kern w:val="2"/>
          <w:sz w:val="32"/>
          <w:szCs w:val="32"/>
          <w:lang w:val="zh-CN" w:eastAsia="zh-CN" w:bidi="ar-SA"/>
        </w:rPr>
      </w:pPr>
      <w:r>
        <w:rPr>
          <w:rFonts w:hint="default" w:ascii="Times New Roman" w:hAnsi="仿宋_GB2312" w:eastAsia="方正仿宋_GBK" w:cs="Times New Roman"/>
          <w:kern w:val="2"/>
          <w:sz w:val="32"/>
          <w:szCs w:val="32"/>
          <w:lang w:val="en-US" w:eastAsia="zh-CN" w:bidi="ar-SA"/>
        </w:rPr>
        <w:t>一次性项目绩效分析。</w:t>
      </w:r>
      <w:r>
        <w:rPr>
          <w:rFonts w:hint="default" w:ascii="Times New Roman" w:hAnsi="仿宋_GB2312" w:eastAsia="方正仿宋_GBK" w:cs="Times New Roman"/>
          <w:kern w:val="2"/>
          <w:sz w:val="32"/>
          <w:szCs w:val="32"/>
          <w:lang w:val="zh-CN" w:eastAsia="zh-CN" w:bidi="ar-SA"/>
        </w:rPr>
        <w:t>该类项目总数</w:t>
      </w:r>
      <w:r>
        <w:rPr>
          <w:rFonts w:hint="eastAsia" w:ascii="Times New Roman" w:hAnsi="仿宋_GB2312" w:eastAsia="方正仿宋_GBK" w:cs="Times New Roman"/>
          <w:kern w:val="2"/>
          <w:sz w:val="32"/>
          <w:szCs w:val="32"/>
          <w:lang w:val="en-US" w:eastAsia="zh-CN" w:bidi="ar-SA"/>
        </w:rPr>
        <w:t>1</w:t>
      </w:r>
      <w:r>
        <w:rPr>
          <w:rFonts w:hint="default" w:ascii="Times New Roman" w:hAnsi="仿宋_GB2312" w:eastAsia="方正仿宋_GBK" w:cs="Times New Roman"/>
          <w:kern w:val="2"/>
          <w:sz w:val="32"/>
          <w:szCs w:val="32"/>
          <w:lang w:val="zh-CN" w:eastAsia="zh-CN" w:bidi="ar-SA"/>
        </w:rPr>
        <w:t>个，涉及预算总金额</w:t>
      </w:r>
      <w:r>
        <w:rPr>
          <w:rFonts w:hint="default" w:ascii="Times New Roman" w:hAnsi="仿宋_GB2312" w:eastAsia="方正仿宋_GBK" w:cs="Times New Roman"/>
          <w:kern w:val="2"/>
          <w:sz w:val="32"/>
          <w:szCs w:val="32"/>
          <w:lang w:val="en-US" w:eastAsia="zh-CN" w:bidi="ar-SA"/>
        </w:rPr>
        <w:t xml:space="preserve">   </w:t>
      </w:r>
      <w:r>
        <w:rPr>
          <w:rFonts w:hint="eastAsia" w:ascii="Times New Roman" w:hAnsi="仿宋_GB2312" w:eastAsia="方正仿宋_GBK" w:cs="Times New Roman"/>
          <w:kern w:val="2"/>
          <w:sz w:val="32"/>
          <w:szCs w:val="32"/>
          <w:lang w:val="en-US" w:eastAsia="zh-CN" w:bidi="ar-SA"/>
        </w:rPr>
        <w:t>12</w:t>
      </w:r>
      <w:r>
        <w:rPr>
          <w:rFonts w:hint="default" w:ascii="Times New Roman" w:hAnsi="仿宋_GB2312" w:eastAsia="方正仿宋_GBK" w:cs="Times New Roman"/>
          <w:kern w:val="2"/>
          <w:sz w:val="32"/>
          <w:szCs w:val="32"/>
          <w:lang w:val="zh-CN" w:eastAsia="zh-CN" w:bidi="ar-SA"/>
        </w:rPr>
        <w:t>万元，1</w:t>
      </w:r>
      <w:r>
        <w:rPr>
          <w:rFonts w:hint="eastAsia" w:ascii="Times New Roman" w:hAnsi="仿宋_GB2312" w:eastAsia="方正仿宋_GBK" w:cs="Times New Roman"/>
          <w:kern w:val="2"/>
          <w:sz w:val="32"/>
          <w:szCs w:val="32"/>
          <w:lang w:val="zh-CN" w:eastAsia="zh-CN" w:bidi="ar-SA"/>
        </w:rPr>
        <w:t>—</w:t>
      </w:r>
      <w:r>
        <w:rPr>
          <w:rFonts w:hint="default" w:ascii="Times New Roman" w:hAnsi="仿宋_GB2312" w:eastAsia="方正仿宋_GBK" w:cs="Times New Roman"/>
          <w:kern w:val="2"/>
          <w:sz w:val="32"/>
          <w:szCs w:val="32"/>
          <w:lang w:val="zh-CN" w:eastAsia="zh-CN" w:bidi="ar-SA"/>
        </w:rPr>
        <w:t>1</w:t>
      </w:r>
      <w:r>
        <w:rPr>
          <w:rFonts w:hint="default" w:ascii="Times New Roman" w:hAnsi="仿宋_GB2312" w:eastAsia="方正仿宋_GBK" w:cs="Times New Roman"/>
          <w:kern w:val="2"/>
          <w:sz w:val="32"/>
          <w:szCs w:val="32"/>
          <w:lang w:val="en-US" w:eastAsia="zh-CN" w:bidi="ar-SA"/>
        </w:rPr>
        <w:t>2</w:t>
      </w:r>
      <w:r>
        <w:rPr>
          <w:rFonts w:hint="default" w:ascii="Times New Roman" w:hAnsi="仿宋_GB2312" w:eastAsia="方正仿宋_GBK" w:cs="Times New Roman"/>
          <w:kern w:val="2"/>
          <w:sz w:val="32"/>
          <w:szCs w:val="32"/>
          <w:lang w:val="zh-CN" w:eastAsia="zh-CN" w:bidi="ar-SA"/>
        </w:rPr>
        <w:t>月预算执行总体进度为</w:t>
      </w:r>
      <w:r>
        <w:rPr>
          <w:rFonts w:hint="eastAsia" w:ascii="Times New Roman" w:hAnsi="仿宋_GB2312" w:eastAsia="方正仿宋_GBK" w:cs="Times New Roman"/>
          <w:kern w:val="2"/>
          <w:sz w:val="32"/>
          <w:szCs w:val="32"/>
          <w:lang w:val="en-US" w:eastAsia="zh-CN" w:bidi="ar-SA"/>
        </w:rPr>
        <w:t>100</w:t>
      </w:r>
      <w:r>
        <w:rPr>
          <w:rFonts w:hint="default" w:ascii="Times New Roman" w:hAnsi="仿宋_GB2312" w:eastAsia="方正仿宋_GBK" w:cs="Times New Roman"/>
          <w:kern w:val="2"/>
          <w:sz w:val="32"/>
          <w:szCs w:val="32"/>
          <w:lang w:val="zh-CN" w:eastAsia="zh-CN" w:bidi="ar-SA"/>
        </w:rPr>
        <w:t>%，其中：预算结余</w:t>
      </w:r>
      <w:r>
        <w:rPr>
          <w:rFonts w:hint="eastAsia" w:ascii="Times New Roman" w:hAnsi="仿宋_GB2312" w:eastAsia="方正仿宋_GBK" w:cs="Times New Roman"/>
          <w:kern w:val="2"/>
          <w:sz w:val="32"/>
          <w:szCs w:val="32"/>
          <w:lang w:val="en-US" w:eastAsia="zh-CN" w:bidi="ar-SA"/>
        </w:rPr>
        <w:t>2.31万元，结余</w:t>
      </w:r>
      <w:r>
        <w:rPr>
          <w:rFonts w:hint="default" w:ascii="Times New Roman" w:hAnsi="仿宋_GB2312" w:eastAsia="方正仿宋_GBK" w:cs="Times New Roman"/>
          <w:kern w:val="2"/>
          <w:sz w:val="32"/>
          <w:szCs w:val="32"/>
          <w:lang w:val="zh-CN" w:eastAsia="zh-CN" w:bidi="ar-SA"/>
        </w:rPr>
        <w:t>率大于</w:t>
      </w:r>
      <w:r>
        <w:rPr>
          <w:rFonts w:hint="default" w:ascii="Times New Roman" w:hAnsi="仿宋_GB2312" w:eastAsia="方正仿宋_GBK" w:cs="Times New Roman"/>
          <w:kern w:val="2"/>
          <w:sz w:val="32"/>
          <w:szCs w:val="32"/>
          <w:lang w:val="en-US" w:eastAsia="zh-CN" w:bidi="ar-SA"/>
        </w:rPr>
        <w:t>10%</w:t>
      </w:r>
      <w:r>
        <w:rPr>
          <w:rFonts w:hint="default" w:ascii="Times New Roman" w:hAnsi="仿宋_GB2312" w:eastAsia="方正仿宋_GBK" w:cs="Times New Roman"/>
          <w:kern w:val="2"/>
          <w:sz w:val="32"/>
          <w:szCs w:val="32"/>
          <w:lang w:val="zh-CN" w:eastAsia="zh-CN" w:bidi="ar-SA"/>
        </w:rPr>
        <w:t>。</w:t>
      </w:r>
    </w:p>
    <w:p w14:paraId="7C177CF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3" w:firstLineChars="200"/>
        <w:contextualSpacing/>
        <w:jc w:val="both"/>
        <w:textAlignment w:val="auto"/>
        <w:outlineLvl w:val="9"/>
        <w:rPr>
          <w:rFonts w:hint="eastAsia" w:ascii="Times New Roman" w:hAnsi="仿宋_GB2312" w:eastAsia="方正仿宋_GBK" w:cs="Times New Roman"/>
          <w:kern w:val="2"/>
          <w:sz w:val="32"/>
          <w:szCs w:val="32"/>
          <w:lang w:val="zh-CN" w:eastAsia="zh-CN" w:bidi="ar-SA"/>
        </w:rPr>
      </w:pPr>
      <w:r>
        <w:rPr>
          <w:rFonts w:hint="eastAsia" w:ascii="Times New Roman" w:hAnsi="仿宋_GB2312" w:eastAsia="方正仿宋_GBK" w:cs="Times New Roman"/>
          <w:b/>
          <w:bCs/>
          <w:kern w:val="2"/>
          <w:sz w:val="32"/>
          <w:szCs w:val="32"/>
          <w:lang w:val="en-US" w:eastAsia="zh-CN" w:bidi="ar-SA"/>
        </w:rPr>
        <w:t>1.</w:t>
      </w:r>
      <w:r>
        <w:rPr>
          <w:rFonts w:hint="eastAsia" w:ascii="Times New Roman" w:hAnsi="仿宋_GB2312" w:eastAsia="方正仿宋_GBK" w:cs="Times New Roman"/>
          <w:b/>
          <w:bCs/>
          <w:kern w:val="2"/>
          <w:sz w:val="32"/>
          <w:szCs w:val="32"/>
          <w:lang w:val="zh-CN" w:eastAsia="zh-CN" w:bidi="ar-SA"/>
        </w:rPr>
        <w:t>项目决策。</w:t>
      </w:r>
      <w:r>
        <w:rPr>
          <w:rFonts w:hint="eastAsia" w:ascii="Times New Roman" w:hAnsi="仿宋_GB2312" w:eastAsia="方正仿宋_GBK" w:cs="Times New Roman"/>
          <w:kern w:val="2"/>
          <w:sz w:val="32"/>
          <w:szCs w:val="32"/>
          <w:lang w:val="zh-CN" w:eastAsia="zh-CN" w:bidi="ar-SA"/>
        </w:rPr>
        <w:t>在部门项目预算编制过程中，充分征求各科室意见，形成</w:t>
      </w:r>
      <w:r>
        <w:rPr>
          <w:rFonts w:hint="eastAsia" w:ascii="Times New Roman" w:hAnsi="仿宋_GB2312" w:eastAsia="方正仿宋_GBK" w:cs="Times New Roman"/>
          <w:kern w:val="2"/>
          <w:sz w:val="32"/>
          <w:szCs w:val="32"/>
          <w:lang w:val="en-US" w:eastAsia="zh-CN" w:bidi="ar-SA"/>
        </w:rPr>
        <w:t>2023年部门预选项目，召开主任（扩大）会议研究审核，经主要领导审批后确定要编制的部门项目。对最终确定的部门项目进行市场调查和事前评估，科学设置项目预算绩效指标，经市财政局审核后进行</w:t>
      </w:r>
      <w:r>
        <w:rPr>
          <w:rFonts w:hint="eastAsia" w:ascii="Times New Roman" w:hAnsi="仿宋_GB2312" w:eastAsia="方正仿宋_GBK" w:cs="Times New Roman"/>
          <w:kern w:val="2"/>
          <w:sz w:val="32"/>
          <w:szCs w:val="32"/>
          <w:lang w:val="zh-CN" w:eastAsia="zh-CN" w:bidi="ar-SA"/>
        </w:rPr>
        <w:t>项目登记入库。</w:t>
      </w:r>
      <w:r>
        <w:rPr>
          <w:rFonts w:hint="eastAsia" w:ascii="Times New Roman" w:hAnsi="仿宋_GB2312" w:eastAsia="方正仿宋_GBK" w:cs="Times New Roman"/>
          <w:kern w:val="2"/>
          <w:sz w:val="32"/>
          <w:szCs w:val="32"/>
          <w:lang w:val="en-US" w:eastAsia="zh-CN" w:bidi="ar-SA"/>
        </w:rPr>
        <w:t>该项自评得分12分。</w:t>
      </w:r>
    </w:p>
    <w:p w14:paraId="666AD6C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3" w:firstLineChars="200"/>
        <w:contextualSpacing/>
        <w:jc w:val="both"/>
        <w:textAlignment w:val="auto"/>
        <w:outlineLvl w:val="9"/>
        <w:rPr>
          <w:rFonts w:hint="eastAsia" w:ascii="Times New Roman" w:hAnsi="仿宋_GB2312" w:eastAsia="方正仿宋_GBK" w:cs="Times New Roman"/>
          <w:kern w:val="2"/>
          <w:sz w:val="32"/>
          <w:szCs w:val="32"/>
          <w:lang w:val="zh-CN" w:eastAsia="zh-CN" w:bidi="ar-SA"/>
        </w:rPr>
      </w:pPr>
      <w:r>
        <w:rPr>
          <w:rFonts w:hint="eastAsia" w:ascii="Times New Roman" w:hAnsi="仿宋_GB2312" w:eastAsia="方正仿宋_GBK" w:cs="Times New Roman"/>
          <w:b/>
          <w:bCs/>
          <w:kern w:val="2"/>
          <w:sz w:val="32"/>
          <w:szCs w:val="32"/>
          <w:lang w:val="en-US" w:eastAsia="zh-CN" w:bidi="ar-SA"/>
        </w:rPr>
        <w:t>2.项目执行</w:t>
      </w:r>
      <w:r>
        <w:rPr>
          <w:rFonts w:hint="eastAsia" w:ascii="Times New Roman" w:hAnsi="仿宋_GB2312" w:eastAsia="方正仿宋_GBK" w:cs="Times New Roman"/>
          <w:kern w:val="2"/>
          <w:sz w:val="32"/>
          <w:szCs w:val="32"/>
          <w:lang w:val="zh-CN" w:eastAsia="zh-CN" w:bidi="ar-SA"/>
        </w:rPr>
        <w:t>。本部门</w:t>
      </w:r>
      <w:r>
        <w:rPr>
          <w:rFonts w:hint="eastAsia" w:ascii="Times New Roman" w:hAnsi="仿宋_GB2312" w:eastAsia="方正仿宋_GBK" w:cs="Times New Roman"/>
          <w:kern w:val="2"/>
          <w:sz w:val="32"/>
          <w:szCs w:val="32"/>
          <w:lang w:val="en-US" w:eastAsia="zh-CN" w:bidi="ar-SA"/>
        </w:rPr>
        <w:t>2个</w:t>
      </w:r>
      <w:r>
        <w:rPr>
          <w:rFonts w:hint="eastAsia" w:ascii="Times New Roman" w:hAnsi="仿宋_GB2312" w:eastAsia="方正仿宋_GBK" w:cs="Times New Roman"/>
          <w:kern w:val="2"/>
          <w:sz w:val="32"/>
          <w:szCs w:val="32"/>
          <w:lang w:val="zh-CN" w:eastAsia="zh-CN" w:bidi="ar-SA"/>
        </w:rPr>
        <w:t>预算项目实际列支内容与绩效目标设置方向基本相符，不存在部门预算项目调整情况，但本部门预算项目预算执行情况较差，项目预算结余率大于了</w:t>
      </w:r>
      <w:r>
        <w:rPr>
          <w:rFonts w:hint="eastAsia" w:ascii="Times New Roman" w:hAnsi="仿宋_GB2312" w:eastAsia="方正仿宋_GBK" w:cs="Times New Roman"/>
          <w:kern w:val="2"/>
          <w:sz w:val="32"/>
          <w:szCs w:val="32"/>
          <w:lang w:val="en-US" w:eastAsia="zh-CN" w:bidi="ar-SA"/>
        </w:rPr>
        <w:t>10%</w:t>
      </w:r>
      <w:r>
        <w:rPr>
          <w:rFonts w:hint="eastAsia" w:ascii="Times New Roman" w:hAnsi="仿宋_GB2312" w:eastAsia="方正仿宋_GBK" w:cs="Times New Roman"/>
          <w:kern w:val="2"/>
          <w:sz w:val="32"/>
          <w:szCs w:val="32"/>
          <w:lang w:val="zh-CN" w:eastAsia="zh-CN" w:bidi="ar-SA"/>
        </w:rPr>
        <w:t>。</w:t>
      </w:r>
      <w:r>
        <w:rPr>
          <w:rFonts w:hint="eastAsia" w:ascii="仿宋_GB2312" w:eastAsia="仿宋_GB2312"/>
          <w:sz w:val="32"/>
          <w:szCs w:val="32"/>
          <w:lang w:val="en-US" w:eastAsia="zh-CN"/>
        </w:rPr>
        <w:t>该项自评得</w:t>
      </w:r>
      <w:r>
        <w:rPr>
          <w:rFonts w:hint="eastAsia" w:ascii="Times New Roman" w:hAnsi="仿宋_GB2312" w:eastAsia="方正仿宋_GBK" w:cs="Times New Roman"/>
          <w:kern w:val="2"/>
          <w:sz w:val="32"/>
          <w:szCs w:val="32"/>
          <w:lang w:val="en-US" w:eastAsia="zh-CN" w:bidi="ar-SA"/>
        </w:rPr>
        <w:t>分8分。</w:t>
      </w:r>
    </w:p>
    <w:p w14:paraId="04A39B7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3" w:firstLineChars="200"/>
        <w:contextualSpacing/>
        <w:jc w:val="both"/>
        <w:textAlignment w:val="auto"/>
        <w:outlineLvl w:val="9"/>
        <w:rPr>
          <w:rFonts w:hint="eastAsia" w:ascii="Times New Roman" w:hAnsi="仿宋_GB2312" w:eastAsia="方正仿宋_GBK" w:cs="Times New Roman"/>
          <w:kern w:val="2"/>
          <w:sz w:val="32"/>
          <w:szCs w:val="32"/>
          <w:lang w:val="zh-CN" w:eastAsia="zh-CN" w:bidi="ar-SA"/>
        </w:rPr>
      </w:pPr>
      <w:r>
        <w:rPr>
          <w:rFonts w:hint="eastAsia" w:ascii="Times New Roman" w:hAnsi="仿宋_GB2312" w:eastAsia="方正仿宋_GBK" w:cs="Times New Roman"/>
          <w:b/>
          <w:bCs/>
          <w:kern w:val="2"/>
          <w:sz w:val="32"/>
          <w:szCs w:val="32"/>
          <w:lang w:val="en-US" w:eastAsia="zh-CN" w:bidi="ar-SA"/>
        </w:rPr>
        <w:t>3.</w:t>
      </w:r>
      <w:r>
        <w:rPr>
          <w:rFonts w:hint="eastAsia" w:ascii="Times New Roman" w:hAnsi="仿宋_GB2312" w:eastAsia="方正仿宋_GBK" w:cs="Times New Roman"/>
          <w:b/>
          <w:bCs/>
          <w:kern w:val="2"/>
          <w:sz w:val="32"/>
          <w:szCs w:val="32"/>
          <w:lang w:val="zh-CN" w:eastAsia="zh-CN" w:bidi="ar-SA"/>
        </w:rPr>
        <w:t>目标实现</w:t>
      </w:r>
      <w:r>
        <w:rPr>
          <w:rFonts w:hint="eastAsia" w:ascii="Times New Roman" w:hAnsi="仿宋_GB2312" w:eastAsia="方正仿宋_GBK" w:cs="Times New Roman"/>
          <w:kern w:val="2"/>
          <w:sz w:val="32"/>
          <w:szCs w:val="32"/>
          <w:lang w:val="zh-CN" w:eastAsia="zh-CN" w:bidi="ar-SA"/>
        </w:rPr>
        <w:t>。本部门</w:t>
      </w:r>
      <w:r>
        <w:rPr>
          <w:rFonts w:hint="eastAsia" w:ascii="Times New Roman" w:hAnsi="仿宋_GB2312" w:eastAsia="方正仿宋_GBK" w:cs="Times New Roman"/>
          <w:kern w:val="2"/>
          <w:sz w:val="32"/>
          <w:szCs w:val="32"/>
          <w:lang w:val="en-US" w:eastAsia="zh-CN" w:bidi="ar-SA"/>
        </w:rPr>
        <w:t>2个</w:t>
      </w:r>
      <w:r>
        <w:rPr>
          <w:rFonts w:hint="eastAsia" w:ascii="Times New Roman" w:hAnsi="仿宋_GB2312" w:eastAsia="方正仿宋_GBK" w:cs="Times New Roman"/>
          <w:kern w:val="2"/>
          <w:sz w:val="32"/>
          <w:szCs w:val="32"/>
          <w:lang w:val="zh-CN" w:eastAsia="zh-CN" w:bidi="ar-SA"/>
        </w:rPr>
        <w:t>预算项目目标全面完成，完成预期指标值的数量指标偏离度均小于30%，绩效目标的效益指标均达到预期目标。</w:t>
      </w:r>
      <w:r>
        <w:rPr>
          <w:rFonts w:hint="eastAsia" w:ascii="仿宋_GB2312" w:eastAsia="仿宋_GB2312"/>
          <w:sz w:val="32"/>
          <w:szCs w:val="32"/>
          <w:lang w:val="en-US" w:eastAsia="zh-CN"/>
        </w:rPr>
        <w:t>该项自</w:t>
      </w:r>
      <w:r>
        <w:rPr>
          <w:rFonts w:hint="eastAsia" w:ascii="Times New Roman" w:hAnsi="仿宋_GB2312" w:eastAsia="方正仿宋_GBK" w:cs="Times New Roman"/>
          <w:kern w:val="2"/>
          <w:sz w:val="32"/>
          <w:szCs w:val="32"/>
          <w:lang w:val="en-US" w:eastAsia="zh-CN" w:bidi="ar-SA"/>
        </w:rPr>
        <w:t>评得分11分。</w:t>
      </w:r>
    </w:p>
    <w:p w14:paraId="287459C5">
      <w:pPr>
        <w:pStyle w:val="34"/>
        <w:keepNext w:val="0"/>
        <w:keepLines w:val="0"/>
        <w:pageBreakBefore w:val="0"/>
        <w:kinsoku/>
        <w:overflowPunct/>
        <w:topLinePunct w:val="0"/>
        <w:autoSpaceDE/>
        <w:autoSpaceDN/>
        <w:bidi w:val="0"/>
        <w:adjustRightInd/>
        <w:snapToGrid/>
        <w:spacing w:line="550" w:lineRule="exact"/>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（三）重点领域绩效分析。</w:t>
      </w:r>
      <w:r>
        <w:rPr>
          <w:rFonts w:hint="eastAsia" w:ascii="Times New Roman" w:hAnsi="Times New Roman" w:eastAsia="方正仿宋_GBK" w:cs="Times New Roman"/>
          <w:kern w:val="2"/>
          <w:sz w:val="32"/>
          <w:szCs w:val="32"/>
          <w:lang w:val="en-US" w:eastAsia="zh-CN" w:bidi="ar-SA"/>
        </w:rPr>
        <w:t>2023年度本部门不涉及国有资本、债券资金、政府采购等重点领域预算。</w:t>
      </w:r>
    </w:p>
    <w:p w14:paraId="4017012E">
      <w:pPr>
        <w:pStyle w:val="34"/>
        <w:keepNext w:val="0"/>
        <w:keepLines w:val="0"/>
        <w:pageBreakBefore w:val="0"/>
        <w:kinsoku/>
        <w:overflowPunct/>
        <w:topLinePunct w:val="0"/>
        <w:autoSpaceDE/>
        <w:autoSpaceDN/>
        <w:bidi w:val="0"/>
        <w:adjustRightInd/>
        <w:snapToGrid/>
        <w:spacing w:line="550" w:lineRule="exact"/>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（四）绩效结果运用情况。</w:t>
      </w:r>
      <w:r>
        <w:rPr>
          <w:rFonts w:hint="eastAsia" w:ascii="Times New Roman" w:hAnsi="Times New Roman" w:eastAsia="方正仿宋_GBK" w:cs="Times New Roman"/>
          <w:kern w:val="2"/>
          <w:sz w:val="32"/>
          <w:szCs w:val="32"/>
          <w:lang w:val="en-US" w:eastAsia="zh-CN" w:bidi="ar-SA"/>
        </w:rPr>
        <w:t>根据市财政局要求，开展了市地志办的绩效目标编制、自评与监控工作，并按照要求向市财政局报送了绩效目标编制情况、自评与监控报告，并对存在问题提出了整改措施，将整改落实到位。在市政府门户网站公开预算、决算情况的同时，也公开了绩效编制或绩效自评的相关情况。在财政部门批复后二十日内向社会公开了市地志办预算、决算情况（包含绩效编制与评价情况）。</w:t>
      </w:r>
    </w:p>
    <w:p w14:paraId="6DB94AE5">
      <w:pPr>
        <w:keepNext w:val="0"/>
        <w:keepLines w:val="0"/>
        <w:pageBreakBefore w:val="0"/>
        <w:widowControl/>
        <w:kinsoku/>
        <w:wordWrap/>
        <w:overflowPunct/>
        <w:topLinePunct w:val="0"/>
        <w:autoSpaceDE/>
        <w:autoSpaceDN/>
        <w:bidi w:val="0"/>
        <w:adjustRightInd/>
        <w:snapToGrid/>
        <w:spacing w:line="550" w:lineRule="exact"/>
        <w:ind w:firstLine="640" w:firstLineChars="200"/>
        <w:contextualSpacing/>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四、评价结论及建议</w:t>
      </w:r>
    </w:p>
    <w:p w14:paraId="38B6C03E">
      <w:pPr>
        <w:keepNext w:val="0"/>
        <w:keepLines w:val="0"/>
        <w:pageBreakBefore w:val="0"/>
        <w:widowControl/>
        <w:kinsoku/>
        <w:wordWrap/>
        <w:overflowPunct/>
        <w:topLinePunct w:val="0"/>
        <w:autoSpaceDE/>
        <w:autoSpaceDN/>
        <w:bidi w:val="0"/>
        <w:adjustRightInd/>
        <w:snapToGrid/>
        <w:spacing w:line="550" w:lineRule="exact"/>
        <w:ind w:firstLine="640" w:firstLineChars="200"/>
        <w:contextualSpacing/>
        <w:jc w:val="left"/>
        <w:textAlignment w:val="auto"/>
        <w:rPr>
          <w:rFonts w:hint="default" w:ascii="Times New Roman" w:hAnsi="Times New Roman" w:eastAsia="方正仿宋_GBK" w:cs="Times New Roman"/>
          <w:kern w:val="2"/>
          <w:sz w:val="32"/>
          <w:szCs w:val="32"/>
          <w:lang w:val="zh-CN" w:eastAsia="zh-CN" w:bidi="ar-SA"/>
        </w:rPr>
      </w:pPr>
      <w:r>
        <w:rPr>
          <w:rFonts w:hint="default" w:ascii="方正楷体_GBK" w:hAnsi="方正楷体_GBK" w:eastAsia="方正楷体_GBK" w:cs="方正楷体_GBK"/>
          <w:kern w:val="2"/>
          <w:sz w:val="32"/>
          <w:szCs w:val="32"/>
          <w:lang w:val="zh-CN" w:eastAsia="zh-CN" w:bidi="ar-SA"/>
        </w:rPr>
        <w:t>（一）评价结论</w:t>
      </w:r>
      <w:r>
        <w:rPr>
          <w:rFonts w:hint="eastAsia" w:ascii="方正楷体_GBK" w:hAnsi="方正楷体_GBK" w:eastAsia="方正楷体_GBK" w:cs="方正楷体_GBK"/>
          <w:kern w:val="2"/>
          <w:sz w:val="32"/>
          <w:szCs w:val="32"/>
          <w:lang w:val="zh-CN" w:eastAsia="zh-CN" w:bidi="ar-SA"/>
        </w:rPr>
        <w:t>。</w:t>
      </w:r>
      <w:r>
        <w:rPr>
          <w:rFonts w:hint="eastAsia" w:ascii="Times New Roman" w:hAnsi="Times New Roman" w:eastAsia="方正仿宋_GBK" w:cs="Times New Roman"/>
          <w:kern w:val="2"/>
          <w:sz w:val="32"/>
          <w:szCs w:val="32"/>
          <w:lang w:val="en-US" w:eastAsia="zh-CN" w:bidi="ar-SA"/>
        </w:rPr>
        <w:t>2023年，市地志办在市委、市政府的坚强领导和各级各方的大力支持下，领导和带领全办职工，紧紧围绕市委、市政府中心工作，认真</w:t>
      </w:r>
      <w:r>
        <w:rPr>
          <w:rFonts w:hint="default" w:ascii="Times New Roman" w:hAnsi="Times New Roman" w:eastAsia="方正仿宋_GBK" w:cs="Times New Roman"/>
          <w:kern w:val="2"/>
          <w:sz w:val="32"/>
          <w:szCs w:val="32"/>
          <w:lang w:val="en-US" w:eastAsia="zh-CN" w:bidi="ar-SA"/>
        </w:rPr>
        <w:t>履职尽责</w:t>
      </w:r>
      <w:r>
        <w:rPr>
          <w:rFonts w:hint="eastAsia" w:ascii="Times New Roman" w:hAnsi="Times New Roman" w:eastAsia="方正仿宋_GBK" w:cs="Times New Roman"/>
          <w:kern w:val="2"/>
          <w:sz w:val="32"/>
          <w:szCs w:val="32"/>
          <w:lang w:val="en-US" w:eastAsia="zh-CN" w:bidi="ar-SA"/>
        </w:rPr>
        <w:t>、守正创新</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全力做好各项地方志工作，志鉴质量明显提升，各项目标任务圆满完成，为服务全市经济社会科学发展贡献了方志智慧。</w:t>
      </w:r>
    </w:p>
    <w:p w14:paraId="3773D707">
      <w:pPr>
        <w:keepNext w:val="0"/>
        <w:keepLines w:val="0"/>
        <w:pageBreakBefore w:val="0"/>
        <w:widowControl/>
        <w:kinsoku/>
        <w:wordWrap/>
        <w:overflowPunct/>
        <w:topLinePunct w:val="0"/>
        <w:autoSpaceDE/>
        <w:autoSpaceDN/>
        <w:bidi w:val="0"/>
        <w:adjustRightInd/>
        <w:snapToGrid/>
        <w:spacing w:line="550" w:lineRule="exact"/>
        <w:ind w:firstLine="640" w:firstLineChars="200"/>
        <w:contextualSpacing/>
        <w:jc w:val="left"/>
        <w:textAlignment w:val="auto"/>
        <w:rPr>
          <w:rFonts w:hint="default" w:ascii="Times New Roman" w:hAnsi="Times New Roman" w:eastAsia="方正仿宋_GBK" w:cs="Times New Roman"/>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（二）</w:t>
      </w:r>
      <w:r>
        <w:rPr>
          <w:rFonts w:hint="default" w:ascii="方正楷体_GBK" w:hAnsi="方正楷体_GBK" w:eastAsia="方正楷体_GBK" w:cs="方正楷体_GBK"/>
          <w:kern w:val="2"/>
          <w:sz w:val="32"/>
          <w:szCs w:val="32"/>
          <w:lang w:val="zh-CN" w:eastAsia="zh-CN" w:bidi="ar-SA"/>
        </w:rPr>
        <w:t>存在问题</w:t>
      </w:r>
      <w:r>
        <w:rPr>
          <w:rFonts w:hint="eastAsia" w:ascii="方正楷体_GBK" w:hAnsi="方正楷体_GBK" w:eastAsia="方正楷体_GBK" w:cs="方正楷体_GBK"/>
          <w:kern w:val="2"/>
          <w:sz w:val="32"/>
          <w:szCs w:val="32"/>
          <w:lang w:val="zh-CN" w:eastAsia="zh-CN" w:bidi="ar-SA"/>
        </w:rPr>
        <w:t>。</w:t>
      </w:r>
      <w:r>
        <w:rPr>
          <w:rFonts w:hint="eastAsia" w:ascii="Times New Roman" w:hAnsi="Times New Roman" w:eastAsia="方正仿宋_GBK" w:cs="Times New Roman"/>
          <w:kern w:val="2"/>
          <w:sz w:val="32"/>
          <w:szCs w:val="32"/>
          <w:lang w:val="en-US" w:eastAsia="zh-CN" w:bidi="ar-SA"/>
        </w:rPr>
        <w:t>对新《预算法》的理解不够，编制预算时考虑不足，出现新情况时又没及时申请预算调整，仍存在相近科目交叉使用情况。</w:t>
      </w:r>
    </w:p>
    <w:p w14:paraId="03825E4E">
      <w:pPr>
        <w:keepNext w:val="0"/>
        <w:keepLines w:val="0"/>
        <w:pageBreakBefore w:val="0"/>
        <w:widowControl/>
        <w:kinsoku/>
        <w:wordWrap/>
        <w:overflowPunct/>
        <w:topLinePunct w:val="0"/>
        <w:autoSpaceDE/>
        <w:autoSpaceDN/>
        <w:bidi w:val="0"/>
        <w:adjustRightInd/>
        <w:snapToGrid/>
        <w:spacing w:line="550" w:lineRule="exact"/>
        <w:ind w:firstLine="640" w:firstLineChars="200"/>
        <w:contextualSpacing/>
        <w:jc w:val="left"/>
        <w:textAlignment w:val="auto"/>
        <w:rPr>
          <w:rFonts w:hint="eastAsia"/>
          <w:lang w:val="en-US" w:eastAsia="zh-CN"/>
        </w:rPr>
      </w:pPr>
      <w:r>
        <w:rPr>
          <w:rFonts w:hint="default" w:ascii="方正楷体_GBK" w:hAnsi="方正楷体_GBK" w:eastAsia="方正楷体_GBK" w:cs="方正楷体_GBK"/>
          <w:kern w:val="2"/>
          <w:sz w:val="32"/>
          <w:szCs w:val="32"/>
          <w:lang w:val="zh-CN" w:eastAsia="zh-CN" w:bidi="ar-SA"/>
        </w:rPr>
        <w:t>（三）改进建议。</w:t>
      </w:r>
      <w:r>
        <w:rPr>
          <w:rFonts w:hint="eastAsia" w:ascii="Times New Roman" w:hAnsi="Times New Roman" w:eastAsia="方正仿宋_GBK" w:cs="Times New Roman"/>
          <w:kern w:val="2"/>
          <w:sz w:val="32"/>
          <w:szCs w:val="32"/>
          <w:lang w:val="en-US" w:eastAsia="zh-CN" w:bidi="ar-SA"/>
        </w:rPr>
        <w:t>一是加强预算编制工作。立足单位实际，积极做好项目的前期调研，准确掌握单位人员、资产等基本信息，准确把握单位业务开展和事业发展动向以及资金需要情况，按照新《预算法》及其实施条例的相关规定，根据市地志办的工作目标和计划，结合上一年度预算执行情况和本年度预算收支变化因素，科学合理编制财政资金预算，细化预算指标，尽量减少预算调整，增强预算的严肃性，不断提高预算管理水平。二是加强资金使用效益。综合协调业务部门，加强对物资采购、使用对象筛选等工作的力度，督促相关科室人员及时办理相关业务，努力推进预算执行进度，大力推行公务卡的使用，坚持厉行节约，做到当年预算当年支付，提高预算资金使用率，发挥预算资金的使用效益。三是增强预算执行刚度。加强新《预算法》和《事业单位会计制度》等学习培训，进一步规范预算收支核算，制定和完善项目支出等各项支出标准，严格按照标准和进度执行预算，尽可能地做到决算与预算相衔接，增强预算的约束力和严肃性。同时，加强预算执行分析，及时了解并合理调整、纠正预算执行偏差，提高市地志办预算管理力度和水平。</w:t>
      </w:r>
    </w:p>
    <w:p w14:paraId="6032A188">
      <w:pPr>
        <w:pStyle w:val="9"/>
        <w:keepNext w:val="0"/>
        <w:keepLines w:val="0"/>
        <w:pageBreakBefore w:val="0"/>
        <w:kinsoku/>
        <w:overflowPunct/>
        <w:topLinePunct w:val="0"/>
        <w:autoSpaceDE/>
        <w:autoSpaceDN/>
        <w:bidi w:val="0"/>
        <w:adjustRightInd/>
        <w:snapToGrid/>
        <w:spacing w:line="550" w:lineRule="exact"/>
        <w:rPr>
          <w:rFonts w:hint="eastAsia"/>
          <w:lang w:val="en-US" w:eastAsia="zh-CN"/>
        </w:rPr>
      </w:pPr>
    </w:p>
    <w:p w14:paraId="4A1DD8BB">
      <w:pPr>
        <w:keepNext w:val="0"/>
        <w:keepLines w:val="0"/>
        <w:pageBreakBefore w:val="0"/>
        <w:widowControl/>
        <w:kinsoku/>
        <w:overflowPunct/>
        <w:topLinePunct w:val="0"/>
        <w:autoSpaceDE/>
        <w:autoSpaceDN/>
        <w:bidi w:val="0"/>
        <w:adjustRightInd/>
        <w:snapToGrid/>
        <w:spacing w:line="55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附表：</w:t>
      </w:r>
      <w:r>
        <w:rPr>
          <w:rFonts w:hint="default" w:ascii="Times New Roman" w:hAnsi="Times New Roman" w:eastAsia="方正仿宋_GBK" w:cs="Times New Roman"/>
          <w:sz w:val="32"/>
          <w:szCs w:val="32"/>
          <w:lang w:val="en-US" w:eastAsia="zh-CN"/>
        </w:rPr>
        <w:t>部门整体支出绩效目标完成情况自评表</w:t>
      </w:r>
      <w:r>
        <w:rPr>
          <w:rFonts w:hint="eastAsia" w:ascii="Times New Roman" w:hAnsi="Times New Roman" w:eastAsia="方正仿宋_GBK" w:cs="Times New Roman"/>
          <w:sz w:val="32"/>
          <w:szCs w:val="32"/>
          <w:lang w:val="en-US" w:eastAsia="zh-CN"/>
        </w:rPr>
        <w:t>与项目支出绩效自评表（2023年度）</w:t>
      </w:r>
    </w:p>
    <w:p w14:paraId="3C226C33">
      <w:pPr>
        <w:keepNext w:val="0"/>
        <w:keepLines w:val="0"/>
        <w:pageBreakBefore w:val="0"/>
        <w:kinsoku/>
        <w:wordWrap w:val="0"/>
        <w:overflowPunct/>
        <w:topLinePunct w:val="0"/>
        <w:autoSpaceDE/>
        <w:autoSpaceDN/>
        <w:bidi w:val="0"/>
        <w:adjustRightInd/>
        <w:snapToGrid/>
        <w:spacing w:line="550" w:lineRule="exact"/>
        <w:jc w:val="right"/>
        <w:rPr>
          <w:rFonts w:ascii="仿宋_GB2312" w:eastAsia="仿宋_GB2312"/>
          <w:sz w:val="32"/>
          <w:szCs w:val="32"/>
        </w:rPr>
      </w:pPr>
      <w:r>
        <w:rPr>
          <w:rFonts w:ascii="Times New Roman" w:hAnsi="Times New Roman"/>
          <w:b/>
          <w:sz w:val="44"/>
          <w:szCs w:val="44"/>
        </w:rPr>
        <w:br w:type="page"/>
      </w:r>
    </w:p>
    <w:p w14:paraId="1D852A93">
      <w:pPr>
        <w:pStyle w:val="9"/>
        <w:rPr>
          <w:rFonts w:hint="eastAsia"/>
        </w:rPr>
      </w:pPr>
    </w:p>
    <w:p w14:paraId="673554E4">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部门整体支出绩效目标完成情况自评表</w:t>
      </w:r>
    </w:p>
    <w:p w14:paraId="536C215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（2023年度）</w:t>
      </w:r>
    </w:p>
    <w:tbl>
      <w:tblPr>
        <w:tblStyle w:val="15"/>
        <w:tblpPr w:leftFromText="180" w:rightFromText="180" w:vertAnchor="text" w:horzAnchor="page" w:tblpX="1330" w:tblpY="70"/>
        <w:tblOverlap w:val="never"/>
        <w:tblW w:w="94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5"/>
        <w:gridCol w:w="930"/>
        <w:gridCol w:w="1050"/>
        <w:gridCol w:w="1650"/>
        <w:gridCol w:w="840"/>
        <w:gridCol w:w="885"/>
        <w:gridCol w:w="795"/>
        <w:gridCol w:w="480"/>
        <w:gridCol w:w="1756"/>
      </w:tblGrid>
      <w:tr w14:paraId="0196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767C1">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部门名称</w:t>
            </w:r>
          </w:p>
        </w:tc>
        <w:tc>
          <w:tcPr>
            <w:tcW w:w="6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37B2F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广安市地方志办公室部门</w:t>
            </w:r>
          </w:p>
        </w:tc>
      </w:tr>
      <w:tr w14:paraId="2CD9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2906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年度部门整体支出预算</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1408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资金总额</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1097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财政拨款</w:t>
            </w:r>
          </w:p>
        </w:tc>
        <w:tc>
          <w:tcPr>
            <w:tcW w:w="3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6798E">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其他资金</w:t>
            </w:r>
          </w:p>
        </w:tc>
      </w:tr>
      <w:tr w14:paraId="5E58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43DE">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B814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173.94</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826C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173.94</w:t>
            </w:r>
          </w:p>
        </w:tc>
        <w:tc>
          <w:tcPr>
            <w:tcW w:w="3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40E2D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r>
      <w:tr w14:paraId="524E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EDE">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年度总体目标</w:t>
            </w:r>
          </w:p>
        </w:tc>
        <w:tc>
          <w:tcPr>
            <w:tcW w:w="83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889CF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依据《地方志工作条例》《四川省地方志工作条例》，按照广安市地方志事业发展“十四五”规划部署，创新做好《广安年鉴（2023）》的编纂出版工作，编纂出版《广安邓氏文史》，指导督促全市乡镇志、村（社区）志编纂，强化方志资源开发利用，做好市委、市政府交办的其他工作。</w:t>
            </w:r>
          </w:p>
        </w:tc>
      </w:tr>
      <w:tr w14:paraId="2EBE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6FCC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年度主要任务</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0BBF7">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任务名称</w:t>
            </w:r>
          </w:p>
        </w:tc>
        <w:tc>
          <w:tcPr>
            <w:tcW w:w="6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70CF2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主要内容</w:t>
            </w:r>
          </w:p>
        </w:tc>
      </w:tr>
      <w:tr w14:paraId="26D7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CA85">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32A1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行政运行</w:t>
            </w:r>
          </w:p>
        </w:tc>
        <w:tc>
          <w:tcPr>
            <w:tcW w:w="6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A7057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保障部门（单位）机关人员经费和日常办公运转。</w:t>
            </w:r>
          </w:p>
        </w:tc>
      </w:tr>
      <w:tr w14:paraId="2D6C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238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973B5">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广安年鉴编纂出版经费</w:t>
            </w:r>
          </w:p>
        </w:tc>
        <w:tc>
          <w:tcPr>
            <w:tcW w:w="6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95F3D5">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搜集全市各行各业图文资料，编纂出版《广安年鉴（2023）》500册。</w:t>
            </w:r>
          </w:p>
        </w:tc>
      </w:tr>
      <w:tr w14:paraId="2ECD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44FD">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4364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地情文献编纂出版经费</w:t>
            </w:r>
          </w:p>
        </w:tc>
        <w:tc>
          <w:tcPr>
            <w:tcW w:w="6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387D7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搜集广安牌坊邓氏家族相关图文史料，编纂出版《广安邓氏文史》500册。</w:t>
            </w:r>
          </w:p>
        </w:tc>
      </w:tr>
      <w:tr w14:paraId="41DE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93C3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年度绩效指标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DE3D">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一级指标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6B6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二级指标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063D">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三级指标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4BC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6B7A">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绩效指标值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45EA">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绩效度量单位</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1E10A51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权重</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32A2C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实际完成指标值</w:t>
            </w:r>
          </w:p>
        </w:tc>
      </w:tr>
      <w:tr w14:paraId="5316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D4F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A00D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产出指标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3BB8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数量指标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4F3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编纂出版地情文献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9A0A">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E07">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03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部</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79B3820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5456905">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1C5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407B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F31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3CC1">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D3B1">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编纂出版广安年鉴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CBC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097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D89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部</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0B5426E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0CB6AD8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5D33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8AB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4245">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6EB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68EE">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5"/>
                <w:szCs w:val="15"/>
                <w:u w:val="none"/>
                <w:lang w:val="en-US" w:eastAsia="zh-CN" w:bidi="ar"/>
              </w:rPr>
              <w:t>指导督促全市乡镇志、村（社区）志编纂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968E">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90A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1293">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部</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104211C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72BF9CD">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r>
      <w:tr w14:paraId="1CF5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6E2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4BB1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1542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D28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达到印刷出版行业标准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532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0E9F">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A933">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77F3EEEE">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2C1A331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63CF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DAC5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238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96E1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7981">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图文差错率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D45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C3C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E8A">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0E5ACE73">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325295CF">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0.01</w:t>
            </w:r>
          </w:p>
        </w:tc>
      </w:tr>
      <w:tr w14:paraId="40D0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E092A">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49BA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CDB63">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时效指标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B233">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完成地情文献编纂出版时限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684A">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CE2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365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5B3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天</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5B3DB93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AFF2DC1">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r>
      <w:tr w14:paraId="7B18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5F97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A20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A2D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101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完成广安年鉴编纂出版时限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CF0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155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365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C07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天</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2B0871B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0DEDF9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365</w:t>
            </w:r>
          </w:p>
        </w:tc>
      </w:tr>
      <w:tr w14:paraId="27DF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948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AE25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效益指标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6298F">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7E2D">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查阅量增幅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7A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D43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CC6F">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234E35F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4EB2986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640B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ECD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8297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B60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F47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社会大众关注率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A67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0405">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0FE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6196236A">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10FEBC1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r w14:paraId="4D70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63B6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77CF">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满意度指标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70A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5"/>
                <w:szCs w:val="15"/>
                <w:u w:val="none"/>
                <w:lang w:val="en-US" w:eastAsia="zh-CN" w:bidi="ar"/>
              </w:rPr>
              <w:t>服务对象满意度指标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633D">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读者满意率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99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6F01">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85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743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6385727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7E2C1D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r>
      <w:tr w14:paraId="5E71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B25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093AD">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成本指标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00EB5">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B165">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地情文献编纂出版经费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648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2AD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05F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4AE943C3">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90D8887">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9.69</w:t>
            </w:r>
          </w:p>
        </w:tc>
      </w:tr>
      <w:tr w14:paraId="5E31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5DA7">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C5E4">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AAF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AA5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人员经费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1228">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683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1178603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DD6A">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72239CD7">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416C436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158.87</w:t>
            </w:r>
            <w:r>
              <w:rPr>
                <w:rFonts w:hint="eastAsia" w:ascii="宋体" w:hAnsi="宋体" w:eastAsia="宋体" w:cs="宋体"/>
                <w:i w:val="0"/>
                <w:iCs w:val="0"/>
                <w:color w:val="000000"/>
                <w:kern w:val="0"/>
                <w:sz w:val="18"/>
                <w:szCs w:val="18"/>
                <w:u w:val="none"/>
                <w:lang w:val="en-US" w:eastAsia="zh-CN" w:bidi="ar"/>
              </w:rPr>
              <w:t>，因2月调入4人，增加人员经费</w:t>
            </w:r>
          </w:p>
        </w:tc>
      </w:tr>
      <w:tr w14:paraId="3315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14F97">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7C8B6">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5A1C">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D21">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广安年鉴编纂出版经费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F831">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39F3">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110000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A30E">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1827B102">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55031CF7">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9.26</w:t>
            </w:r>
          </w:p>
        </w:tc>
      </w:tr>
      <w:tr w14:paraId="3580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EF9E">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21F5">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31820">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A0A7">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公用经费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1B6E">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376D">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330823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1BFB">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482BE859">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756" w:type="dxa"/>
            <w:tcBorders>
              <w:top w:val="single" w:color="000000" w:sz="4" w:space="0"/>
              <w:left w:val="single" w:color="auto" w:sz="4" w:space="0"/>
              <w:bottom w:val="single" w:color="000000" w:sz="4" w:space="0"/>
              <w:right w:val="single" w:color="000000" w:sz="4" w:space="0"/>
            </w:tcBorders>
            <w:shd w:val="clear" w:color="auto" w:fill="auto"/>
            <w:vAlign w:val="center"/>
          </w:tcPr>
          <w:p w14:paraId="7959BBFF">
            <w:pPr>
              <w:pStyle w:val="9"/>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36.76</w:t>
            </w:r>
            <w:r>
              <w:rPr>
                <w:rFonts w:hint="eastAsia" w:ascii="宋体" w:hAnsi="宋体" w:eastAsia="宋体" w:cs="宋体"/>
                <w:i w:val="0"/>
                <w:iCs w:val="0"/>
                <w:color w:val="000000"/>
                <w:kern w:val="0"/>
                <w:sz w:val="18"/>
                <w:szCs w:val="18"/>
                <w:u w:val="none"/>
                <w:lang w:val="en-US" w:eastAsia="zh-CN" w:bidi="ar"/>
              </w:rPr>
              <w:t>，因2月调入4人，增加公用经费</w:t>
            </w:r>
          </w:p>
        </w:tc>
      </w:tr>
    </w:tbl>
    <w:p w14:paraId="3A359554">
      <w:pPr>
        <w:pStyle w:val="9"/>
      </w:pPr>
    </w:p>
    <w:p w14:paraId="5B7CAF6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0"/>
        <w:rPr>
          <w:rFonts w:hint="eastAsia" w:ascii="Times New Roman" w:hAnsi="Times New Roman"/>
          <w:sz w:val="32"/>
          <w:szCs w:val="32"/>
        </w:rPr>
      </w:pPr>
      <w:bookmarkStart w:id="53" w:name="_Toc15396618"/>
      <w:r>
        <w:rPr>
          <w:rFonts w:ascii="Times New Roman" w:hAnsi="Times New Roman"/>
          <w:b/>
          <w:sz w:val="44"/>
          <w:szCs w:val="44"/>
        </w:rPr>
        <w:br w:type="page"/>
      </w:r>
    </w:p>
    <w:p w14:paraId="04F21FD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outlineLvl w:val="0"/>
        <w:rPr>
          <w:rFonts w:hint="eastAsia" w:ascii="Times New Roman" w:hAnsi="Times New Roman"/>
          <w:sz w:val="32"/>
          <w:szCs w:val="32"/>
        </w:rPr>
      </w:pPr>
      <w:r>
        <w:rPr>
          <w:rFonts w:hint="eastAsia" w:ascii="Times New Roman" w:hAnsi="Times New Roman"/>
          <w:sz w:val="32"/>
          <w:szCs w:val="32"/>
        </w:rPr>
        <w:t>部门预算项目支出绩效自评表</w:t>
      </w:r>
      <w:r>
        <w:rPr>
          <w:rFonts w:hint="eastAsia" w:ascii="Times New Roman" w:hAnsi="Times New Roman"/>
          <w:sz w:val="32"/>
          <w:szCs w:val="32"/>
          <w:lang w:val="en-US" w:eastAsia="zh-CN"/>
        </w:rPr>
        <w:t>（2023年度）</w:t>
      </w:r>
    </w:p>
    <w:tbl>
      <w:tblPr>
        <w:tblStyle w:val="15"/>
        <w:tblW w:w="10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946"/>
        <w:gridCol w:w="838"/>
        <w:gridCol w:w="1072"/>
        <w:gridCol w:w="757"/>
        <w:gridCol w:w="740"/>
        <w:gridCol w:w="671"/>
        <w:gridCol w:w="982"/>
        <w:gridCol w:w="1014"/>
        <w:gridCol w:w="1048"/>
        <w:gridCol w:w="1619"/>
      </w:tblGrid>
      <w:tr w14:paraId="5FFE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0F91F">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7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73978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21"/>
                <w:szCs w:val="21"/>
                <w:u w:val="none"/>
                <w:lang w:val="en-US" w:eastAsia="zh-CN" w:bidi="ar"/>
              </w:rPr>
              <w:t>51160023T000008294498-地情文献编纂印刷出版经费</w:t>
            </w:r>
          </w:p>
        </w:tc>
      </w:tr>
      <w:tr w14:paraId="0ACC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2F0F4">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CE0E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广安市地方志办公室部门</w:t>
            </w:r>
          </w:p>
        </w:tc>
        <w:tc>
          <w:tcPr>
            <w:tcW w:w="982" w:type="dxa"/>
            <w:tcBorders>
              <w:top w:val="nil"/>
              <w:left w:val="nil"/>
              <w:bottom w:val="nil"/>
              <w:right w:val="nil"/>
            </w:tcBorders>
            <w:shd w:val="clear" w:color="auto" w:fill="auto"/>
            <w:vAlign w:val="center"/>
          </w:tcPr>
          <w:p w14:paraId="753FA5C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119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广安市地方志办公室</w:t>
            </w:r>
          </w:p>
        </w:tc>
      </w:tr>
      <w:tr w14:paraId="6E43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10CE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C7F5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0A0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1AB9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8FD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6521">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4677">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4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3EA75">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按《四川省地方志工作条例》规定要求，计划每年编纂出版1部地情文献书籍。2023年底前完成《广安邓氏文史》（暂定名）编纂出版发行，共印刷500册，差错率控制在0.01%之内。</w:t>
            </w:r>
          </w:p>
        </w:tc>
        <w:tc>
          <w:tcPr>
            <w:tcW w:w="4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048B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2023年8月完成印刷出版，共印刷500册，差错率在0.01%之内。</w:t>
            </w:r>
          </w:p>
        </w:tc>
      </w:tr>
      <w:tr w14:paraId="7246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D7E59">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AFDF">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7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3ECC60">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2022年10月启动《广安邓氏文史》编纂工作，2023年初形成总纂初稿，同时实施单位内控采购确定了印刷出版中标商，经多次召开专家评审会，修改完善后形成总纂终审稿，8月交付印刷厂印刷出版。</w:t>
            </w:r>
          </w:p>
        </w:tc>
      </w:tr>
      <w:tr w14:paraId="5A73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AAB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15D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6D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C5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954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62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29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57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58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5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79C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74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40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55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47A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E4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80.76%</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3A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ECB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7E28A">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黑体" w:hAnsi="黑体" w:eastAsia="黑体" w:cs="黑体"/>
                <w:i/>
                <w:iCs/>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严格按照单位内控制度进行采购，通过竞争性谈判方式确定中标单位，较大地降低了该项目印刷出版成本，节约财政预算资金。</w:t>
            </w:r>
          </w:p>
        </w:tc>
      </w:tr>
      <w:tr w14:paraId="6BFE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285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6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89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8A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8EF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9.69</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BE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80.76%</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AE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52E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ADC5">
            <w:pPr>
              <w:keepNext w:val="0"/>
              <w:keepLines w:val="0"/>
              <w:pageBreakBefore w:val="0"/>
              <w:widowControl/>
              <w:kinsoku/>
              <w:wordWrap/>
              <w:overflowPunct/>
              <w:topLinePunct w:val="0"/>
              <w:autoSpaceDE/>
              <w:autoSpaceDN/>
              <w:bidi w:val="0"/>
              <w:adjustRightInd/>
              <w:snapToGrid w:val="0"/>
              <w:rPr>
                <w:rFonts w:hint="default" w:ascii="黑体" w:hAnsi="黑体" w:eastAsia="黑体" w:cs="黑体"/>
                <w:i/>
                <w:iCs/>
                <w:color w:val="000000"/>
                <w:sz w:val="18"/>
                <w:szCs w:val="18"/>
                <w:u w:val="none"/>
              </w:rPr>
            </w:pPr>
          </w:p>
        </w:tc>
      </w:tr>
      <w:tr w14:paraId="7A87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F9C7">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4E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AF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63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156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58E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8F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1A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3B71">
            <w:pPr>
              <w:keepNext w:val="0"/>
              <w:keepLines w:val="0"/>
              <w:pageBreakBefore w:val="0"/>
              <w:widowControl/>
              <w:kinsoku/>
              <w:wordWrap/>
              <w:overflowPunct/>
              <w:topLinePunct w:val="0"/>
              <w:autoSpaceDE/>
              <w:autoSpaceDN/>
              <w:bidi w:val="0"/>
              <w:adjustRightInd/>
              <w:snapToGrid w:val="0"/>
              <w:rPr>
                <w:rFonts w:hint="default" w:ascii="黑体" w:hAnsi="黑体" w:eastAsia="黑体" w:cs="黑体"/>
                <w:i/>
                <w:iCs/>
                <w:color w:val="000000"/>
                <w:sz w:val="18"/>
                <w:szCs w:val="18"/>
                <w:u w:val="none"/>
              </w:rPr>
            </w:pPr>
          </w:p>
        </w:tc>
      </w:tr>
      <w:tr w14:paraId="36B6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E53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46C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A2A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DF3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923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D1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92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D4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FD9E">
            <w:pPr>
              <w:keepNext w:val="0"/>
              <w:keepLines w:val="0"/>
              <w:pageBreakBefore w:val="0"/>
              <w:widowControl/>
              <w:kinsoku/>
              <w:wordWrap/>
              <w:overflowPunct/>
              <w:topLinePunct w:val="0"/>
              <w:autoSpaceDE/>
              <w:autoSpaceDN/>
              <w:bidi w:val="0"/>
              <w:adjustRightInd/>
              <w:snapToGrid w:val="0"/>
              <w:rPr>
                <w:rFonts w:hint="default" w:ascii="黑体" w:hAnsi="黑体" w:eastAsia="黑体" w:cs="黑体"/>
                <w:i/>
                <w:iCs/>
                <w:color w:val="000000"/>
                <w:sz w:val="18"/>
                <w:szCs w:val="18"/>
                <w:u w:val="none"/>
              </w:rPr>
            </w:pPr>
          </w:p>
        </w:tc>
      </w:tr>
      <w:tr w14:paraId="3E1C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E05D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E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73FA">
            <w:pPr>
              <w:keepNext w:val="0"/>
              <w:keepLines w:val="0"/>
              <w:pageBreakBefore w:val="0"/>
              <w:widowControl/>
              <w:kinsoku/>
              <w:wordWrap/>
              <w:overflowPunct/>
              <w:topLinePunct w:val="0"/>
              <w:autoSpaceDE/>
              <w:autoSpaceDN/>
              <w:bidi w:val="0"/>
              <w:adjustRightInd/>
              <w:snapToGrid w:val="0"/>
              <w:jc w:val="center"/>
              <w:rPr>
                <w:rFonts w:hint="eastAsia" w:ascii="微软雅黑" w:hAnsi="微软雅黑" w:eastAsia="微软雅黑" w:cs="微软雅黑"/>
                <w:i/>
                <w:iCs/>
                <w:color w:val="000000"/>
                <w:sz w:val="16"/>
                <w:szCs w:val="16"/>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3CBF">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2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482C4">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46CC">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7E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C4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13B2">
            <w:pPr>
              <w:keepNext w:val="0"/>
              <w:keepLines w:val="0"/>
              <w:pageBreakBefore w:val="0"/>
              <w:widowControl/>
              <w:kinsoku/>
              <w:wordWrap/>
              <w:overflowPunct/>
              <w:topLinePunct w:val="0"/>
              <w:autoSpaceDE/>
              <w:autoSpaceDN/>
              <w:bidi w:val="0"/>
              <w:adjustRightInd/>
              <w:snapToGrid w:val="0"/>
              <w:rPr>
                <w:rFonts w:hint="default" w:ascii="黑体" w:hAnsi="黑体" w:eastAsia="黑体" w:cs="黑体"/>
                <w:i/>
                <w:iCs/>
                <w:color w:val="000000"/>
                <w:sz w:val="18"/>
                <w:szCs w:val="18"/>
                <w:u w:val="none"/>
              </w:rPr>
            </w:pPr>
          </w:p>
        </w:tc>
      </w:tr>
      <w:tr w14:paraId="33B7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9DC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82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2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C1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65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72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5C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4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93C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4D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F7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7C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B7A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BA7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46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E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印刷出版册数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42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9C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50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9750">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47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3E9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E259">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21E1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1BC0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80D37">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60B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2C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印刷出版达标率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09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5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8C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777">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C9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DE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4ACD">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792B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31C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42C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5024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10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图文差错率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5A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6F7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F1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34F8">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94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2C8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B92">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150A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4B7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D33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5C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1F8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完成编纂出版时限</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65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70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E9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5A4E">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11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79E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ECDE">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5101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620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27A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009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85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社会大众关注率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7B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78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65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269C">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95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1E4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ED8E">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4794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FC64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CCC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03AA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D1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查阅量增幅</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239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46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B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804F">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61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D83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D4DA">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1AF4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2B68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B3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C1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92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读者满意率</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74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4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BC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9ABE">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BE3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7063">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8A89">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5C4E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40D5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98E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6BC3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9F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编纂工作费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69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95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E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163A">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FF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8D9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7411">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4209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85E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9D7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7F1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6D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印刷出版费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63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2F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6E0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2256">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75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E62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3572">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04C3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6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E55B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C5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DAE">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670">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7BED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C5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290868">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《广安邓氏文史》编纂出版项目预算执行率80.76%，节约财政预算资金，各项绩效指标全部完成，较圆满实现了绩效目标。</w:t>
            </w:r>
          </w:p>
        </w:tc>
      </w:tr>
      <w:tr w14:paraId="0087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0A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FD25D">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预算执行率未达90%。</w:t>
            </w:r>
          </w:p>
        </w:tc>
      </w:tr>
      <w:tr w14:paraId="07D3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B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E0C32E">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加强预算前市场调研，进一步提升预算准确度。</w:t>
            </w:r>
          </w:p>
        </w:tc>
      </w:tr>
    </w:tbl>
    <w:p w14:paraId="5601BB89">
      <w:pPr>
        <w:pStyle w:val="14"/>
        <w:spacing w:line="560" w:lineRule="exact"/>
        <w:ind w:left="0" w:leftChars="0" w:firstLine="0" w:firstLineChars="0"/>
        <w:rPr>
          <w:rFonts w:hint="eastAsia" w:ascii="Times New Roman" w:hAnsi="Times New Roman" w:eastAsia="仿宋_GB2312" w:cs="仿宋"/>
          <w:sz w:val="32"/>
          <w:lang w:val="zh-CN"/>
        </w:rPr>
        <w:sectPr>
          <w:footerReference r:id="rId9" w:type="first"/>
          <w:footerReference r:id="rId8" w:type="default"/>
          <w:pgSz w:w="11906" w:h="16838"/>
          <w:pgMar w:top="1134" w:right="1531" w:bottom="1134" w:left="1531" w:header="567" w:footer="510" w:gutter="0"/>
          <w:pgNumType w:fmt="decimal"/>
          <w:cols w:space="425" w:num="1"/>
          <w:titlePg/>
          <w:docGrid w:type="lines" w:linePitch="312" w:charSpace="0"/>
        </w:sectPr>
      </w:pPr>
      <w:r>
        <w:rPr>
          <w:rFonts w:ascii="Times New Roman" w:hAnsi="Times New Roman"/>
          <w:b/>
          <w:sz w:val="44"/>
          <w:szCs w:val="44"/>
        </w:rPr>
        <w:br w:type="page"/>
      </w:r>
    </w:p>
    <w:tbl>
      <w:tblPr>
        <w:tblStyle w:val="15"/>
        <w:tblW w:w="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900"/>
        <w:gridCol w:w="919"/>
        <w:gridCol w:w="1481"/>
        <w:gridCol w:w="581"/>
        <w:gridCol w:w="694"/>
        <w:gridCol w:w="825"/>
        <w:gridCol w:w="938"/>
        <w:gridCol w:w="600"/>
        <w:gridCol w:w="562"/>
        <w:gridCol w:w="1552"/>
      </w:tblGrid>
      <w:tr w14:paraId="791A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2D0A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3C62C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51160023T000008296127-广安年鉴编纂印刷出版经费</w:t>
            </w:r>
          </w:p>
        </w:tc>
      </w:tr>
      <w:tr w14:paraId="43E4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9B1F7">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8896D">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广安市地方志办公室部门</w:t>
            </w:r>
          </w:p>
        </w:tc>
        <w:tc>
          <w:tcPr>
            <w:tcW w:w="938" w:type="dxa"/>
            <w:tcBorders>
              <w:top w:val="nil"/>
              <w:left w:val="nil"/>
              <w:bottom w:val="nil"/>
              <w:right w:val="nil"/>
            </w:tcBorders>
            <w:shd w:val="clear" w:color="auto" w:fill="auto"/>
            <w:vAlign w:val="center"/>
          </w:tcPr>
          <w:p w14:paraId="13B9FF2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 xml:space="preserve">实施单位 </w:t>
            </w:r>
          </w:p>
        </w:tc>
        <w:tc>
          <w:tcPr>
            <w:tcW w:w="27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2496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广安市地方志办公室</w:t>
            </w:r>
          </w:p>
        </w:tc>
      </w:tr>
      <w:tr w14:paraId="774C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62EC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680A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9D7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5D0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0C44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7C5C">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8EF70">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4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087E1">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按照中省的“一年一鉴、公开出版”要求，计划每年编纂出版1部广安年鉴。2023年底前完成《广安年鉴（2023）》编纂出版发行，共印刷500册，差错率控制在0.01%之内。</w:t>
            </w:r>
          </w:p>
        </w:tc>
        <w:tc>
          <w:tcPr>
            <w:tcW w:w="36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CA0A38">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2023年12月完成印刷出版，共印刷500册，差错率在0.01%之内。</w:t>
            </w:r>
          </w:p>
        </w:tc>
      </w:tr>
      <w:tr w14:paraId="78642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D527">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6DFB">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E0E55D">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年初以编委会铺印发《广安年鉴（2023）》编纂供稿通知，同时实施单位内控采购确定了印刷出版中标商，按创四川省精品年鉴要求组织人员对各单位供稿进行编辑、分纂、总纂，8月形成总纂稿送审，经市政府领导审核后交出版社“三审三校”，再交由省地方志办公室审批，然后交付印刷厂印刷出版。</w:t>
            </w:r>
          </w:p>
        </w:tc>
      </w:tr>
      <w:tr w14:paraId="764B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9040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C9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21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DE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4AC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072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E1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A0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2C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6D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F31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A0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168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F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2EB6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DD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719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727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C5612">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黑体" w:hAnsi="黑体" w:eastAsia="黑体" w:cs="黑体"/>
                <w:i/>
                <w:iCs/>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严格按照单位内控制度进行采购，通过竞争性谈判方式确定中标单位，较大地降低了该项目印刷出版成本，节约财政预算资金。</w:t>
            </w:r>
          </w:p>
        </w:tc>
      </w:tr>
      <w:tr w14:paraId="4395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D4C0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A6D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1F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9F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4B7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60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84.21%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E5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F1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2E1E2">
            <w:pPr>
              <w:keepNext w:val="0"/>
              <w:keepLines w:val="0"/>
              <w:pageBreakBefore w:val="0"/>
              <w:widowControl/>
              <w:kinsoku/>
              <w:wordWrap/>
              <w:overflowPunct/>
              <w:topLinePunct w:val="0"/>
              <w:autoSpaceDE/>
              <w:autoSpaceDN/>
              <w:bidi w:val="0"/>
              <w:adjustRightInd/>
              <w:snapToGrid w:val="0"/>
              <w:rPr>
                <w:rFonts w:hint="default" w:ascii="黑体" w:hAnsi="黑体" w:eastAsia="黑体" w:cs="黑体"/>
                <w:i/>
                <w:iCs/>
                <w:color w:val="000000"/>
                <w:sz w:val="18"/>
                <w:szCs w:val="18"/>
                <w:u w:val="none"/>
              </w:rPr>
            </w:pPr>
          </w:p>
        </w:tc>
      </w:tr>
      <w:tr w14:paraId="0EED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144D7">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1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B42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F0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FCE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3C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A8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64B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D68E">
            <w:pPr>
              <w:keepNext w:val="0"/>
              <w:keepLines w:val="0"/>
              <w:pageBreakBefore w:val="0"/>
              <w:widowControl/>
              <w:kinsoku/>
              <w:wordWrap/>
              <w:overflowPunct/>
              <w:topLinePunct w:val="0"/>
              <w:autoSpaceDE/>
              <w:autoSpaceDN/>
              <w:bidi w:val="0"/>
              <w:adjustRightInd/>
              <w:snapToGrid w:val="0"/>
              <w:rPr>
                <w:rFonts w:hint="default" w:ascii="黑体" w:hAnsi="黑体" w:eastAsia="黑体" w:cs="黑体"/>
                <w:i/>
                <w:iCs/>
                <w:color w:val="000000"/>
                <w:sz w:val="18"/>
                <w:szCs w:val="18"/>
                <w:u w:val="none"/>
              </w:rPr>
            </w:pPr>
          </w:p>
        </w:tc>
      </w:tr>
      <w:tr w14:paraId="2262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4B44C">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51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BD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73D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CEEF4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50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E9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F2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7B857">
            <w:pPr>
              <w:keepNext w:val="0"/>
              <w:keepLines w:val="0"/>
              <w:pageBreakBefore w:val="0"/>
              <w:widowControl/>
              <w:kinsoku/>
              <w:wordWrap/>
              <w:overflowPunct/>
              <w:topLinePunct w:val="0"/>
              <w:autoSpaceDE/>
              <w:autoSpaceDN/>
              <w:bidi w:val="0"/>
              <w:adjustRightInd/>
              <w:snapToGrid w:val="0"/>
              <w:rPr>
                <w:rFonts w:hint="default" w:ascii="黑体" w:hAnsi="黑体" w:eastAsia="黑体" w:cs="黑体"/>
                <w:i/>
                <w:iCs/>
                <w:color w:val="000000"/>
                <w:sz w:val="18"/>
                <w:szCs w:val="18"/>
                <w:u w:val="none"/>
              </w:rPr>
            </w:pPr>
          </w:p>
        </w:tc>
      </w:tr>
      <w:tr w14:paraId="3712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B5AD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25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04C9">
            <w:pPr>
              <w:keepNext w:val="0"/>
              <w:keepLines w:val="0"/>
              <w:pageBreakBefore w:val="0"/>
              <w:widowControl/>
              <w:kinsoku/>
              <w:wordWrap/>
              <w:overflowPunct/>
              <w:topLinePunct w:val="0"/>
              <w:autoSpaceDE/>
              <w:autoSpaceDN/>
              <w:bidi w:val="0"/>
              <w:adjustRightInd/>
              <w:snapToGrid w:val="0"/>
              <w:jc w:val="center"/>
              <w:rPr>
                <w:rFonts w:hint="eastAsia" w:ascii="微软雅黑" w:hAnsi="微软雅黑" w:eastAsia="微软雅黑" w:cs="微软雅黑"/>
                <w:i/>
                <w:iCs/>
                <w:color w:val="000000"/>
                <w:sz w:val="16"/>
                <w:szCs w:val="16"/>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BAF0">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CCB5D">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530A">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20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CF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4D13">
            <w:pPr>
              <w:keepNext w:val="0"/>
              <w:keepLines w:val="0"/>
              <w:pageBreakBefore w:val="0"/>
              <w:widowControl/>
              <w:kinsoku/>
              <w:wordWrap/>
              <w:overflowPunct/>
              <w:topLinePunct w:val="0"/>
              <w:autoSpaceDE/>
              <w:autoSpaceDN/>
              <w:bidi w:val="0"/>
              <w:adjustRightInd/>
              <w:snapToGrid w:val="0"/>
              <w:rPr>
                <w:rFonts w:hint="default" w:ascii="黑体" w:hAnsi="黑体" w:eastAsia="黑体" w:cs="黑体"/>
                <w:i/>
                <w:iCs/>
                <w:color w:val="000000"/>
                <w:sz w:val="18"/>
                <w:szCs w:val="18"/>
                <w:u w:val="none"/>
              </w:rPr>
            </w:pPr>
          </w:p>
        </w:tc>
      </w:tr>
      <w:tr w14:paraId="5A33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9497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84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A3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D3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7B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64B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721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A6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F6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3F8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06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48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3E66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FCEC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4C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5C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印刷出版册数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40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42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37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24C7">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25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9F67">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5081">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1EC7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68DA">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03E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6DC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F6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印刷出版达标率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6D8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C6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87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E996">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08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F81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B659">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70D5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538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3EBB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0D00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3F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图文差错率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433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F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723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D813">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F2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89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530D">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4667C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60DF">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83C5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4D1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E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完成编纂出版时限</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4CF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C34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B5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B972">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C1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1AA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FE3">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6E61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FB0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CA4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C37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50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社会大众关注率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49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3BD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E4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9778">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9F8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4704">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7D27">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1D75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49F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FB5E">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3458">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B3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查阅量增幅</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AFF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3A4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50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9F1">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A28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41D2">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F41F">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407F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449D">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F4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280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13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读者满意率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2D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4C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26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1CAF">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44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CB90">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0C1E">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7147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EE121">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4AD5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636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D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编纂工作费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A6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F3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AD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BCD">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75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DAD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DAB">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7343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61196">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D02B">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EDF5">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56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印刷出版费</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99A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97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89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7F5F">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F2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8549">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4343">
            <w:pPr>
              <w:keepNext w:val="0"/>
              <w:keepLines w:val="0"/>
              <w:pageBreakBefore w:val="0"/>
              <w:widowControl/>
              <w:kinsoku/>
              <w:wordWrap/>
              <w:overflowPunct/>
              <w:topLinePunct w:val="0"/>
              <w:autoSpaceDE/>
              <w:autoSpaceDN/>
              <w:bidi w:val="0"/>
              <w:adjustRightInd/>
              <w:snapToGrid w:val="0"/>
              <w:jc w:val="center"/>
              <w:rPr>
                <w:rFonts w:hint="default" w:ascii="微软雅黑" w:hAnsi="微软雅黑" w:eastAsia="微软雅黑" w:cs="微软雅黑"/>
                <w:i/>
                <w:iCs/>
                <w:color w:val="000000"/>
                <w:sz w:val="16"/>
                <w:szCs w:val="16"/>
                <w:u w:val="none"/>
              </w:rPr>
            </w:pPr>
          </w:p>
        </w:tc>
      </w:tr>
      <w:tr w14:paraId="1455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0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CDEF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CC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96E0">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2244">
            <w:pPr>
              <w:keepNext w:val="0"/>
              <w:keepLines w:val="0"/>
              <w:pageBreakBefore w:val="0"/>
              <w:widowControl/>
              <w:kinsoku/>
              <w:wordWrap/>
              <w:overflowPunct/>
              <w:topLinePunct w:val="0"/>
              <w:autoSpaceDE/>
              <w:autoSpaceDN/>
              <w:bidi w:val="0"/>
              <w:adjustRightInd/>
              <w:snapToGrid w:val="0"/>
              <w:rPr>
                <w:rFonts w:hint="eastAsia" w:ascii="宋体" w:hAnsi="宋体" w:eastAsia="宋体" w:cs="宋体"/>
                <w:i w:val="0"/>
                <w:iCs w:val="0"/>
                <w:color w:val="000000"/>
                <w:sz w:val="18"/>
                <w:szCs w:val="18"/>
                <w:u w:val="none"/>
              </w:rPr>
            </w:pPr>
          </w:p>
        </w:tc>
      </w:tr>
      <w:tr w14:paraId="5C95B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36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22827">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《广安年鉴（2023）》编纂出版项目预算执行率8</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21</w:t>
            </w:r>
            <w:r>
              <w:rPr>
                <w:rFonts w:hint="eastAsia" w:ascii="宋体" w:hAnsi="宋体" w:eastAsia="宋体" w:cs="宋体"/>
                <w:i w:val="0"/>
                <w:iCs w:val="0"/>
                <w:color w:val="000000"/>
                <w:kern w:val="0"/>
                <w:sz w:val="18"/>
                <w:szCs w:val="18"/>
                <w:u w:val="none"/>
                <w:lang w:val="en-US" w:eastAsia="zh-CN" w:bidi="ar"/>
              </w:rPr>
              <w:t>%，节约财政预算资金，各项绩效指标全部完成，较圆满实现了绩效目标。</w:t>
            </w:r>
          </w:p>
        </w:tc>
      </w:tr>
      <w:tr w14:paraId="6AE9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DE0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BB3EAB">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预算执行率未达90%。</w:t>
            </w:r>
          </w:p>
        </w:tc>
      </w:tr>
      <w:tr w14:paraId="2195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DF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5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D64AA2">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加强预算前市场调研，进一步提升预算准确度。</w:t>
            </w:r>
          </w:p>
        </w:tc>
      </w:tr>
    </w:tbl>
    <w:p w14:paraId="46E0F0AC">
      <w:pPr>
        <w:rPr>
          <w:rFonts w:hint="eastAsia" w:ascii="Times New Roman" w:hAnsi="Times New Roman" w:eastAsia="黑体"/>
          <w:sz w:val="44"/>
          <w:szCs w:val="44"/>
        </w:rPr>
      </w:pPr>
      <w:r>
        <w:rPr>
          <w:rFonts w:hint="eastAsia" w:ascii="Times New Roman" w:hAnsi="Times New Roman" w:eastAsia="黑体"/>
          <w:sz w:val="44"/>
          <w:szCs w:val="44"/>
        </w:rPr>
        <w:br w:type="page"/>
      </w:r>
    </w:p>
    <w:p w14:paraId="71AF3260">
      <w:pPr>
        <w:spacing w:line="600" w:lineRule="exact"/>
        <w:jc w:val="center"/>
        <w:outlineLvl w:val="0"/>
        <w:rPr>
          <w:rStyle w:val="28"/>
          <w:rFonts w:hint="eastAsia" w:ascii="Times New Roman" w:hAnsi="Times New Roman" w:eastAsia="黑体"/>
          <w:b w:val="0"/>
        </w:rPr>
      </w:pPr>
      <w:r>
        <w:rPr>
          <w:rFonts w:hint="eastAsia" w:ascii="Times New Roman" w:hAnsi="Times New Roman" w:eastAsia="黑体"/>
          <w:sz w:val="44"/>
          <w:szCs w:val="44"/>
        </w:rPr>
        <w:t>第</w:t>
      </w:r>
      <w:r>
        <w:rPr>
          <w:rStyle w:val="28"/>
          <w:rFonts w:hint="eastAsia" w:ascii="Times New Roman" w:hAnsi="Times New Roman" w:eastAsia="黑体"/>
          <w:b w:val="0"/>
        </w:rPr>
        <w:t>五部分 附表</w:t>
      </w:r>
      <w:bookmarkEnd w:id="51"/>
      <w:bookmarkEnd w:id="53"/>
      <w:bookmarkStart w:id="54" w:name="_Toc15396619"/>
    </w:p>
    <w:p w14:paraId="1C0D7135">
      <w:pPr>
        <w:pStyle w:val="9"/>
      </w:pPr>
    </w:p>
    <w:p w14:paraId="0464249B">
      <w:pPr>
        <w:pStyle w:val="3"/>
        <w:rPr>
          <w:rFonts w:ascii="Times New Roman" w:hAnsi="Times New Roman" w:eastAsia="仿宋"/>
        </w:rPr>
      </w:pPr>
      <w:r>
        <w:rPr>
          <w:rFonts w:hint="eastAsia" w:ascii="Times New Roman" w:hAnsi="Times New Roman" w:eastAsia="仿宋"/>
          <w:b w:val="0"/>
        </w:rPr>
        <w:t>一、收</w:t>
      </w:r>
      <w:r>
        <w:rPr>
          <w:rStyle w:val="29"/>
          <w:rFonts w:hint="eastAsia" w:ascii="Times New Roman" w:hAnsi="Times New Roman" w:eastAsia="仿宋"/>
          <w:b w:val="0"/>
          <w:bCs w:val="0"/>
        </w:rPr>
        <w:t>入支出决算总表</w:t>
      </w:r>
      <w:bookmarkEnd w:id="54"/>
    </w:p>
    <w:p w14:paraId="374E60C8">
      <w:pPr>
        <w:pStyle w:val="3"/>
        <w:rPr>
          <w:rFonts w:ascii="Times New Roman" w:hAnsi="Times New Roman" w:eastAsia="仿宋"/>
        </w:rPr>
      </w:pPr>
      <w:bookmarkStart w:id="55" w:name="_Toc15396620"/>
      <w:r>
        <w:rPr>
          <w:rFonts w:hint="eastAsia" w:ascii="Times New Roman" w:hAnsi="Times New Roman" w:eastAsia="仿宋"/>
          <w:b w:val="0"/>
        </w:rPr>
        <w:t>二、收</w:t>
      </w:r>
      <w:r>
        <w:rPr>
          <w:rStyle w:val="29"/>
          <w:rFonts w:hint="eastAsia" w:ascii="Times New Roman" w:hAnsi="Times New Roman" w:eastAsia="仿宋"/>
          <w:b w:val="0"/>
          <w:bCs w:val="0"/>
        </w:rPr>
        <w:t>入决算表</w:t>
      </w:r>
      <w:bookmarkEnd w:id="55"/>
    </w:p>
    <w:p w14:paraId="0B7E6DE7">
      <w:pPr>
        <w:pStyle w:val="3"/>
        <w:rPr>
          <w:rFonts w:ascii="Times New Roman" w:hAnsi="Times New Roman" w:eastAsia="仿宋"/>
        </w:rPr>
      </w:pPr>
      <w:bookmarkStart w:id="56" w:name="_Toc15396621"/>
      <w:r>
        <w:rPr>
          <w:rStyle w:val="29"/>
          <w:rFonts w:hint="eastAsia" w:ascii="Times New Roman" w:hAnsi="Times New Roman" w:eastAsia="仿宋"/>
          <w:b w:val="0"/>
          <w:bCs w:val="0"/>
        </w:rPr>
        <w:t>三、</w:t>
      </w:r>
      <w:r>
        <w:rPr>
          <w:rFonts w:hint="eastAsia" w:ascii="Times New Roman" w:hAnsi="Times New Roman" w:eastAsia="仿宋"/>
          <w:b w:val="0"/>
        </w:rPr>
        <w:t>支</w:t>
      </w:r>
      <w:r>
        <w:rPr>
          <w:rStyle w:val="29"/>
          <w:rFonts w:hint="eastAsia" w:ascii="Times New Roman" w:hAnsi="Times New Roman" w:eastAsia="仿宋"/>
          <w:b w:val="0"/>
          <w:bCs w:val="0"/>
        </w:rPr>
        <w:t>出决算表</w:t>
      </w:r>
      <w:bookmarkEnd w:id="56"/>
    </w:p>
    <w:p w14:paraId="6462B15F">
      <w:pPr>
        <w:pStyle w:val="3"/>
        <w:rPr>
          <w:rFonts w:ascii="Times New Roman" w:hAnsi="Times New Roman" w:eastAsia="仿宋"/>
          <w:b w:val="0"/>
        </w:rPr>
      </w:pPr>
      <w:bookmarkStart w:id="57" w:name="_Toc15396622"/>
      <w:r>
        <w:rPr>
          <w:rStyle w:val="29"/>
          <w:rFonts w:hint="eastAsia" w:ascii="Times New Roman" w:hAnsi="Times New Roman" w:eastAsia="仿宋"/>
          <w:b w:val="0"/>
          <w:bCs w:val="0"/>
        </w:rPr>
        <w:t>四、</w:t>
      </w:r>
      <w:r>
        <w:rPr>
          <w:rFonts w:hint="eastAsia" w:ascii="Times New Roman" w:hAnsi="Times New Roman" w:eastAsia="仿宋"/>
          <w:b w:val="0"/>
        </w:rPr>
        <w:t>财</w:t>
      </w:r>
      <w:r>
        <w:rPr>
          <w:rStyle w:val="29"/>
          <w:rFonts w:hint="eastAsia" w:ascii="Times New Roman" w:hAnsi="Times New Roman" w:eastAsia="仿宋"/>
          <w:b w:val="0"/>
          <w:bCs w:val="0"/>
        </w:rPr>
        <w:t>政拨款收入支出决算总表</w:t>
      </w:r>
      <w:bookmarkEnd w:id="57"/>
    </w:p>
    <w:p w14:paraId="39362DEF">
      <w:pPr>
        <w:pStyle w:val="3"/>
        <w:rPr>
          <w:rStyle w:val="29"/>
          <w:rFonts w:ascii="Times New Roman" w:hAnsi="Times New Roman" w:eastAsia="仿宋"/>
          <w:b w:val="0"/>
          <w:bCs w:val="0"/>
        </w:rPr>
      </w:pPr>
      <w:bookmarkStart w:id="58" w:name="_Toc15396623"/>
      <w:r>
        <w:rPr>
          <w:rStyle w:val="29"/>
          <w:rFonts w:hint="eastAsia" w:ascii="Times New Roman" w:hAnsi="Times New Roman" w:eastAsia="仿宋"/>
          <w:b w:val="0"/>
          <w:bCs w:val="0"/>
        </w:rPr>
        <w:t>五、</w:t>
      </w:r>
      <w:r>
        <w:rPr>
          <w:rFonts w:hint="eastAsia" w:ascii="Times New Roman" w:hAnsi="Times New Roman" w:eastAsia="仿宋"/>
          <w:b w:val="0"/>
        </w:rPr>
        <w:t>财</w:t>
      </w:r>
      <w:r>
        <w:rPr>
          <w:rStyle w:val="29"/>
          <w:rFonts w:hint="eastAsia" w:ascii="Times New Roman" w:hAnsi="Times New Roman" w:eastAsia="仿宋"/>
          <w:b w:val="0"/>
          <w:bCs w:val="0"/>
        </w:rPr>
        <w:t>政拨款支出决算明细表</w:t>
      </w:r>
      <w:bookmarkEnd w:id="58"/>
      <w:bookmarkStart w:id="59" w:name="_Toc15396624"/>
    </w:p>
    <w:p w14:paraId="73433E6E">
      <w:pPr>
        <w:pStyle w:val="3"/>
        <w:rPr>
          <w:rFonts w:ascii="Times New Roman" w:hAnsi="Times New Roman" w:eastAsia="仿宋"/>
        </w:rPr>
      </w:pPr>
      <w:r>
        <w:rPr>
          <w:rStyle w:val="29"/>
          <w:rFonts w:hint="eastAsia" w:ascii="Times New Roman" w:hAnsi="Times New Roman" w:eastAsia="仿宋"/>
          <w:b w:val="0"/>
          <w:bCs w:val="0"/>
        </w:rPr>
        <w:t>六、</w:t>
      </w:r>
      <w:r>
        <w:rPr>
          <w:rFonts w:hint="eastAsia" w:ascii="Times New Roman" w:hAnsi="Times New Roman" w:eastAsia="仿宋"/>
          <w:b w:val="0"/>
        </w:rPr>
        <w:t>一</w:t>
      </w:r>
      <w:r>
        <w:rPr>
          <w:rStyle w:val="29"/>
          <w:rFonts w:hint="eastAsia" w:ascii="Times New Roman" w:hAnsi="Times New Roman" w:eastAsia="仿宋"/>
          <w:b w:val="0"/>
          <w:bCs w:val="0"/>
        </w:rPr>
        <w:t>般公共预算财政拨款支出决算表</w:t>
      </w:r>
      <w:bookmarkEnd w:id="59"/>
    </w:p>
    <w:p w14:paraId="2C94D40F">
      <w:pPr>
        <w:pStyle w:val="3"/>
        <w:rPr>
          <w:rFonts w:ascii="Times New Roman" w:hAnsi="Times New Roman" w:eastAsia="仿宋"/>
        </w:rPr>
      </w:pPr>
      <w:bookmarkStart w:id="60" w:name="_Toc15396625"/>
      <w:r>
        <w:rPr>
          <w:rStyle w:val="29"/>
          <w:rFonts w:hint="eastAsia" w:ascii="Times New Roman" w:hAnsi="Times New Roman" w:eastAsia="仿宋"/>
          <w:b w:val="0"/>
          <w:bCs w:val="0"/>
        </w:rPr>
        <w:t>七、</w:t>
      </w:r>
      <w:r>
        <w:rPr>
          <w:rFonts w:hint="eastAsia" w:ascii="Times New Roman" w:hAnsi="Times New Roman" w:eastAsia="仿宋"/>
          <w:b w:val="0"/>
        </w:rPr>
        <w:t>一</w:t>
      </w:r>
      <w:r>
        <w:rPr>
          <w:rStyle w:val="29"/>
          <w:rFonts w:hint="eastAsia" w:ascii="Times New Roman" w:hAnsi="Times New Roman" w:eastAsia="仿宋"/>
          <w:b w:val="0"/>
          <w:bCs w:val="0"/>
        </w:rPr>
        <w:t>般公共预算财政拨款支出决算明细表</w:t>
      </w:r>
      <w:bookmarkEnd w:id="60"/>
    </w:p>
    <w:p w14:paraId="3B364DEB">
      <w:pPr>
        <w:pStyle w:val="3"/>
        <w:rPr>
          <w:rFonts w:ascii="Times New Roman" w:hAnsi="Times New Roman" w:eastAsia="仿宋"/>
        </w:rPr>
      </w:pPr>
      <w:bookmarkStart w:id="61" w:name="_Toc15396626"/>
      <w:r>
        <w:rPr>
          <w:rStyle w:val="29"/>
          <w:rFonts w:hint="eastAsia" w:ascii="Times New Roman" w:hAnsi="Times New Roman" w:eastAsia="仿宋"/>
          <w:b w:val="0"/>
          <w:bCs w:val="0"/>
        </w:rPr>
        <w:t>八、</w:t>
      </w:r>
      <w:r>
        <w:rPr>
          <w:rFonts w:hint="eastAsia" w:ascii="Times New Roman" w:hAnsi="Times New Roman" w:eastAsia="仿宋"/>
          <w:b w:val="0"/>
        </w:rPr>
        <w:t>一</w:t>
      </w:r>
      <w:r>
        <w:rPr>
          <w:rStyle w:val="29"/>
          <w:rFonts w:hint="eastAsia" w:ascii="Times New Roman" w:hAnsi="Times New Roman" w:eastAsia="仿宋"/>
          <w:b w:val="0"/>
          <w:bCs w:val="0"/>
        </w:rPr>
        <w:t>般公共预算财政拨款基本支出决算表</w:t>
      </w:r>
      <w:bookmarkEnd w:id="61"/>
    </w:p>
    <w:p w14:paraId="38933235">
      <w:pPr>
        <w:pStyle w:val="3"/>
        <w:rPr>
          <w:rFonts w:ascii="Times New Roman" w:hAnsi="Times New Roman" w:eastAsia="仿宋"/>
        </w:rPr>
      </w:pPr>
      <w:bookmarkStart w:id="62" w:name="_Toc15396627"/>
      <w:r>
        <w:rPr>
          <w:rStyle w:val="29"/>
          <w:rFonts w:hint="eastAsia" w:ascii="Times New Roman" w:hAnsi="Times New Roman" w:eastAsia="仿宋"/>
          <w:b w:val="0"/>
          <w:bCs w:val="0"/>
        </w:rPr>
        <w:t>九、</w:t>
      </w:r>
      <w:r>
        <w:rPr>
          <w:rFonts w:hint="eastAsia" w:ascii="Times New Roman" w:hAnsi="Times New Roman" w:eastAsia="仿宋"/>
          <w:b w:val="0"/>
        </w:rPr>
        <w:t>一</w:t>
      </w:r>
      <w:r>
        <w:rPr>
          <w:rStyle w:val="29"/>
          <w:rFonts w:hint="eastAsia" w:ascii="Times New Roman" w:hAnsi="Times New Roman" w:eastAsia="仿宋"/>
          <w:b w:val="0"/>
          <w:bCs w:val="0"/>
        </w:rPr>
        <w:t>般公共预算财政拨款项目支出决算表</w:t>
      </w:r>
      <w:bookmarkEnd w:id="62"/>
    </w:p>
    <w:p w14:paraId="0DB72964">
      <w:pPr>
        <w:pStyle w:val="3"/>
        <w:rPr>
          <w:rFonts w:ascii="Times New Roman" w:hAnsi="Times New Roman" w:eastAsia="仿宋"/>
        </w:rPr>
      </w:pPr>
      <w:bookmarkStart w:id="63" w:name="_Toc15396628"/>
      <w:r>
        <w:rPr>
          <w:rStyle w:val="29"/>
          <w:rFonts w:hint="eastAsia" w:ascii="Times New Roman" w:hAnsi="Times New Roman" w:eastAsia="仿宋"/>
          <w:b w:val="0"/>
          <w:bCs w:val="0"/>
        </w:rPr>
        <w:t>十、</w:t>
      </w:r>
      <w:bookmarkEnd w:id="63"/>
      <w:r>
        <w:rPr>
          <w:rFonts w:hint="eastAsia" w:ascii="Times New Roman" w:hAnsi="Times New Roman" w:eastAsia="仿宋"/>
          <w:b w:val="0"/>
        </w:rPr>
        <w:t>政</w:t>
      </w:r>
      <w:r>
        <w:rPr>
          <w:rStyle w:val="29"/>
          <w:rFonts w:hint="eastAsia" w:ascii="Times New Roman" w:hAnsi="Times New Roman" w:eastAsia="仿宋"/>
          <w:b w:val="0"/>
          <w:bCs w:val="0"/>
        </w:rPr>
        <w:t>府性基金预算财政拨款收入支出决算表</w:t>
      </w:r>
    </w:p>
    <w:p w14:paraId="6E7A4253">
      <w:pPr>
        <w:pStyle w:val="3"/>
        <w:rPr>
          <w:rFonts w:ascii="Times New Roman" w:hAnsi="Times New Roman" w:eastAsia="仿宋"/>
        </w:rPr>
      </w:pPr>
      <w:bookmarkStart w:id="64" w:name="_Toc15396629"/>
      <w:r>
        <w:rPr>
          <w:rStyle w:val="29"/>
          <w:rFonts w:hint="eastAsia" w:ascii="Times New Roman" w:hAnsi="Times New Roman" w:eastAsia="仿宋"/>
          <w:b w:val="0"/>
          <w:bCs w:val="0"/>
        </w:rPr>
        <w:t>十一、</w:t>
      </w:r>
      <w:bookmarkEnd w:id="64"/>
      <w:r>
        <w:rPr>
          <w:rFonts w:hint="eastAsia" w:ascii="Times New Roman" w:hAnsi="Times New Roman" w:eastAsia="仿宋"/>
          <w:b w:val="0"/>
        </w:rPr>
        <w:t>国</w:t>
      </w:r>
      <w:r>
        <w:rPr>
          <w:rStyle w:val="29"/>
          <w:rFonts w:hint="eastAsia" w:ascii="Times New Roman" w:hAnsi="Times New Roman" w:eastAsia="仿宋"/>
          <w:b w:val="0"/>
          <w:bCs w:val="0"/>
        </w:rPr>
        <w:t>有资本经营预算财政拨款收入支出决算表</w:t>
      </w:r>
    </w:p>
    <w:p w14:paraId="11C1E0C9">
      <w:pPr>
        <w:pStyle w:val="3"/>
        <w:rPr>
          <w:rFonts w:ascii="Times New Roman" w:hAnsi="Times New Roman" w:eastAsia="仿宋"/>
        </w:rPr>
      </w:pPr>
      <w:bookmarkStart w:id="65" w:name="_Toc15396630"/>
      <w:r>
        <w:rPr>
          <w:rStyle w:val="29"/>
          <w:rFonts w:hint="eastAsia" w:ascii="Times New Roman" w:hAnsi="Times New Roman" w:eastAsia="仿宋"/>
          <w:b w:val="0"/>
          <w:bCs w:val="0"/>
        </w:rPr>
        <w:t>十二、</w:t>
      </w:r>
      <w:bookmarkEnd w:id="65"/>
      <w:r>
        <w:rPr>
          <w:rStyle w:val="29"/>
          <w:rFonts w:hint="eastAsia" w:ascii="Times New Roman" w:hAnsi="Times New Roman" w:eastAsia="仿宋"/>
          <w:b w:val="0"/>
          <w:bCs w:val="0"/>
        </w:rPr>
        <w:t>国有资本经营预算财政拨款支出决算表</w:t>
      </w:r>
    </w:p>
    <w:p w14:paraId="1D0D3DF5">
      <w:pPr>
        <w:pStyle w:val="3"/>
        <w:rPr>
          <w:rFonts w:ascii="Times New Roman" w:hAnsi="Times New Roman" w:eastAsia="仿宋"/>
        </w:rPr>
      </w:pPr>
      <w:bookmarkStart w:id="66" w:name="_Toc15396631"/>
      <w:r>
        <w:rPr>
          <w:rStyle w:val="29"/>
          <w:rFonts w:hint="eastAsia" w:ascii="Times New Roman" w:hAnsi="Times New Roman" w:eastAsia="仿宋"/>
          <w:b w:val="0"/>
          <w:bCs w:val="0"/>
        </w:rPr>
        <w:t>十三、</w:t>
      </w:r>
      <w:bookmarkEnd w:id="66"/>
      <w:r>
        <w:rPr>
          <w:rStyle w:val="29"/>
          <w:rFonts w:hint="eastAsia" w:ascii="Times New Roman" w:hAnsi="Times New Roman" w:eastAsia="仿宋"/>
          <w:b w:val="0"/>
          <w:bCs w:val="0"/>
        </w:rPr>
        <w:t>财政拨款“三公”经费支出决算表</w:t>
      </w: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B92CE">
    <w:pPr>
      <w:pStyle w:val="9"/>
      <w:jc w:val="center"/>
    </w:pPr>
  </w:p>
  <w:p w14:paraId="6870267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A02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463F0">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IAt+tIAAAAIAQAADwAAAAAAAAABACAAAAAiAAAAZHJzL2Rvd25yZXYu&#10;eG1sUEsBAhQAFAAAAAgAh07iQOSi/s/IAQAAmQMAAA4AAAAAAAAAAQAgAAAAIQEAAGRycy9lMm9E&#10;b2MueG1sUEsFBgAAAAAGAAYAWQEAAFsFAAAAAA==&#10;">
              <v:fill on="f" focussize="0,0"/>
              <v:stroke on="f"/>
              <v:imagedata o:title=""/>
              <o:lock v:ext="edit" aspectratio="f"/>
              <v:textbox inset="0mm,0mm,0mm,0mm" style="mso-fit-shape-to-text:t;">
                <w:txbxContent>
                  <w:p w14:paraId="026463F0">
                    <w:pPr>
                      <w:pStyle w:val="9"/>
                    </w:pPr>
                  </w:p>
                </w:txbxContent>
              </v:textbox>
            </v:shape>
          </w:pict>
        </mc:Fallback>
      </mc:AlternateContent>
    </w:r>
  </w:p>
  <w:p w14:paraId="20A895B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5469">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2682240</wp:posOffset>
              </wp:positionH>
              <wp:positionV relativeFrom="paragraph">
                <wp:posOffset>0</wp:posOffset>
              </wp:positionV>
              <wp:extent cx="16700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70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E8FA3">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1.2pt;margin-top:0pt;height:144pt;width:13.15pt;mso-position-horizontal-relative:margin;z-index:251660288;mso-width-relative:page;mso-height-relative:page;" filled="f" stroked="f" coordsize="21600,21600" o:gfxdata="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Xp8e+1gAAAAgBAAAPAAAAAAAAAAEAIAAAACIAAABkcnMvZG93bnJl&#10;di54bWxQSwECFAAUAAAACACHTuJAEZ9OhzgCAABiBAAADgAAAAAAAAABACAAAAAlAQAAZHJzL2Uy&#10;b0RvYy54bWxQSwUGAAAAAAYABgBZAQAAzwUAAAAA&#10;">
              <v:fill on="f" focussize="0,0"/>
              <v:stroke on="f" weight="0.5pt"/>
              <v:imagedata o:title=""/>
              <o:lock v:ext="edit" aspectratio="f"/>
              <v:textbox inset="0mm,0mm,0mm,0mm" style="mso-fit-shape-to-text:t;">
                <w:txbxContent>
                  <w:p w14:paraId="2C7E8FA3">
                    <w:pPr>
                      <w:pStyle w:val="9"/>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p>
                </w:txbxContent>
              </v:textbox>
            </v:shape>
          </w:pict>
        </mc:Fallback>
      </mc:AlternateContent>
    </w:r>
  </w:p>
  <w:p w14:paraId="071F9F7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A397">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8C601">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B8C601">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7EBFE8D7">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AFCF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8750" cy="2984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58750"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FD134">
                          <w:pPr>
                            <w:pStyle w:val="9"/>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5pt;width:12.5pt;mso-position-horizontal:center;mso-position-horizontal-relative:margin;z-index:251659264;mso-width-relative:page;mso-height-relative:page;" filled="f" stroked="f" coordsize="21600,21600" o:gfxdata="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CWE2vSAAAAAwEAAA8AAAAAAAAAAQAgAAAAIgAAAGRycy9kb3ducmV2LnhtbFBL&#10;AQIUABQAAAAIAIdO4kDBhAQ3NQIAAGEEAAAOAAAAAAAAAAEAIAAAACEBAABkcnMvZTJvRG9jLnht&#10;bFBLBQYAAAAABgAGAFkBAADIBQAAAAA=&#10;">
              <v:fill on="f" focussize="0,0"/>
              <v:stroke on="f" weight="0.5pt"/>
              <v:imagedata o:title=""/>
              <o:lock v:ext="edit" aspectratio="f"/>
              <v:textbox inset="0mm,0mm,0mm,0mm">
                <w:txbxContent>
                  <w:p w14:paraId="0B8FD134">
                    <w:pPr>
                      <w:pStyle w:val="9"/>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2C7E">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A66D">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ZjM1YzE2Y2VmNDMyMGRmZGYxODQ4Yzc3YWQ1N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0EAD"/>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425A"/>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3EE3EEF"/>
    <w:rsid w:val="04207E21"/>
    <w:rsid w:val="04FF3EDA"/>
    <w:rsid w:val="05863DE1"/>
    <w:rsid w:val="067D29C7"/>
    <w:rsid w:val="072145DC"/>
    <w:rsid w:val="081B5E94"/>
    <w:rsid w:val="08227514"/>
    <w:rsid w:val="0925299D"/>
    <w:rsid w:val="0A2032A3"/>
    <w:rsid w:val="0ABB4D47"/>
    <w:rsid w:val="0AD552DB"/>
    <w:rsid w:val="0B8A37D8"/>
    <w:rsid w:val="0B96690F"/>
    <w:rsid w:val="0BCF58D8"/>
    <w:rsid w:val="0CF06F2A"/>
    <w:rsid w:val="0F5FFB2F"/>
    <w:rsid w:val="0FFFCF60"/>
    <w:rsid w:val="10C055FF"/>
    <w:rsid w:val="118107EC"/>
    <w:rsid w:val="118E286E"/>
    <w:rsid w:val="11DD6519"/>
    <w:rsid w:val="12080872"/>
    <w:rsid w:val="12F72695"/>
    <w:rsid w:val="13315BA7"/>
    <w:rsid w:val="14321BD6"/>
    <w:rsid w:val="145C7C9C"/>
    <w:rsid w:val="14F1386F"/>
    <w:rsid w:val="16BB723D"/>
    <w:rsid w:val="18015F3F"/>
    <w:rsid w:val="1A0A0EFF"/>
    <w:rsid w:val="1AF17443"/>
    <w:rsid w:val="1B4C5221"/>
    <w:rsid w:val="1BE8440E"/>
    <w:rsid w:val="1BEF23DE"/>
    <w:rsid w:val="1C0F0A4F"/>
    <w:rsid w:val="1D155CEE"/>
    <w:rsid w:val="1FDBBF84"/>
    <w:rsid w:val="20F57F95"/>
    <w:rsid w:val="231D36DD"/>
    <w:rsid w:val="23312A20"/>
    <w:rsid w:val="240371BF"/>
    <w:rsid w:val="24257A47"/>
    <w:rsid w:val="25535E50"/>
    <w:rsid w:val="25647C5C"/>
    <w:rsid w:val="257007B0"/>
    <w:rsid w:val="25711CC6"/>
    <w:rsid w:val="25C741E6"/>
    <w:rsid w:val="262B0B7B"/>
    <w:rsid w:val="272E0923"/>
    <w:rsid w:val="276F80C0"/>
    <w:rsid w:val="27840543"/>
    <w:rsid w:val="27842671"/>
    <w:rsid w:val="289A78F2"/>
    <w:rsid w:val="29FD04D3"/>
    <w:rsid w:val="2ABE7A3E"/>
    <w:rsid w:val="2AED12A9"/>
    <w:rsid w:val="2AFF09B6"/>
    <w:rsid w:val="2C5F4334"/>
    <w:rsid w:val="2CA234A8"/>
    <w:rsid w:val="2DD85145"/>
    <w:rsid w:val="2EBF4F35"/>
    <w:rsid w:val="2EFA178C"/>
    <w:rsid w:val="2EFDF86C"/>
    <w:rsid w:val="2F9D17E1"/>
    <w:rsid w:val="302F1268"/>
    <w:rsid w:val="30B46D73"/>
    <w:rsid w:val="31532D34"/>
    <w:rsid w:val="319F7F4E"/>
    <w:rsid w:val="32011A8B"/>
    <w:rsid w:val="32EE0641"/>
    <w:rsid w:val="32FD11AA"/>
    <w:rsid w:val="33D068BE"/>
    <w:rsid w:val="33EA7980"/>
    <w:rsid w:val="356A28F1"/>
    <w:rsid w:val="357C035A"/>
    <w:rsid w:val="363B7446"/>
    <w:rsid w:val="368E000D"/>
    <w:rsid w:val="38130967"/>
    <w:rsid w:val="383D272C"/>
    <w:rsid w:val="38832151"/>
    <w:rsid w:val="38F35173"/>
    <w:rsid w:val="39562F52"/>
    <w:rsid w:val="397A79F8"/>
    <w:rsid w:val="39AE70AB"/>
    <w:rsid w:val="3A1C460B"/>
    <w:rsid w:val="3A4DCE41"/>
    <w:rsid w:val="3BCB56FA"/>
    <w:rsid w:val="3C0C0783"/>
    <w:rsid w:val="3C4542ED"/>
    <w:rsid w:val="3C795D45"/>
    <w:rsid w:val="3D9A1050"/>
    <w:rsid w:val="3EE7C2F4"/>
    <w:rsid w:val="3F371B56"/>
    <w:rsid w:val="3F792ED8"/>
    <w:rsid w:val="3F9F3A96"/>
    <w:rsid w:val="3FECA4B2"/>
    <w:rsid w:val="3FF58C48"/>
    <w:rsid w:val="40C33A32"/>
    <w:rsid w:val="41F8595E"/>
    <w:rsid w:val="42BC4BDD"/>
    <w:rsid w:val="42FF6694"/>
    <w:rsid w:val="431E235B"/>
    <w:rsid w:val="43E443EC"/>
    <w:rsid w:val="46565349"/>
    <w:rsid w:val="47EB386F"/>
    <w:rsid w:val="48BF60AB"/>
    <w:rsid w:val="493C27E9"/>
    <w:rsid w:val="496F39ED"/>
    <w:rsid w:val="49FF41D3"/>
    <w:rsid w:val="4B5C17F2"/>
    <w:rsid w:val="4BE068DB"/>
    <w:rsid w:val="4BF6002B"/>
    <w:rsid w:val="4BFFC6BE"/>
    <w:rsid w:val="4D9549A9"/>
    <w:rsid w:val="4E1028CD"/>
    <w:rsid w:val="4ECE2238"/>
    <w:rsid w:val="4F253B0A"/>
    <w:rsid w:val="510843F7"/>
    <w:rsid w:val="5187285A"/>
    <w:rsid w:val="51DB4B86"/>
    <w:rsid w:val="51F64DB0"/>
    <w:rsid w:val="52067838"/>
    <w:rsid w:val="523837AF"/>
    <w:rsid w:val="52833022"/>
    <w:rsid w:val="53352605"/>
    <w:rsid w:val="54D20290"/>
    <w:rsid w:val="55333C3E"/>
    <w:rsid w:val="558649C4"/>
    <w:rsid w:val="55AE4859"/>
    <w:rsid w:val="577218B7"/>
    <w:rsid w:val="590B3D71"/>
    <w:rsid w:val="59341C6D"/>
    <w:rsid w:val="5C5C196A"/>
    <w:rsid w:val="5D5E0913"/>
    <w:rsid w:val="5DDB01B6"/>
    <w:rsid w:val="5E65287A"/>
    <w:rsid w:val="5F47F4E5"/>
    <w:rsid w:val="5F5E28DD"/>
    <w:rsid w:val="5F67802D"/>
    <w:rsid w:val="5F7DC4F2"/>
    <w:rsid w:val="5FB36814"/>
    <w:rsid w:val="5FBB8E56"/>
    <w:rsid w:val="5FFB5535"/>
    <w:rsid w:val="60237BF2"/>
    <w:rsid w:val="60327E35"/>
    <w:rsid w:val="60344CB7"/>
    <w:rsid w:val="61A82AA5"/>
    <w:rsid w:val="61E33ADD"/>
    <w:rsid w:val="634B193A"/>
    <w:rsid w:val="63666773"/>
    <w:rsid w:val="6461518D"/>
    <w:rsid w:val="64CA39A1"/>
    <w:rsid w:val="65FF2C03"/>
    <w:rsid w:val="664D3F2E"/>
    <w:rsid w:val="67D11A02"/>
    <w:rsid w:val="690164B5"/>
    <w:rsid w:val="69630ADE"/>
    <w:rsid w:val="69BD5F13"/>
    <w:rsid w:val="69DD7064"/>
    <w:rsid w:val="69FB0B4B"/>
    <w:rsid w:val="6BE63ECC"/>
    <w:rsid w:val="6BEF1A4F"/>
    <w:rsid w:val="6BFFE1FB"/>
    <w:rsid w:val="6C4A05C8"/>
    <w:rsid w:val="6D3B1A89"/>
    <w:rsid w:val="6DB175C2"/>
    <w:rsid w:val="6DB7D8A3"/>
    <w:rsid w:val="6EC78701"/>
    <w:rsid w:val="6EFC4430"/>
    <w:rsid w:val="6F7A5481"/>
    <w:rsid w:val="6FB57438"/>
    <w:rsid w:val="6FFE07A9"/>
    <w:rsid w:val="71BF4EC2"/>
    <w:rsid w:val="72734D90"/>
    <w:rsid w:val="72E27499"/>
    <w:rsid w:val="72F07E08"/>
    <w:rsid w:val="732D105C"/>
    <w:rsid w:val="739B4366"/>
    <w:rsid w:val="73B42131"/>
    <w:rsid w:val="73E75B71"/>
    <w:rsid w:val="74017DF2"/>
    <w:rsid w:val="7412278C"/>
    <w:rsid w:val="74FB2A94"/>
    <w:rsid w:val="758A31ED"/>
    <w:rsid w:val="75DDCDA9"/>
    <w:rsid w:val="75FF44B1"/>
    <w:rsid w:val="773178F5"/>
    <w:rsid w:val="77670518"/>
    <w:rsid w:val="776C1A27"/>
    <w:rsid w:val="777234E1"/>
    <w:rsid w:val="777FA627"/>
    <w:rsid w:val="77DF1B5F"/>
    <w:rsid w:val="77EF2D9D"/>
    <w:rsid w:val="793B23AE"/>
    <w:rsid w:val="79D57D57"/>
    <w:rsid w:val="79E7B28D"/>
    <w:rsid w:val="7ACFF0C2"/>
    <w:rsid w:val="7AF9035A"/>
    <w:rsid w:val="7AFB37ED"/>
    <w:rsid w:val="7AFB9108"/>
    <w:rsid w:val="7B3A2568"/>
    <w:rsid w:val="7B8B2DC3"/>
    <w:rsid w:val="7BD5340C"/>
    <w:rsid w:val="7BE10C35"/>
    <w:rsid w:val="7BFB19D2"/>
    <w:rsid w:val="7BFD1750"/>
    <w:rsid w:val="7BFDAA1B"/>
    <w:rsid w:val="7CDF9A82"/>
    <w:rsid w:val="7CF76237"/>
    <w:rsid w:val="7CFFA1BD"/>
    <w:rsid w:val="7D2E3F7A"/>
    <w:rsid w:val="7DDEA338"/>
    <w:rsid w:val="7DED9490"/>
    <w:rsid w:val="7DFF06C1"/>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BF7D354C"/>
    <w:rsid w:val="CD9BBABB"/>
    <w:rsid w:val="CF7FE926"/>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9AA87C8"/>
    <w:rsid w:val="EA950BDF"/>
    <w:rsid w:val="EB39BD45"/>
    <w:rsid w:val="EBCF1FC2"/>
    <w:rsid w:val="EBD18F66"/>
    <w:rsid w:val="ED17392C"/>
    <w:rsid w:val="ED9FFD9A"/>
    <w:rsid w:val="EDB7968B"/>
    <w:rsid w:val="EEF73F60"/>
    <w:rsid w:val="EEFF544A"/>
    <w:rsid w:val="EFED9E42"/>
    <w:rsid w:val="EFFFB194"/>
    <w:rsid w:val="F2E1F9D4"/>
    <w:rsid w:val="F5FF7449"/>
    <w:rsid w:val="F7880819"/>
    <w:rsid w:val="F7AF180D"/>
    <w:rsid w:val="F7BDBFA7"/>
    <w:rsid w:val="F7FAD68F"/>
    <w:rsid w:val="F7FB14CF"/>
    <w:rsid w:val="FB3FC69C"/>
    <w:rsid w:val="FBBA9B14"/>
    <w:rsid w:val="FBDFF225"/>
    <w:rsid w:val="FBF7AB63"/>
    <w:rsid w:val="FC2F3373"/>
    <w:rsid w:val="FCF51535"/>
    <w:rsid w:val="FD77F6B8"/>
    <w:rsid w:val="FDD69328"/>
    <w:rsid w:val="FDDFEC0E"/>
    <w:rsid w:val="FDE58BDD"/>
    <w:rsid w:val="FDEC7001"/>
    <w:rsid w:val="FEDFE87F"/>
    <w:rsid w:val="FEED248D"/>
    <w:rsid w:val="FEF1D25B"/>
    <w:rsid w:val="FF3EF90F"/>
    <w:rsid w:val="FF755460"/>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NormalIndent"/>
    <w:basedOn w:val="1"/>
    <w:qFormat/>
    <w:uiPriority w:val="99"/>
    <w:pPr>
      <w:ind w:firstLine="4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188.31</c:v>
                </c:pt>
                <c:pt idx="1">
                  <c:v>214.58</c:v>
                </c:pt>
              </c:numCache>
            </c:numRef>
          </c:val>
        </c:ser>
        <c:ser>
          <c:idx val="1"/>
          <c:order val="1"/>
          <c:tx>
            <c:strRef>
              <c:f>Sheet1!$C$1</c:f>
              <c:strCache>
                <c:ptCount val="1"/>
                <c:pt idx="0">
                  <c:v>支出</c:v>
                </c:pt>
              </c:strCache>
            </c:strRef>
          </c:tx>
          <c:spPr>
            <a:solidFill>
              <a:srgbClr val="FFC000"/>
            </a:solidFill>
            <a:ln>
              <a:noFill/>
            </a:ln>
            <a:effectLst>
              <a:outerShdw blurRad="50800" dist="50800" dir="5400000" sx="1000" sy="1000" algn="ctr" rotWithShape="0">
                <a:srgbClr val="000000">
                  <a:alpha val="4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188.31</c:v>
                </c:pt>
                <c:pt idx="1">
                  <c:v>214.58</c:v>
                </c:pt>
              </c:numCache>
            </c:numRef>
          </c:val>
        </c:ser>
        <c:dLbls>
          <c:showLegendKey val="0"/>
          <c:showVal val="1"/>
          <c:showCatName val="0"/>
          <c:showSerName val="0"/>
          <c:showPercent val="0"/>
          <c:showBubbleSize val="0"/>
        </c:dLbls>
        <c:gapWidth val="108"/>
        <c:overlap val="-43"/>
        <c:axId val="965018745"/>
        <c:axId val="261915573"/>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2022年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6501874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915573"/>
        <c:crosses val="autoZero"/>
        <c:auto val="1"/>
        <c:lblAlgn val="ctr"/>
        <c:lblOffset val="100"/>
        <c:noMultiLvlLbl val="0"/>
      </c:catAx>
      <c:valAx>
        <c:axId val="2619155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01874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
                </c:pt>
              </c:strCache>
            </c:strRef>
          </c:tx>
          <c:spPr>
            <a:effectLst/>
          </c:spPr>
          <c:explosion val="0"/>
          <c:dPt>
            <c:idx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c:f>
              <c:strCache>
                <c:ptCount val="1"/>
                <c:pt idx="0">
                  <c:v>一般公共预算财政拨款收入</c:v>
                </c:pt>
              </c:strCache>
            </c:strRef>
          </c:cat>
          <c:val>
            <c:numRef>
              <c:extLst>
                <c:ext xmlns:c15="http://schemas.microsoft.com/office/drawing/2012/chart" uri="{02D57815-91ED-43cb-92C2-25804820EDAC}">
                  <c15:fullRef>
                    <c15:sqref>Sheet1!$B$2:$B$3</c15:sqref>
                  </c15:fullRef>
                </c:ext>
              </c:extLst>
              <c:f>Sheet1!$B$2</c:f>
              <c:numCache>
                <c:formatCode>General</c:formatCode>
                <c:ptCount val="1"/>
                <c:pt idx="0">
                  <c:v>214.58</c:v>
                </c:pt>
              </c:numCache>
            </c:numRef>
          </c:val>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
                      </c:pt>
                    </c:strCache>
                  </c:strRef>
                </c:tx>
                <c:spPr>
                  <a:solidFill>
                    <a:srgbClr val="FFC000"/>
                  </a:solidFill>
                  <a:effectLst/>
                </c:spPr>
                <c:explosion val="0"/>
                <c:dPt>
                  <c:idx val="0"/>
                  <c:bubble3D val="0"/>
                  <c:spPr>
                    <a:solidFill>
                      <a:srgbClr val="FFC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Sheet1!$A$2:$A$3</c15:sqref>
                        </c15:fullRef>
                        <c15:formulaRef>
                          <c15:sqref>Sheet1!$A$2</c15:sqref>
                        </c15:formulaRef>
                      </c:ext>
                    </c:extLst>
                    <c:strCache>
                      <c:ptCount val="1"/>
                      <c:pt idx="0">
                        <c:v>一般公共预算财政拨款收入</c:v>
                      </c:pt>
                    </c:strCache>
                  </c:strRef>
                </c:cat>
                <c:val>
                  <c:numRef>
                    <c:extLst>
                      <c:ext uri="{02D57815-91ED-43cb-92C2-25804820EDAC}">
                        <c15:fullRef>
                          <c15:sqref>Sheet1!$C$2:$C$3</c15:sqref>
                        </c15:fullRef>
                        <c15:formulaRef>
                          <c15:sqref>Sheet1!$C$2</c15:sqref>
                        </c15:formulaRef>
                      </c:ext>
                    </c:extLst>
                    <c:numCache>
                      <c:formatCode>General</c:formatCode>
                      <c:ptCount val="1"/>
                    </c:numCache>
                  </c:numRef>
                </c:val>
              </c15:ser>
            </c15:filteredPieSeries>
            <c15:filteredPieSeries>
              <c15:ser>
                <c:idx val="2"/>
                <c:order val="2"/>
                <c:tx>
                  <c:strRef>
                    <c:extLst>
                      <c:ext uri="{02D57815-91ED-43cb-92C2-25804820EDAC}">
                        <c15:formulaRef>
                          <c15:sqref>Sheet1!#REF!</c15:sqref>
                        </c15:formulaRef>
                      </c:ext>
                    </c:extLst>
                    <c:strCache>
                      <c:ptCount val="1"/>
                      <c:pt idx="0">
                        <c:v/>
                      </c:pt>
                    </c:strCache>
                  </c:strRef>
                </c:tx>
                <c:spPr>
                  <a:effectLst/>
                </c:spPr>
                <c:explosion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Sheet1!$A$2:$A$3</c15:sqref>
                        </c15:fullRef>
                        <c15:formulaRef>
                          <c15:sqref>Sheet1!$A$2</c15:sqref>
                        </c15:formulaRef>
                      </c:ext>
                    </c:extLst>
                    <c:strCache>
                      <c:ptCount val="1"/>
                      <c:pt idx="0">
                        <c:v>一般公共预算财政拨款收入</c:v>
                      </c:pt>
                    </c:strCache>
                  </c:strRef>
                </c:cat>
              </c15:ser>
            </c15:filteredPieSeries>
          </c:ext>
        </c:extLst>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
                </c:pt>
              </c:strCache>
            </c:strRef>
          </c:tx>
          <c:spPr>
            <a:effectLst/>
          </c:spPr>
          <c:explosion val="0"/>
          <c:dPt>
            <c:idx val="0"/>
            <c:bubble3D val="0"/>
            <c:spPr>
              <a:solidFill>
                <a:schemeClr val="accent1"/>
              </a:solidFill>
              <a:ln>
                <a:noFill/>
              </a:ln>
              <a:effectLst/>
            </c:spPr>
          </c:dPt>
          <c:dPt>
            <c:idx val="1"/>
            <c:bubble3D val="0"/>
            <c:spPr>
              <a:solidFill>
                <a:schemeClr val="accent2"/>
              </a:solidFill>
              <a:ln>
                <a:no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195.62</c:v>
                </c:pt>
                <c:pt idx="1">
                  <c:v>18.95</c:v>
                </c:pt>
              </c:numCache>
            </c:numRef>
          </c:val>
        </c:ser>
        <c:ser>
          <c:idx val="1"/>
          <c:order val="1"/>
          <c:tx>
            <c:strRef>
              <c:f>Sheet1!$C$1</c:f>
              <c:strCache>
                <c:ptCount val="1"/>
                <c:pt idx="0">
                  <c:v/>
                </c:pt>
              </c:strCache>
            </c:strRef>
          </c:tx>
          <c:spPr>
            <a:solidFill>
              <a:srgbClr val="FFC000"/>
            </a:solidFill>
            <a:effectLst/>
          </c:spPr>
          <c:explosion val="0"/>
          <c:dPt>
            <c:idx val="0"/>
            <c:bubble3D val="0"/>
            <c:spPr>
              <a:solidFill>
                <a:srgbClr val="FFC000"/>
              </a:solidFill>
              <a:ln>
                <a:noFill/>
              </a:ln>
              <a:effectLst/>
            </c:spPr>
          </c:dPt>
          <c:dPt>
            <c:idx val="1"/>
            <c:bubble3D val="0"/>
            <c:spPr>
              <a:solidFill>
                <a:srgbClr val="FFC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Sheet1!$C$2:$C$3</c:f>
              <c:numCache>
                <c:formatCode>General</c:formatCode>
                <c:ptCount val="2"/>
              </c:numCache>
            </c:numRef>
          </c:val>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2"/>
                <c:order val="2"/>
                <c:tx>
                  <c:strRef>
                    <c:extLst>
                      <c:ext uri="{02D57815-91ED-43cb-92C2-25804820EDAC}">
                        <c15:formulaRef>
                          <c15:sqref>Sheet1!#REF!</c15:sqref>
                        </c15:formulaRef>
                      </c:ext>
                    </c:extLst>
                    <c:strCache>
                      <c:ptCount val="1"/>
                      <c:pt idx="0">
                        <c:v/>
                      </c:pt>
                    </c:strCache>
                  </c:strRef>
                </c:tx>
                <c:spPr>
                  <a:effectLst/>
                </c:spPr>
                <c:explosion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基本支出</c:v>
                      </c:pt>
                      <c:pt idx="1">
                        <c:v>项目支出</c:v>
                      </c:pt>
                    </c:strCache>
                  </c:strRef>
                </c:cat>
              </c15:ser>
            </c15:filteredPieSeries>
          </c:ext>
        </c:extLst>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2022年</c:v>
                </c:pt>
                <c:pt idx="1">
                  <c:v>2023年</c:v>
                </c:pt>
              </c:strCache>
            </c:strRef>
          </c:cat>
          <c:val>
            <c:numRef>
              <c:f>Sheet1!$B$2:$C$2</c:f>
              <c:numCache>
                <c:formatCode>General</c:formatCode>
                <c:ptCount val="2"/>
                <c:pt idx="0">
                  <c:v>188.31</c:v>
                </c:pt>
                <c:pt idx="1">
                  <c:v>214.58</c:v>
                </c:pt>
              </c:numCache>
            </c:numRef>
          </c:val>
        </c:ser>
        <c:ser>
          <c:idx val="1"/>
          <c:order val="1"/>
          <c:tx>
            <c:strRef>
              <c:f>Sheet1!$A$3</c:f>
              <c:strCache>
                <c:ptCount val="1"/>
                <c:pt idx="0">
                  <c:v>支出</c:v>
                </c:pt>
              </c:strCache>
            </c:strRef>
          </c:tx>
          <c:spPr>
            <a:solidFill>
              <a:srgbClr val="FFC000"/>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Sheet1!$B$1:$C$1</c:f>
              <c:strCache>
                <c:ptCount val="2"/>
                <c:pt idx="0">
                  <c:v>2022年</c:v>
                </c:pt>
                <c:pt idx="1">
                  <c:v>2023年</c:v>
                </c:pt>
              </c:strCache>
            </c:strRef>
          </c:cat>
          <c:val>
            <c:numRef>
              <c:f>Sheet1!$B$3:$C$3</c:f>
              <c:numCache>
                <c:formatCode>General</c:formatCode>
                <c:ptCount val="2"/>
                <c:pt idx="0">
                  <c:v>188.31</c:v>
                </c:pt>
                <c:pt idx="1">
                  <c:v>214.58</c:v>
                </c:pt>
              </c:numCache>
            </c:numRef>
          </c:val>
        </c:ser>
        <c:dLbls>
          <c:showLegendKey val="0"/>
          <c:showVal val="1"/>
          <c:showCatName val="0"/>
          <c:showSerName val="0"/>
          <c:showPercent val="0"/>
          <c:showBubbleSize val="0"/>
        </c:dLbls>
        <c:gapWidth val="103"/>
        <c:overlap val="-28"/>
        <c:axId val="965018745"/>
        <c:axId val="261915573"/>
      </c:barChart>
      <c:catAx>
        <c:axId val="96501874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915573"/>
        <c:crosses val="autoZero"/>
        <c:auto val="1"/>
        <c:lblAlgn val="ctr"/>
        <c:lblOffset val="100"/>
        <c:noMultiLvlLbl val="0"/>
      </c:catAx>
      <c:valAx>
        <c:axId val="261915573"/>
        <c:scaling>
          <c:orientation val="minMax"/>
          <c:max val="250"/>
          <c:min val="0"/>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018745"/>
        <c:crosses val="autoZero"/>
        <c:crossBetween val="between"/>
        <c:majorUnit val="50"/>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c:f>
              <c:strCache>
                <c:ptCount val="1"/>
                <c:pt idx="0">
                  <c:v>一般公共预算财政拨款支出</c:v>
                </c:pt>
              </c:strCache>
            </c:strRef>
          </c:cat>
          <c:val>
            <c:numRef>
              <c:extLst>
                <c:ext xmlns:c15="http://schemas.microsoft.com/office/drawing/2012/chart" uri="{02D57815-91ED-43cb-92C2-25804820EDAC}">
                  <c15:fullRef>
                    <c15:sqref>Sheet1!$B$2:$B$3</c15:sqref>
                  </c15:fullRef>
                </c:ext>
              </c:extLst>
              <c:f>Sheet1!$B$2</c:f>
              <c:numCache>
                <c:formatCode>General</c:formatCode>
                <c:ptCount val="1"/>
                <c:pt idx="0">
                  <c:v>188.31</c:v>
                </c:pt>
              </c:numCache>
            </c:numRef>
          </c:val>
        </c:ser>
        <c:ser>
          <c:idx val="1"/>
          <c:order val="1"/>
          <c:tx>
            <c:strRef>
              <c:f>Sheet1!$C$1</c:f>
              <c:strCache>
                <c:ptCount val="1"/>
                <c:pt idx="0">
                  <c:v>2023年</c:v>
                </c:pt>
              </c:strCache>
            </c:strRef>
          </c:tx>
          <c:spPr>
            <a:solidFill>
              <a:srgbClr val="FFC000"/>
            </a:solidFill>
            <a:ln>
              <a:noFill/>
            </a:ln>
            <a:effectLst>
              <a:outerShdw blurRad="50800" dist="50800" dir="5400000" sx="1000" sy="1000" algn="ctr" rotWithShape="0">
                <a:srgbClr val="000000">
                  <a:alpha val="43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c:f>
              <c:strCache>
                <c:ptCount val="1"/>
                <c:pt idx="0">
                  <c:v>一般公共预算财政拨款支出</c:v>
                </c:pt>
              </c:strCache>
            </c:strRef>
          </c:cat>
          <c:val>
            <c:numRef>
              <c:extLst>
                <c:ext xmlns:c15="http://schemas.microsoft.com/office/drawing/2012/chart" uri="{02D57815-91ED-43cb-92C2-25804820EDAC}">
                  <c15:fullRef>
                    <c15:sqref>Sheet1!$C$2:$C$3</c15:sqref>
                  </c15:fullRef>
                </c:ext>
              </c:extLst>
              <c:f>Sheet1!$C$2</c:f>
              <c:numCache>
                <c:formatCode>General</c:formatCode>
                <c:ptCount val="1"/>
                <c:pt idx="0">
                  <c:v>214.58</c:v>
                </c:pt>
              </c:numCache>
            </c:numRef>
          </c:val>
        </c:ser>
        <c:dLbls>
          <c:showLegendKey val="0"/>
          <c:showVal val="1"/>
          <c:showCatName val="0"/>
          <c:showSerName val="0"/>
          <c:showPercent val="0"/>
          <c:showBubbleSize val="0"/>
        </c:dLbls>
        <c:gapWidth val="108"/>
        <c:overlap val="-43"/>
        <c:axId val="965018745"/>
        <c:axId val="261915573"/>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Sheet1!$A$2:$A$3</c15:sqref>
                        </c15:fullRef>
                        <c15:formulaRef>
                          <c15:sqref>Sheet1!$A$2</c15:sqref>
                        </c15:formulaRef>
                      </c:ext>
                    </c:extLst>
                    <c:strCache>
                      <c:ptCount val="1"/>
                      <c:pt idx="0">
                        <c:v>一般公共预算财政拨款支出</c:v>
                      </c:pt>
                    </c:strCache>
                  </c:strRef>
                </c:cat>
              </c15:ser>
            </c15:filteredBarSeries>
          </c:ext>
        </c:extLst>
      </c:barChart>
      <c:catAx>
        <c:axId val="965018745"/>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915573"/>
        <c:crosses val="autoZero"/>
        <c:auto val="1"/>
        <c:lblAlgn val="ctr"/>
        <c:lblOffset val="100"/>
        <c:noMultiLvlLbl val="0"/>
      </c:catAx>
      <c:valAx>
        <c:axId val="261915573"/>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01874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支出明细</c:v>
                </c:pt>
              </c:strCache>
            </c:strRef>
          </c:tx>
          <c:spPr>
            <a:effectLst/>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一般公共服务支出</c:v>
                </c:pt>
                <c:pt idx="1">
                  <c:v>社会保障和就业支出</c:v>
                </c:pt>
                <c:pt idx="2">
                  <c:v>卫生健康支出</c:v>
                </c:pt>
              </c:strCache>
            </c:strRef>
          </c:cat>
          <c:val>
            <c:numRef>
              <c:f>Sheet1!$B$2:$B$4</c:f>
              <c:numCache>
                <c:formatCode>General</c:formatCode>
                <c:ptCount val="3"/>
                <c:pt idx="0">
                  <c:v>189.61</c:v>
                </c:pt>
                <c:pt idx="1">
                  <c:v>18.79</c:v>
                </c:pt>
                <c:pt idx="2">
                  <c:v>6.17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支出明细</c:v>
                </c:pt>
              </c:strCache>
            </c:strRef>
          </c:tx>
          <c:spPr>
            <a:effectLst/>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10031</Words>
  <Characters>11059</Characters>
  <Lines>54</Lines>
  <Paragraphs>15</Paragraphs>
  <TotalTime>10</TotalTime>
  <ScaleCrop>false</ScaleCrop>
  <LinksUpToDate>false</LinksUpToDate>
  <CharactersWithSpaces>11119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市地志办罗平</cp:lastModifiedBy>
  <cp:lastPrinted>2024-09-12T02:56:00Z</cp:lastPrinted>
  <dcterms:modified xsi:type="dcterms:W3CDTF">2024-09-12T07:19:11Z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548EC72541D45C80746EDA66F992C463_42</vt:lpwstr>
  </property>
</Properties>
</file>