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B7D94">
      <w:pPr>
        <w:pStyle w:val="2"/>
        <w:jc w:val="center"/>
        <w:rPr>
          <w:rFonts w:hint="eastAsia" w:ascii="方正小标宋简体" w:hAnsi="宋体" w:eastAsia="方正小标宋简体" w:cs="Times New Roman"/>
          <w:color w:val="auto"/>
          <w:kern w:val="2"/>
          <w:sz w:val="44"/>
          <w:szCs w:val="44"/>
          <w:highlight w:val="none"/>
          <w:lang w:val="en-US" w:eastAsia="zh-CN" w:bidi="ar-SA"/>
        </w:rPr>
      </w:pPr>
    </w:p>
    <w:p w14:paraId="4467CCBE">
      <w:pPr>
        <w:pStyle w:val="2"/>
        <w:jc w:val="center"/>
        <w:rPr>
          <w:rFonts w:hint="eastAsia" w:ascii="方正小标宋简体" w:hAnsi="宋体" w:eastAsia="方正小标宋简体" w:cs="Times New Roman"/>
          <w:color w:val="auto"/>
          <w:kern w:val="2"/>
          <w:sz w:val="44"/>
          <w:szCs w:val="44"/>
          <w:highlight w:val="none"/>
          <w:lang w:val="en-US" w:eastAsia="zh-CN" w:bidi="ar-SA"/>
        </w:rPr>
      </w:pPr>
    </w:p>
    <w:p w14:paraId="3624A5E1">
      <w:pPr>
        <w:pStyle w:val="2"/>
        <w:jc w:val="center"/>
        <w:rPr>
          <w:rFonts w:hint="eastAsia" w:ascii="方正小标宋简体" w:hAnsi="宋体" w:eastAsia="方正小标宋简体" w:cs="Times New Roman"/>
          <w:color w:val="auto"/>
          <w:kern w:val="2"/>
          <w:sz w:val="44"/>
          <w:szCs w:val="44"/>
          <w:highlight w:val="none"/>
          <w:lang w:val="en-US" w:eastAsia="zh-CN" w:bidi="ar-SA"/>
        </w:rPr>
      </w:pPr>
    </w:p>
    <w:p w14:paraId="2EF9A623">
      <w:pPr>
        <w:pStyle w:val="2"/>
        <w:jc w:val="both"/>
        <w:rPr>
          <w:rFonts w:hint="eastAsia" w:ascii="方正小标宋简体" w:hAnsi="宋体" w:eastAsia="方正小标宋简体" w:cs="Times New Roman"/>
          <w:color w:val="auto"/>
          <w:kern w:val="2"/>
          <w:sz w:val="44"/>
          <w:szCs w:val="44"/>
          <w:highlight w:val="none"/>
          <w:lang w:val="en-US" w:eastAsia="zh-CN" w:bidi="ar-SA"/>
        </w:rPr>
      </w:pPr>
    </w:p>
    <w:p w14:paraId="1EA74B34">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p>
    <w:p w14:paraId="6BAC5257">
      <w:pPr>
        <w:pStyle w:val="2"/>
        <w:jc w:val="center"/>
        <w:outlineLvl w:val="0"/>
        <w:rPr>
          <w:rFonts w:hint="eastAsia" w:ascii="方正小标宋简体" w:hAnsi="宋体" w:eastAsia="方正小标宋简体" w:cs="Times New Roman"/>
          <w:color w:val="auto"/>
          <w:kern w:val="2"/>
          <w:sz w:val="44"/>
          <w:szCs w:val="44"/>
          <w:highlight w:val="none"/>
          <w:lang w:val="en-US" w:eastAsia="zh-CN" w:bidi="ar-SA"/>
        </w:rPr>
      </w:pPr>
      <w:bookmarkStart w:id="0" w:name="_Toc27293"/>
      <w:r>
        <w:rPr>
          <w:rFonts w:hint="eastAsia" w:ascii="方正小标宋简体" w:hAnsi="宋体" w:eastAsia="方正小标宋简体" w:cs="Times New Roman"/>
          <w:color w:val="auto"/>
          <w:kern w:val="2"/>
          <w:sz w:val="44"/>
          <w:szCs w:val="44"/>
          <w:highlight w:val="none"/>
          <w:lang w:val="en-US" w:eastAsia="zh-CN" w:bidi="ar-SA"/>
        </w:rPr>
        <w:t>四川省广安市邻水生态环境局</w:t>
      </w:r>
      <w:bookmarkEnd w:id="0"/>
    </w:p>
    <w:p w14:paraId="5D92E046">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p>
    <w:p w14:paraId="23453A83"/>
    <w:p w14:paraId="47003E4C">
      <w:pPr>
        <w:pStyle w:val="10"/>
      </w:pPr>
    </w:p>
    <w:p w14:paraId="3030E150">
      <w:pPr>
        <w:pStyle w:val="6"/>
      </w:pPr>
    </w:p>
    <w:p w14:paraId="5C711C84">
      <w:pPr>
        <w:pStyle w:val="6"/>
      </w:pPr>
    </w:p>
    <w:p w14:paraId="59A49B68">
      <w:pPr>
        <w:pStyle w:val="6"/>
      </w:pPr>
    </w:p>
    <w:p w14:paraId="3C6E9BEA">
      <w:pPr>
        <w:pStyle w:val="6"/>
      </w:pPr>
    </w:p>
    <w:p w14:paraId="30165B96">
      <w:pPr>
        <w:pStyle w:val="6"/>
      </w:pPr>
    </w:p>
    <w:p w14:paraId="1B7F69BF">
      <w:pPr>
        <w:pStyle w:val="6"/>
      </w:pPr>
    </w:p>
    <w:p w14:paraId="39F9A1C5">
      <w:pPr>
        <w:pStyle w:val="6"/>
      </w:pPr>
    </w:p>
    <w:p w14:paraId="0050703C">
      <w:pPr>
        <w:pStyle w:val="6"/>
      </w:pPr>
    </w:p>
    <w:p w14:paraId="01293454">
      <w:pPr>
        <w:pStyle w:val="6"/>
      </w:pPr>
    </w:p>
    <w:p w14:paraId="32D95865">
      <w:pPr>
        <w:pStyle w:val="6"/>
      </w:pPr>
    </w:p>
    <w:p w14:paraId="7584E9DA">
      <w:pPr>
        <w:pStyle w:val="6"/>
      </w:pPr>
    </w:p>
    <w:p w14:paraId="5DAAEE01">
      <w:pPr>
        <w:pStyle w:val="6"/>
        <w:sectPr>
          <w:pgSz w:w="11906" w:h="16838"/>
          <w:pgMar w:top="1440" w:right="1800" w:bottom="1440" w:left="1800" w:header="851" w:footer="992" w:gutter="0"/>
          <w:cols w:space="425" w:num="1"/>
          <w:docGrid w:type="lines" w:linePitch="312" w:charSpace="0"/>
        </w:sectPr>
      </w:pPr>
    </w:p>
    <w:p w14:paraId="21F804A0">
      <w:pPr>
        <w:pStyle w:val="6"/>
        <w:ind w:left="0" w:leftChars="0" w:firstLine="0" w:firstLineChars="0"/>
      </w:pPr>
    </w:p>
    <w:p w14:paraId="11D68A31">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05354E64">
      <w:pPr>
        <w:widowControl/>
        <w:jc w:val="center"/>
        <w:rPr>
          <w:rFonts w:ascii="黑体" w:hAnsi="黑体" w:eastAsia="黑体" w:cs="Times New Roman"/>
          <w:color w:val="auto"/>
          <w:sz w:val="28"/>
          <w:szCs w:val="28"/>
          <w:highlight w:val="none"/>
        </w:rPr>
      </w:pPr>
    </w:p>
    <w:p w14:paraId="5F3CAB89">
      <w:pPr>
        <w:pStyle w:val="9"/>
        <w:rPr>
          <w:color w:val="auto"/>
          <w:highlight w:val="none"/>
        </w:rPr>
      </w:pPr>
      <w:r>
        <w:rPr>
          <w:rFonts w:hint="eastAsia"/>
          <w:color w:val="auto"/>
          <w:highlight w:val="none"/>
        </w:rPr>
        <w:t>公开时间：20</w:t>
      </w:r>
      <w:r>
        <w:rPr>
          <w:rFonts w:hint="eastAsia"/>
          <w:color w:val="auto"/>
          <w:highlight w:val="none"/>
          <w:lang w:val="en-US" w:eastAsia="zh-CN"/>
        </w:rPr>
        <w:t>24</w:t>
      </w:r>
      <w:bookmarkStart w:id="45" w:name="_GoBack"/>
      <w:bookmarkEnd w:id="45"/>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sdt>
      <w:sdtPr>
        <w:rPr>
          <w:rFonts w:ascii="宋体" w:hAnsi="宋体" w:eastAsia="宋体" w:cs="Times New Roman"/>
          <w:color w:val="auto"/>
          <w:kern w:val="2"/>
          <w:sz w:val="21"/>
          <w:szCs w:val="24"/>
          <w:lang w:val="en-US" w:eastAsia="zh-CN" w:bidi="ar-SA"/>
        </w:rPr>
        <w:id w:val="147463726"/>
        <w15:color w:val="DBDBDB"/>
        <w:docPartObj>
          <w:docPartGallery w:val="Table of Contents"/>
          <w:docPartUnique/>
        </w:docPartObj>
      </w:sdtPr>
      <w:sdtEndPr>
        <w:rPr>
          <w:rFonts w:ascii="仿宋_GB2312" w:hAnsi="Calibri" w:eastAsia="宋体" w:cs="Times New Roman"/>
          <w:color w:val="auto"/>
          <w:kern w:val="2"/>
          <w:sz w:val="21"/>
          <w:szCs w:val="32"/>
          <w:lang w:val="en-US" w:eastAsia="zh-CN" w:bidi="ar-SA"/>
        </w:rPr>
      </w:sdtEndPr>
      <w:sdtContent>
        <w:p w14:paraId="4717FFAA">
          <w:pPr>
            <w:spacing w:before="0" w:beforeLines="0" w:after="0" w:afterLines="0" w:line="240" w:lineRule="auto"/>
            <w:ind w:left="0" w:leftChars="0" w:right="0" w:rightChars="0" w:firstLine="0" w:firstLineChars="0"/>
            <w:jc w:val="center"/>
          </w:pPr>
        </w:p>
        <w:p w14:paraId="38C2F57B">
          <w:pPr>
            <w:pStyle w:val="19"/>
            <w:tabs>
              <w:tab w:val="right" w:leader="dot" w:pos="8306"/>
            </w:tabs>
            <w:rPr>
              <w:rFonts w:hint="eastAsia" w:ascii="宋体" w:hAnsi="宋体" w:eastAsia="宋体" w:cs="宋体"/>
              <w:sz w:val="28"/>
              <w:szCs w:val="28"/>
            </w:rPr>
          </w:pPr>
          <w:r>
            <w:rPr>
              <w:sz w:val="28"/>
              <w:szCs w:val="28"/>
            </w:rPr>
            <w:fldChar w:fldCharType="begin"/>
          </w:r>
          <w:r>
            <w:rPr>
              <w:sz w:val="28"/>
              <w:szCs w:val="28"/>
            </w:rPr>
            <w:instrText xml:space="preserve">TOC \o "1-3" \h \u </w:instrText>
          </w:r>
          <w:r>
            <w:rPr>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_Toc15556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第一部分</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eastAsia="zh-CN"/>
            </w:rPr>
            <w:t>单位</w:t>
          </w:r>
          <w:r>
            <w:rPr>
              <w:rFonts w:hint="eastAsia" w:ascii="宋体" w:hAnsi="宋体" w:eastAsia="宋体" w:cs="宋体"/>
              <w:bCs w:val="0"/>
              <w:sz w:val="28"/>
              <w:szCs w:val="28"/>
              <w:highlight w:val="none"/>
            </w:rPr>
            <w:t>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_Toc15556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D9BF92">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_Toc13808 </w:instrText>
          </w:r>
          <w:r>
            <w:rPr>
              <w:rFonts w:hint="eastAsia" w:ascii="宋体" w:hAnsi="宋体" w:eastAsia="宋体" w:cs="宋体"/>
              <w:sz w:val="28"/>
              <w:szCs w:val="28"/>
            </w:rPr>
            <w:fldChar w:fldCharType="separate"/>
          </w:r>
          <w:r>
            <w:rPr>
              <w:rFonts w:hint="eastAsia" w:ascii="宋体" w:hAnsi="宋体" w:eastAsia="宋体" w:cs="宋体"/>
              <w:bCs w:val="0"/>
              <w:kern w:val="2"/>
              <w:sz w:val="28"/>
              <w:szCs w:val="28"/>
              <w:highlight w:val="none"/>
              <w:lang w:val="en-US" w:eastAsia="zh-CN" w:bidi="ar-SA"/>
            </w:rPr>
            <w:t>一、主要职责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_Toc13808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65D43C">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_Toc26104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二、机构设置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_Toc26104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F8E3DF9">
          <w:pPr>
            <w:pStyle w:val="19"/>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_Toc10798 </w:instrText>
          </w:r>
          <w:r>
            <w:rPr>
              <w:rFonts w:hint="eastAsia" w:ascii="宋体" w:hAnsi="宋体" w:eastAsia="宋体" w:cs="宋体"/>
              <w:sz w:val="28"/>
              <w:szCs w:val="28"/>
            </w:rPr>
            <w:fldChar w:fldCharType="separate"/>
          </w:r>
          <w:r>
            <w:rPr>
              <w:rFonts w:hint="eastAsia" w:ascii="宋体" w:hAnsi="宋体" w:eastAsia="宋体" w:cs="宋体"/>
              <w:bCs/>
              <w:sz w:val="28"/>
              <w:szCs w:val="28"/>
              <w:highlight w:val="none"/>
            </w:rPr>
            <w:t>第二部分</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 xml:space="preserve"> </w:t>
          </w:r>
          <w:r>
            <w:rPr>
              <w:rFonts w:hint="eastAsia" w:ascii="宋体" w:hAnsi="宋体" w:eastAsia="宋体" w:cs="宋体"/>
              <w:bCs/>
              <w:sz w:val="28"/>
              <w:szCs w:val="28"/>
              <w:highlight w:val="none"/>
              <w:lang w:val="en-US" w:eastAsia="zh-CN"/>
            </w:rPr>
            <w:t>2023年度</w:t>
          </w:r>
          <w:r>
            <w:rPr>
              <w:rFonts w:hint="eastAsia" w:ascii="宋体" w:hAnsi="宋体" w:eastAsia="宋体" w:cs="宋体"/>
              <w:bCs/>
              <w:sz w:val="28"/>
              <w:szCs w:val="28"/>
              <w:highlight w:val="none"/>
              <w:lang w:eastAsia="zh-CN"/>
            </w:rPr>
            <w:t>单位</w:t>
          </w:r>
          <w:r>
            <w:rPr>
              <w:rFonts w:hint="eastAsia" w:ascii="宋体" w:hAnsi="宋体" w:eastAsia="宋体" w:cs="宋体"/>
              <w:bCs/>
              <w:sz w:val="28"/>
              <w:szCs w:val="28"/>
              <w:highlight w:val="none"/>
            </w:rPr>
            <w:t>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_Toc10798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C6F37D">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_Toc29564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_Toc29564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0FD168">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_Toc8944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二、</w:t>
          </w:r>
          <w:r>
            <w:rPr>
              <w:rFonts w:hint="eastAsia" w:ascii="宋体" w:hAnsi="宋体" w:eastAsia="宋体" w:cs="宋体"/>
              <w:sz w:val="28"/>
              <w:szCs w:val="28"/>
              <w:highlight w:val="none"/>
            </w:rPr>
            <w:t>收入决算情况说明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_Toc8944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789E950">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_Toc26244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_Toc26244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1E1F723">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_Toc4675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四、财政拨款收入支出决算总体情况说明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_Toc4675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D28CDE2">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_Toc23514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五、一般公共预算财政拨款支出决算情况说明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_Toc23514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E10C874">
          <w:pPr>
            <w:pStyle w:val="2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_Toc26717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（一）一般公共预算财政拨款支出决算总体情况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_Toc26717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F150B45">
          <w:pPr>
            <w:pStyle w:val="2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_Toc24042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（二）一般公共预算财政拨款支出决算结构情况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_Toc24042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C450AA">
          <w:pPr>
            <w:pStyle w:val="2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_Toc26421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（三）一般公共预算财政拨款支出决算具体情况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_Toc26421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108A21">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_Toc8339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六、一般公共预算财政拨款基本支出决算情况说明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_Toc8339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197098">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_Toc11289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、财政拨款“三公”经费支出决算情况说明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_Toc11289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59C429">
          <w:pPr>
            <w:pStyle w:val="2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_Toc30587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（一）“三公”经费财政拨款支出决算总体情况说明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_Toc30587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FD87A3">
          <w:pPr>
            <w:pStyle w:val="2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_Toc23779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（二）“三公”经费财政拨款支出决算具体情况说明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_Toc23779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A55F36">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_Toc25006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八</w:t>
          </w:r>
          <w:r>
            <w:rPr>
              <w:rFonts w:hint="eastAsia" w:ascii="宋体" w:hAnsi="宋体" w:eastAsia="宋体" w:cs="宋体"/>
              <w:sz w:val="28"/>
              <w:szCs w:val="28"/>
              <w:highlight w:val="none"/>
            </w:rPr>
            <w:t>、政府性基金预算支出决算情况说明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_Toc25006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8CAA0D6">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_Toc20791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九、</w:t>
          </w:r>
          <w:r>
            <w:rPr>
              <w:rFonts w:hint="eastAsia" w:ascii="宋体" w:hAnsi="宋体" w:eastAsia="宋体" w:cs="宋体"/>
              <w:sz w:val="28"/>
              <w:szCs w:val="28"/>
              <w:highlight w:val="none"/>
            </w:rPr>
            <w:t>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_Toc20791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10C5560">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_Toc29201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十、</w:t>
          </w:r>
          <w:r>
            <w:rPr>
              <w:rFonts w:hint="eastAsia" w:ascii="宋体" w:hAnsi="宋体" w:eastAsia="宋体" w:cs="宋体"/>
              <w:sz w:val="28"/>
              <w:szCs w:val="28"/>
              <w:highlight w:val="none"/>
            </w:rPr>
            <w:t>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_Toc29201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F94C0EC">
          <w:pPr>
            <w:pStyle w:val="2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_Toc17807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（一）机关运行经费支出情况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_Toc17807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C0FE4F2">
          <w:pPr>
            <w:pStyle w:val="2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_Toc23455 </w:instrText>
          </w:r>
          <w:r>
            <w:rPr>
              <w:rFonts w:hint="eastAsia" w:ascii="宋体" w:hAnsi="宋体" w:eastAsia="宋体" w:cs="宋体"/>
              <w:sz w:val="28"/>
              <w:szCs w:val="28"/>
            </w:rPr>
            <w:fldChar w:fldCharType="separate"/>
          </w:r>
          <w:r>
            <w:rPr>
              <w:rFonts w:hint="eastAsia" w:ascii="宋体" w:hAnsi="宋体" w:eastAsia="宋体" w:cs="宋体"/>
              <w:sz w:val="28"/>
              <w:szCs w:val="28"/>
            </w:rPr>
            <w:t>（二）</w:t>
          </w:r>
          <w:r>
            <w:rPr>
              <w:rFonts w:hint="eastAsia" w:ascii="宋体" w:hAnsi="宋体" w:eastAsia="宋体" w:cs="宋体"/>
              <w:sz w:val="28"/>
              <w:szCs w:val="28"/>
              <w:highlight w:val="none"/>
            </w:rPr>
            <w:t>政府采购支出情况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_Toc23455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E6BBE4">
          <w:pPr>
            <w:pStyle w:val="2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_Toc4035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（三）国有资产占有使用情况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_Toc4035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079F25">
          <w:pPr>
            <w:pStyle w:val="2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_Toc22666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（四）预算绩效管理情况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_Toc22666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424A1B">
          <w:pPr>
            <w:pStyle w:val="19"/>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_Toc13836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第三部分</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名词解释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_Toc13836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B4CAAF">
          <w:pPr>
            <w:pStyle w:val="19"/>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_Toc32690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bidi="ar-SA"/>
            </w:rPr>
            <w:t xml:space="preserve">第四部分  </w:t>
          </w:r>
          <w:r>
            <w:rPr>
              <w:rFonts w:hint="eastAsia" w:ascii="宋体" w:hAnsi="宋体" w:eastAsia="宋体" w:cs="宋体"/>
              <w:sz w:val="28"/>
              <w:szCs w:val="28"/>
              <w:highlight w:val="none"/>
              <w:lang w:val="en-US" w:eastAsia="zh-CN"/>
            </w:rPr>
            <w:t>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_Toc32690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657B41">
          <w:pPr>
            <w:pStyle w:val="19"/>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_Toc8869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第五部分</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_Toc8869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C533D2">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_Toc11501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一、收</w:t>
          </w:r>
          <w:r>
            <w:rPr>
              <w:rFonts w:hint="eastAsia" w:ascii="宋体" w:hAnsi="宋体" w:eastAsia="宋体" w:cs="宋体"/>
              <w:bCs w:val="0"/>
              <w:sz w:val="28"/>
              <w:szCs w:val="28"/>
              <w:highlight w:val="none"/>
            </w:rPr>
            <w:t>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_Toc11501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875261">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_Toc24766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二、收</w:t>
          </w:r>
          <w:r>
            <w:rPr>
              <w:rFonts w:hint="eastAsia" w:ascii="宋体" w:hAnsi="宋体" w:eastAsia="宋体" w:cs="宋体"/>
              <w:bCs w:val="0"/>
              <w:sz w:val="28"/>
              <w:szCs w:val="28"/>
              <w:highlight w:val="none"/>
            </w:rPr>
            <w:t>入决算表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_Toc24766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4584F1">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_Toc23357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三、</w:t>
          </w:r>
          <w:r>
            <w:rPr>
              <w:rFonts w:hint="eastAsia" w:ascii="宋体" w:hAnsi="宋体" w:eastAsia="宋体" w:cs="宋体"/>
              <w:sz w:val="28"/>
              <w:szCs w:val="28"/>
              <w:highlight w:val="none"/>
            </w:rPr>
            <w:t>支</w:t>
          </w:r>
          <w:r>
            <w:rPr>
              <w:rFonts w:hint="eastAsia" w:ascii="宋体" w:hAnsi="宋体" w:eastAsia="宋体" w:cs="宋体"/>
              <w:bCs w:val="0"/>
              <w:sz w:val="28"/>
              <w:szCs w:val="28"/>
              <w:highlight w:val="none"/>
            </w:rPr>
            <w:t>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_Toc23357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6BBD3F">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_Toc16416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四、</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政拨款收入支出决算总表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_Toc16416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E361B9">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_Toc4548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五、</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_Toc4548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1B2E14B">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_Toc25502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六、</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_Toc25502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304825">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_Toc686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七、</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_Toc686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85062D">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_Toc27857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八、</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般公共预算财政拨款基本支出决算表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_Toc27857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7997CF">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_Toc2277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九、</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般公共预算财政拨款项目支出决算表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_Toc2277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C75D56">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_Toc21477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w:t>
          </w:r>
          <w:r>
            <w:rPr>
              <w:rFonts w:hint="eastAsia" w:ascii="宋体" w:hAnsi="宋体" w:eastAsia="宋体" w:cs="宋体"/>
              <w:sz w:val="28"/>
              <w:szCs w:val="28"/>
              <w:highlight w:val="none"/>
            </w:rPr>
            <w:t>政</w:t>
          </w:r>
          <w:r>
            <w:rPr>
              <w:rFonts w:hint="eastAsia" w:ascii="宋体" w:hAnsi="宋体" w:eastAsia="宋体" w:cs="宋体"/>
              <w:bCs w:val="0"/>
              <w:sz w:val="28"/>
              <w:szCs w:val="28"/>
              <w:highlight w:val="none"/>
            </w:rPr>
            <w:t>府性基金预算财政拨款收入支出决算表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_Toc21477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601D23A">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_Toc18718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十一、</w:t>
          </w:r>
          <w:r>
            <w:rPr>
              <w:rFonts w:hint="eastAsia" w:ascii="宋体" w:hAnsi="宋体" w:eastAsia="宋体" w:cs="宋体"/>
              <w:sz w:val="28"/>
              <w:szCs w:val="28"/>
              <w:highlight w:val="none"/>
            </w:rPr>
            <w:t>国</w:t>
          </w:r>
          <w:r>
            <w:rPr>
              <w:rFonts w:hint="eastAsia" w:ascii="宋体" w:hAnsi="宋体" w:eastAsia="宋体" w:cs="宋体"/>
              <w:bCs w:val="0"/>
              <w:sz w:val="28"/>
              <w:szCs w:val="28"/>
              <w:highlight w:val="none"/>
            </w:rPr>
            <w:t>有资本经营预算</w:t>
          </w:r>
          <w:r>
            <w:rPr>
              <w:rFonts w:hint="eastAsia" w:ascii="宋体" w:hAnsi="宋体" w:eastAsia="宋体" w:cs="宋体"/>
              <w:bCs w:val="0"/>
              <w:sz w:val="28"/>
              <w:szCs w:val="28"/>
              <w:highlight w:val="none"/>
              <w:lang w:eastAsia="zh-CN"/>
            </w:rPr>
            <w:t>财政拨款收入</w:t>
          </w:r>
          <w:r>
            <w:rPr>
              <w:rFonts w:hint="eastAsia" w:ascii="宋体" w:hAnsi="宋体" w:eastAsia="宋体" w:cs="宋体"/>
              <w:bCs w:val="0"/>
              <w:sz w:val="28"/>
              <w:szCs w:val="28"/>
              <w:highlight w:val="none"/>
            </w:rPr>
            <w:t>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_Toc18718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FB47B2">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_Toc2802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十二、</w:t>
          </w:r>
          <w:r>
            <w:rPr>
              <w:rFonts w:hint="eastAsia" w:ascii="宋体" w:hAnsi="宋体" w:eastAsia="宋体" w:cs="宋体"/>
              <w:bCs w:val="0"/>
              <w:sz w:val="28"/>
              <w:szCs w:val="28"/>
              <w:highlight w:val="none"/>
              <w:lang w:eastAsia="zh-CN"/>
            </w:rPr>
            <w:t>国有资本经营预算财政拨款支出决算表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_Toc2802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F6D992E">
          <w:pPr>
            <w:pStyle w:val="2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_Toc13420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十三、</w:t>
          </w:r>
          <w:r>
            <w:rPr>
              <w:rFonts w:hint="eastAsia" w:ascii="宋体" w:hAnsi="宋体" w:eastAsia="宋体" w:cs="宋体"/>
              <w:bCs w:val="0"/>
              <w:sz w:val="28"/>
              <w:szCs w:val="28"/>
              <w:highlight w:val="none"/>
              <w:lang w:eastAsia="zh-CN"/>
            </w:rPr>
            <w:t>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_Toc13420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C8DEF77">
          <w:pPr>
            <w:pStyle w:val="6"/>
            <w:rPr>
              <w:rFonts w:ascii="仿宋_GB2312" w:hAnsi="Calibri" w:eastAsia="宋体" w:cs="Times New Roman"/>
              <w:color w:val="auto"/>
              <w:kern w:val="2"/>
              <w:sz w:val="21"/>
              <w:szCs w:val="32"/>
              <w:lang w:val="en-US" w:eastAsia="zh-CN" w:bidi="ar-SA"/>
            </w:rPr>
          </w:pPr>
          <w:r>
            <w:rPr>
              <w:sz w:val="28"/>
              <w:szCs w:val="28"/>
            </w:rPr>
            <w:fldChar w:fldCharType="end"/>
          </w:r>
        </w:p>
      </w:sdtContent>
    </w:sdt>
    <w:p w14:paraId="053A4897">
      <w:pPr>
        <w:pStyle w:val="6"/>
        <w:ind w:left="0" w:leftChars="0" w:firstLine="0" w:firstLineChars="0"/>
        <w:sectPr>
          <w:pgSz w:w="11906" w:h="16838"/>
          <w:pgMar w:top="1440" w:right="1800" w:bottom="1440" w:left="1800" w:header="851" w:footer="992" w:gutter="0"/>
          <w:cols w:space="425" w:num="1"/>
          <w:docGrid w:type="lines" w:linePitch="312" w:charSpace="0"/>
        </w:sectPr>
      </w:pPr>
    </w:p>
    <w:p w14:paraId="44B9CF7E">
      <w:pPr>
        <w:pStyle w:val="6"/>
        <w:ind w:left="0" w:leftChars="0" w:firstLine="0" w:firstLineChars="0"/>
      </w:pPr>
    </w:p>
    <w:p w14:paraId="038A7DB9">
      <w:pPr>
        <w:pStyle w:val="3"/>
        <w:keepNext/>
        <w:keepLines/>
        <w:pageBreakBefore w:val="0"/>
        <w:widowControl w:val="0"/>
        <w:kinsoku/>
        <w:wordWrap/>
        <w:overflowPunct/>
        <w:topLinePunct w:val="0"/>
        <w:autoSpaceDE/>
        <w:autoSpaceDN/>
        <w:bidi w:val="0"/>
        <w:adjustRightInd/>
        <w:snapToGrid/>
        <w:spacing w:line="579" w:lineRule="auto"/>
        <w:jc w:val="center"/>
        <w:textAlignment w:val="auto"/>
        <w:rPr>
          <w:rStyle w:val="15"/>
          <w:rFonts w:ascii="黑体" w:hAnsi="黑体" w:eastAsia="黑体"/>
          <w:b/>
          <w:bCs w:val="0"/>
          <w:color w:val="auto"/>
          <w:highlight w:val="none"/>
        </w:rPr>
      </w:pPr>
      <w:bookmarkStart w:id="1" w:name="_Toc15556"/>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val="en-US" w:eastAsia="zh-CN"/>
        </w:rPr>
        <w:t xml:space="preserve"> </w:t>
      </w:r>
      <w:r>
        <w:rPr>
          <w:rFonts w:hint="eastAsia" w:ascii="黑体" w:hAnsi="黑体" w:eastAsia="黑体"/>
          <w:b w:val="0"/>
          <w:color w:val="auto"/>
          <w:highlight w:val="none"/>
          <w:lang w:eastAsia="zh-CN"/>
        </w:rPr>
        <w:t>单位</w:t>
      </w:r>
      <w:r>
        <w:rPr>
          <w:rStyle w:val="15"/>
          <w:rFonts w:hint="eastAsia" w:ascii="黑体" w:hAnsi="黑体" w:eastAsia="黑体"/>
          <w:b w:val="0"/>
          <w:bCs w:val="0"/>
          <w:color w:val="auto"/>
          <w:highlight w:val="none"/>
        </w:rPr>
        <w:t>概况</w:t>
      </w:r>
      <w:bookmarkEnd w:id="1"/>
    </w:p>
    <w:p w14:paraId="2BFFC345">
      <w:pPr>
        <w:pStyle w:val="4"/>
        <w:keepNext/>
        <w:keepLines/>
        <w:pageBreakBefore w:val="0"/>
        <w:widowControl w:val="0"/>
        <w:numPr>
          <w:ilvl w:val="0"/>
          <w:numId w:val="0"/>
        </w:numPr>
        <w:kinsoku/>
        <w:wordWrap/>
        <w:overflowPunct/>
        <w:topLinePunct w:val="0"/>
        <w:autoSpaceDE/>
        <w:autoSpaceDN/>
        <w:bidi w:val="0"/>
        <w:adjustRightInd/>
        <w:snapToGrid/>
        <w:spacing w:line="416" w:lineRule="auto"/>
        <w:textAlignment w:val="auto"/>
        <w:rPr>
          <w:rFonts w:hint="eastAsia" w:ascii="黑体" w:hAnsi="黑体" w:eastAsia="黑体" w:cs="Times New Roman"/>
          <w:b w:val="0"/>
          <w:bCs w:val="0"/>
          <w:color w:val="auto"/>
          <w:kern w:val="2"/>
          <w:sz w:val="32"/>
          <w:szCs w:val="32"/>
          <w:highlight w:val="none"/>
          <w:lang w:val="en-US" w:eastAsia="zh-CN" w:bidi="ar-SA"/>
        </w:rPr>
      </w:pPr>
      <w:bookmarkStart w:id="2" w:name="_Toc13808"/>
      <w:r>
        <w:rPr>
          <w:rFonts w:hint="eastAsia" w:ascii="黑体" w:hAnsi="黑体" w:eastAsia="黑体" w:cs="Times New Roman"/>
          <w:b w:val="0"/>
          <w:bCs w:val="0"/>
          <w:color w:val="auto"/>
          <w:kern w:val="2"/>
          <w:sz w:val="32"/>
          <w:szCs w:val="32"/>
          <w:highlight w:val="none"/>
          <w:lang w:val="en-US" w:eastAsia="zh-CN" w:bidi="ar-SA"/>
        </w:rPr>
        <w:t>一、主要职责</w:t>
      </w:r>
      <w:bookmarkEnd w:id="2"/>
    </w:p>
    <w:p w14:paraId="6D574EB8">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广安市邻水生态环境局</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简称邻水生态环境局</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是广安市生态环境局的派出机构</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正科级</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主要职责</w:t>
      </w:r>
      <w:r>
        <w:rPr>
          <w:rFonts w:hint="eastAsia" w:eastAsia="仿宋_GB2312" w:cs="Times New Roman"/>
          <w:kern w:val="2"/>
          <w:sz w:val="32"/>
          <w:szCs w:val="22"/>
          <w:highlight w:val="none"/>
          <w:lang w:val="en-US" w:eastAsia="zh-CN" w:bidi="ar-SA"/>
        </w:rPr>
        <w:t>：</w:t>
      </w:r>
    </w:p>
    <w:p w14:paraId="64DD32BA">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1.负责建立健全辖区内生态环境基本制度</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会同有关部门拟定并组织实施辖区内生态环境政策、规划</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并依法组织实施和监督检查</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组织编制环境功能区划</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会同有关部门编制并监督实施重点区域、流域、饮用水水源地生态环境规划和水功能区划</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参与制定与辖区内生态环境相关的经济、技术、资源配置和产业政策。参与拟订辖区内主体功能区划。</w:t>
      </w:r>
    </w:p>
    <w:p w14:paraId="7DC88C1F">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2.负责辖区内一般及较大生态环境问题的统筹协调和监督管理。配合上级部门做好辖区内重特大突发生态环境事件和生态破坏事件的调查处理</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配合上级部门做好对重特大突发生态环境事件的应急、预警工作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负责具体实施生态环境损害赔偿制度。</w:t>
      </w:r>
    </w:p>
    <w:p w14:paraId="7A17182C">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3.负责监督管理辖区内减排目标的落实。组织并监督实施辖区内各类污染物排放总量控制和排污许可制度</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确定大气、水等环境纳污能力</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提出实施总量控制的污染物名称和控制指标</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承担排污口设置管理</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监督检查各地污染物减排任务完成情况</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实施生态环境保护目标责任制。</w:t>
      </w:r>
    </w:p>
    <w:p w14:paraId="4B00DEF9">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4.负责提出辖区内生态环境领域固定资产投资规模和方向、县级财政性资金安排的意见</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按规定权限审批、核准辖区内规划内和年度计划规模内固定资产投资项目</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配合有关部门做好组织实施和监督工作。参与指导推动辖区内循环经济和生态环保产业发展。</w:t>
      </w:r>
    </w:p>
    <w:p w14:paraId="34C31877">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5.负责辖区内环境污染防治的监督管理。组织制定并监督实施辖区内大气、水、土壤、噪声、光、恶臭、固体废物、化学品、辐射、机动车等的污染防治管理制度。会同有关部门监督管理饮用水水源地生态环境保护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组织指导城镇生态环境综合整治工作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监督指导农业面源污染治理工作。监督防止地下水污染</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监督指导区域大气环境保护工作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牵头建立区域大气污染联防联控协作机制并监督实施。按职责分工组织开展辖区内强制性清洁生产审核工作。</w:t>
      </w:r>
    </w:p>
    <w:p w14:paraId="5F29AB27">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6.指导协调和监督辖区内生态保护修复工作。组织编制和监督实施辖区内生态保护规划</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监督对生态环境有影响的自然资源开发利用活动、重要生态环境建设和生态破坏恢复工作。组织、指导生态示范创建工作。组织制定辖区内各类自然保护地生态环境监管制度并监督执法</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承担自然保护地、生态保护红线相关监管工作。监督野生动植物保护、湿地生态环境保护、荒漠化防治等工作。指导协调和监督辖区内农村生态环境保护</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监督生物技术环境安全</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牵头生物物种</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含遗传资源</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组织协调生物多样性保护工作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参与生态保护补偿工作。</w:t>
      </w:r>
    </w:p>
    <w:p w14:paraId="271722CE">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7.负责辖区内核与辐射安全的监督管理。监督实施辖区内核与辐射安全政策、规划、标准。贯彻执行国家、省、市核与辐射法规规章、政策、规划和技术标准。牵头负责辖区内核安全工作协调机制有关工作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负责辐射环境事故应急管理工作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参与核事故应急处理工作。监督管理放射源与射线装置安全</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监督管理辖区内核技术应用、电磁辐射、伴有放射性矿产资源开发利用中的污染防治。参与核与辐射建设项目“三同时”</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同时设计、同时施工、同时投产使用</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管理工作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参与核设施安全、核设施污染防治监督管理相关工作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参与对核材料管制和民用核安全设备的设计、制造</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安装和无损检验活动的监督管理。负责核与辐射监测和执法工作。参与反生化、核与辐射恐怖事件的防范和处置。</w:t>
      </w:r>
    </w:p>
    <w:p w14:paraId="5E1E63BB">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8.负责辖区内生态环境准入的监督管理。在市生态环境局授权范围内</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对经济和技术政策、发展规划以及经济开发计划进行环境影响评价</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按规定审批项目环境影响评价文件。拟订并组织实施辖区内生态环境准入清单。</w:t>
      </w:r>
    </w:p>
    <w:p w14:paraId="3DEB3292">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9.负责辖区内环境监测、统计和信息发布工作。监督执行国家、省、市颁布的各类环境标准</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拟订辖区内环境监测制度和规范。会同有关部门统一规划辖区内生态环境质量监测站点设置</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组织实施生态环境质量监测、污染源监督性监测、温室气体减排监测、应急监测。组织对辖区内生态环境质量状况进行调查评价、预警预测</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组织建设和管理辖区内生态环境监测网和生态环境信息网。负责辖区内生态环境质量考核和生态环境统计工作。建立和实行生态环境质量公告制度</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统一发布辖区内生态环境综合性报告和重大生态环境信息。</w:t>
      </w:r>
    </w:p>
    <w:p w14:paraId="6449D1D7">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10.负责应对气候变化工作。组织实施国家、省、市应对气候变化及温室气体减排重大战略、规划和政策</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组织拟订辖区内应对气候变化的规划和政策措施。</w:t>
      </w:r>
    </w:p>
    <w:p w14:paraId="638F3D5A">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11.组织开展生态环境保护督查工作。监督指导生态环境保护督察整改工作贯彻落实。参与对辖区内未落实中央、省委生态环境保护决策部署情况的问责。</w:t>
      </w:r>
    </w:p>
    <w:p w14:paraId="5C2EAA8C">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12.加强辖区内生态环境监督执法管理、指导工作。监督实施辖区内建设项目生态环境保护设施“三同时”制度。</w:t>
      </w:r>
    </w:p>
    <w:p w14:paraId="2FC3AF0A">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13.组织指导和协调辖区内生态环境宣传教育工作。制定并组织实施辖区内生态环境保护宣传教育有关规划和计划。推动社会组织和公众参与生态环境保护。会同有关部门依法对辖区内保护和改善生态环境有显著成绩的单位和个人给予表扬和奖励。</w:t>
      </w:r>
    </w:p>
    <w:p w14:paraId="6B9C02A0">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14.开展辖区内生态环境科技工作。管理辖区内生态环境保护科技成果并推广应用。组织开展辖区内生态环境重大科学研究和技术工程示范</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推动生态环境技术管理体系建设。</w:t>
      </w:r>
    </w:p>
    <w:p w14:paraId="6CC82204">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15.开展生态环境对外合作交流。参与协调辖区内重要生态环境保护国际活动和区域合作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组织协调有关生态环境国际条约的履约工作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管理辖区内生态环境系统对外经济合作</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协调推进与履约有关的利用外资项目</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参与处理涉外生态环境事务</w:t>
      </w:r>
      <w:r>
        <w:rPr>
          <w:rFonts w:hint="eastAsia"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负责与生态环境保护国际组织的联系工作。</w:t>
      </w:r>
    </w:p>
    <w:p w14:paraId="59A386CD">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16.负责职责范围内的安全生产和职业健康、审批服务便民化等工作。</w:t>
      </w:r>
    </w:p>
    <w:p w14:paraId="13C44A23">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bookmarkStart w:id="3" w:name="_Toc22965"/>
      <w:r>
        <w:rPr>
          <w:rFonts w:hint="default" w:ascii="Times New Roman" w:hAnsi="Times New Roman" w:eastAsia="仿宋_GB2312" w:cs="Times New Roman"/>
          <w:kern w:val="2"/>
          <w:sz w:val="32"/>
          <w:szCs w:val="22"/>
          <w:highlight w:val="none"/>
          <w:lang w:val="en-US" w:eastAsia="zh-CN" w:bidi="ar-SA"/>
        </w:rPr>
        <w:t>17.完成市生态环境局、邻水县委、县政府交办的其他任务。</w:t>
      </w:r>
      <w:bookmarkEnd w:id="3"/>
    </w:p>
    <w:p w14:paraId="50B55152">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18</w:t>
      </w:r>
      <w:r>
        <w:rPr>
          <w:rFonts w:hint="eastAsia" w:ascii="Times New Roman" w:hAnsi="Times New Roman" w:eastAsia="仿宋_GB2312" w:cs="Times New Roman"/>
          <w:kern w:val="2"/>
          <w:sz w:val="32"/>
          <w:szCs w:val="22"/>
          <w:highlight w:val="none"/>
          <w:lang w:val="en-US" w:eastAsia="zh-CN" w:bidi="ar-SA"/>
        </w:rPr>
        <w:t>、职能转变。统一行使辖区内生态和城乡各类污染排放监管与行政</w:t>
      </w:r>
      <w:r>
        <w:rPr>
          <w:rFonts w:hint="eastAsia" w:eastAsia="仿宋"/>
          <w:sz w:val="32"/>
        </w:rPr>
        <w:t>执法的管理工作，参与辖区内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实行最严格的生态环境保护制度，严守生态保护红线和环境质量底线，坚决打好污染防治攻坚战，筑牢长江上游生态屏障，保障生态安全。</w:t>
      </w:r>
    </w:p>
    <w:p w14:paraId="3F81B516">
      <w:pPr>
        <w:pStyle w:val="4"/>
        <w:numPr>
          <w:ilvl w:val="0"/>
          <w:numId w:val="0"/>
        </w:numPr>
        <w:rPr>
          <w:rFonts w:hint="eastAsia" w:ascii="黑体" w:hAnsi="黑体" w:eastAsia="黑体"/>
          <w:b w:val="0"/>
          <w:color w:val="auto"/>
          <w:highlight w:val="none"/>
          <w:lang w:val="en-US" w:eastAsia="zh-CN"/>
        </w:rPr>
      </w:pPr>
      <w:bookmarkStart w:id="4" w:name="_Toc26104"/>
      <w:r>
        <w:rPr>
          <w:rFonts w:hint="eastAsia" w:ascii="黑体" w:hAnsi="黑体" w:eastAsia="黑体"/>
          <w:b w:val="0"/>
          <w:color w:val="auto"/>
          <w:highlight w:val="none"/>
          <w:lang w:val="en-US" w:eastAsia="zh-CN"/>
        </w:rPr>
        <w:t>二、机构设置</w:t>
      </w:r>
      <w:bookmarkEnd w:id="4"/>
    </w:p>
    <w:p w14:paraId="09AF91E5">
      <w:pPr>
        <w:ind w:firstLine="640" w:firstLineChars="200"/>
        <w:rPr>
          <w:rFonts w:hint="default" w:ascii="Times New Roman" w:hAnsi="Times New Roman" w:eastAsia="仿宋" w:cs="Times New Roman"/>
          <w:sz w:val="32"/>
          <w:szCs w:val="32"/>
        </w:rPr>
      </w:pPr>
      <w:r>
        <w:rPr>
          <w:rFonts w:hint="eastAsia" w:eastAsia="仿宋" w:cs="Times New Roman"/>
          <w:sz w:val="32"/>
          <w:szCs w:val="32"/>
          <w:lang w:val="en-US" w:eastAsia="zh-CN"/>
        </w:rPr>
        <w:t>广安市邻水生态环境局</w:t>
      </w:r>
      <w:r>
        <w:rPr>
          <w:rFonts w:hint="default" w:ascii="Times New Roman" w:hAnsi="Times New Roman" w:eastAsia="仿宋" w:cs="Times New Roman"/>
          <w:sz w:val="32"/>
          <w:szCs w:val="32"/>
          <w:lang w:eastAsia="zh-CN"/>
        </w:rPr>
        <w:t>单位共有在职人员</w:t>
      </w:r>
      <w:r>
        <w:rPr>
          <w:rFonts w:hint="eastAsia" w:ascii="Times New Roman" w:hAnsi="Times New Roman" w:eastAsia="仿宋" w:cs="Times New Roman"/>
          <w:sz w:val="32"/>
          <w:szCs w:val="32"/>
          <w:lang w:val="en-US" w:eastAsia="zh-CN"/>
        </w:rPr>
        <w:t>50</w:t>
      </w:r>
      <w:r>
        <w:rPr>
          <w:rFonts w:hint="eastAsia" w:eastAsia="仿宋" w:cs="Times New Roman"/>
          <w:sz w:val="32"/>
          <w:szCs w:val="32"/>
          <w:lang w:val="en-US" w:eastAsia="zh-CN"/>
        </w:rPr>
        <w:t>人</w:t>
      </w:r>
      <w:r>
        <w:rPr>
          <w:rFonts w:hint="default" w:ascii="Times New Roman" w:hAnsi="Times New Roman" w:eastAsia="仿宋" w:cs="Times New Roman"/>
          <w:sz w:val="32"/>
          <w:szCs w:val="32"/>
        </w:rPr>
        <w:t>，内设</w:t>
      </w:r>
      <w:r>
        <w:rPr>
          <w:rFonts w:hint="eastAsia" w:eastAsia="仿宋" w:cs="Times New Roman"/>
          <w:sz w:val="32"/>
          <w:szCs w:val="32"/>
          <w:lang w:val="en-US" w:eastAsia="zh-CN"/>
        </w:rPr>
        <w:t>6</w:t>
      </w:r>
      <w:r>
        <w:rPr>
          <w:rFonts w:hint="default" w:ascii="Times New Roman" w:hAnsi="Times New Roman" w:eastAsia="仿宋" w:cs="Times New Roman"/>
          <w:sz w:val="32"/>
          <w:szCs w:val="32"/>
        </w:rPr>
        <w:t>个</w:t>
      </w:r>
      <w:r>
        <w:rPr>
          <w:rFonts w:hint="eastAsia" w:eastAsia="仿宋" w:cs="Times New Roman"/>
          <w:sz w:val="32"/>
          <w:szCs w:val="32"/>
          <w:lang w:eastAsia="zh-CN"/>
        </w:rPr>
        <w:t>股</w:t>
      </w:r>
      <w:r>
        <w:rPr>
          <w:rFonts w:hint="default" w:ascii="Times New Roman" w:hAnsi="Times New Roman" w:eastAsia="仿宋" w:cs="Times New Roman"/>
          <w:sz w:val="32"/>
          <w:szCs w:val="32"/>
        </w:rPr>
        <w:t>室。</w:t>
      </w:r>
      <w:r>
        <w:rPr>
          <w:rFonts w:hint="default" w:ascii="Times New Roman" w:hAnsi="Times New Roman" w:eastAsia="仿宋" w:cs="Times New Roman"/>
          <w:sz w:val="32"/>
          <w:szCs w:val="32"/>
          <w:lang w:eastAsia="zh-CN"/>
        </w:rPr>
        <w:t>设有</w:t>
      </w:r>
      <w:r>
        <w:rPr>
          <w:rFonts w:hint="eastAsia" w:eastAsia="仿宋" w:cs="Times New Roman"/>
          <w:sz w:val="32"/>
          <w:szCs w:val="32"/>
          <w:lang w:val="en-US" w:eastAsia="zh-CN"/>
        </w:rPr>
        <w:t>办公室</w:t>
      </w:r>
      <w:r>
        <w:rPr>
          <w:rFonts w:hint="default" w:ascii="Times New Roman" w:hAnsi="Times New Roman" w:eastAsia="仿宋" w:cs="Times New Roman"/>
          <w:sz w:val="32"/>
          <w:szCs w:val="32"/>
          <w:lang w:val="en-US" w:eastAsia="zh-CN"/>
        </w:rPr>
        <w:t>，主要负责绩效管理、</w:t>
      </w:r>
      <w:r>
        <w:rPr>
          <w:rFonts w:hint="eastAsia" w:eastAsia="仿宋" w:cs="Times New Roman"/>
          <w:sz w:val="32"/>
          <w:szCs w:val="32"/>
          <w:lang w:val="en-US" w:eastAsia="zh-CN"/>
        </w:rPr>
        <w:t>内控</w:t>
      </w:r>
      <w:r>
        <w:rPr>
          <w:rFonts w:hint="default" w:ascii="Times New Roman" w:hAnsi="Times New Roman" w:eastAsia="仿宋" w:cs="Times New Roman"/>
          <w:sz w:val="32"/>
          <w:szCs w:val="32"/>
          <w:lang w:val="en-US" w:eastAsia="zh-CN"/>
        </w:rPr>
        <w:t>制度、信息宣传、新闻发布、国有资产、政府采购、保密安全、规划财务、后勤保障、机关能耗、深化改革、目标考核、干部人事、工会、共青团、妇女儿童等工作；政策法规股，主要负责规范性文件审查、权责清单制度建设、行政处罚审查、行政复议、行政应诉、生态环境损害赔偿、环境信用体系建设、</w:t>
      </w:r>
      <w:r>
        <w:rPr>
          <w:rFonts w:hint="eastAsia" w:eastAsia="仿宋" w:cs="Times New Roman"/>
          <w:sz w:val="32"/>
          <w:szCs w:val="32"/>
          <w:lang w:val="en-US" w:eastAsia="zh-CN"/>
        </w:rPr>
        <w:t>“</w:t>
      </w:r>
      <w:r>
        <w:rPr>
          <w:rFonts w:hint="default" w:ascii="Times New Roman" w:hAnsi="Times New Roman" w:eastAsia="仿宋" w:cs="Times New Roman"/>
          <w:sz w:val="32"/>
          <w:szCs w:val="32"/>
          <w:lang w:val="en-US" w:eastAsia="zh-CN"/>
        </w:rPr>
        <w:t>放管服</w:t>
      </w:r>
      <w:r>
        <w:rPr>
          <w:rFonts w:hint="eastAsia" w:eastAsia="仿宋" w:cs="Times New Roman"/>
          <w:sz w:val="32"/>
          <w:szCs w:val="32"/>
          <w:lang w:val="en-US" w:eastAsia="zh-CN"/>
        </w:rPr>
        <w:t>”</w:t>
      </w:r>
      <w:r>
        <w:rPr>
          <w:rFonts w:hint="default" w:ascii="Times New Roman" w:hAnsi="Times New Roman" w:eastAsia="仿宋" w:cs="Times New Roman"/>
          <w:sz w:val="32"/>
          <w:szCs w:val="32"/>
          <w:lang w:val="en-US" w:eastAsia="zh-CN"/>
        </w:rPr>
        <w:t>改革、行政审批、总量替代、环境宣教；生态环境监督股，主要负责生态环境保护</w:t>
      </w:r>
      <w:r>
        <w:rPr>
          <w:rFonts w:hint="eastAsia" w:eastAsia="仿宋" w:cs="Times New Roman"/>
          <w:sz w:val="32"/>
          <w:szCs w:val="32"/>
          <w:lang w:val="en-US" w:eastAsia="zh-CN"/>
        </w:rPr>
        <w:t>“</w:t>
      </w:r>
      <w:r>
        <w:rPr>
          <w:rFonts w:hint="default" w:ascii="Times New Roman" w:hAnsi="Times New Roman" w:eastAsia="仿宋" w:cs="Times New Roman"/>
          <w:sz w:val="32"/>
          <w:szCs w:val="32"/>
          <w:lang w:val="en-US" w:eastAsia="zh-CN"/>
        </w:rPr>
        <w:t>党政同责、一岗双责</w:t>
      </w:r>
      <w:r>
        <w:rPr>
          <w:rFonts w:hint="eastAsia" w:eastAsia="仿宋" w:cs="Times New Roman"/>
          <w:sz w:val="32"/>
          <w:szCs w:val="32"/>
          <w:lang w:val="en-US" w:eastAsia="zh-CN"/>
        </w:rPr>
        <w:t>”</w:t>
      </w:r>
      <w:r>
        <w:rPr>
          <w:rFonts w:hint="default" w:ascii="Times New Roman" w:hAnsi="Times New Roman" w:eastAsia="仿宋" w:cs="Times New Roman"/>
          <w:sz w:val="32"/>
          <w:szCs w:val="32"/>
          <w:lang w:val="en-US" w:eastAsia="zh-CN"/>
        </w:rPr>
        <w:t>、环保督察、环保问责、环境统计、污染源普查、清洁生产、对外交流、区域合作</w:t>
      </w:r>
      <w:r>
        <w:rPr>
          <w:rFonts w:hint="eastAsia" w:eastAsia="仿宋" w:cs="Times New Roman"/>
          <w:sz w:val="32"/>
          <w:szCs w:val="32"/>
          <w:lang w:val="en-US" w:eastAsia="zh-CN"/>
        </w:rPr>
        <w:t>，负责</w:t>
      </w:r>
      <w:r>
        <w:rPr>
          <w:rFonts w:hint="default" w:ascii="Times New Roman" w:hAnsi="Times New Roman" w:eastAsia="仿宋" w:cs="Times New Roman"/>
          <w:sz w:val="32"/>
          <w:szCs w:val="32"/>
          <w:lang w:val="en-US" w:eastAsia="zh-CN"/>
        </w:rPr>
        <w:t>固定资产投资入库</w:t>
      </w:r>
      <w:r>
        <w:rPr>
          <w:rFonts w:hint="eastAsia" w:eastAsia="仿宋" w:cs="Times New Roman"/>
          <w:sz w:val="32"/>
          <w:szCs w:val="32"/>
          <w:lang w:val="en-US" w:eastAsia="zh-CN"/>
        </w:rPr>
        <w:t>；水生态环境股</w:t>
      </w:r>
      <w:r>
        <w:rPr>
          <w:rFonts w:hint="default" w:ascii="Times New Roman" w:hAnsi="Times New Roman" w:eastAsia="仿宋" w:cs="Times New Roman"/>
          <w:sz w:val="32"/>
          <w:szCs w:val="32"/>
          <w:lang w:val="en-US" w:eastAsia="zh-CN"/>
        </w:rPr>
        <w:t>，主要负责排污口设置、水生态环境监管、流域生态环境规划、河（湖）长制、农村生态环境保护、生态保护补偿、乡村振兴、生态扶贫</w:t>
      </w:r>
      <w:r>
        <w:rPr>
          <w:rFonts w:hint="eastAsia" w:eastAsia="仿宋" w:cs="Times New Roman"/>
          <w:sz w:val="32"/>
          <w:szCs w:val="32"/>
          <w:lang w:val="en-US" w:eastAsia="zh-CN"/>
        </w:rPr>
        <w:t>，负责水污染物排放总量减排及控制工作；大气环境股，</w:t>
      </w:r>
      <w:r>
        <w:rPr>
          <w:rFonts w:hint="default" w:ascii="Times New Roman" w:hAnsi="Times New Roman" w:eastAsia="仿宋" w:cs="Times New Roman"/>
          <w:sz w:val="32"/>
          <w:szCs w:val="32"/>
          <w:lang w:val="en-US" w:eastAsia="zh-CN"/>
        </w:rPr>
        <w:t>主要负责大气、噪声、光、化石能源、机动车等污染防治的监督管理，负责大气污染物排放总量减排及控制</w:t>
      </w:r>
      <w:r>
        <w:rPr>
          <w:rFonts w:hint="eastAsia" w:eastAsia="仿宋" w:cs="Times New Roman"/>
          <w:sz w:val="32"/>
          <w:szCs w:val="32"/>
          <w:lang w:val="en-US" w:eastAsia="zh-CN"/>
        </w:rPr>
        <w:t>工作；土壤生态环境股，</w:t>
      </w:r>
      <w:r>
        <w:rPr>
          <w:rFonts w:hint="default" w:ascii="Times New Roman" w:hAnsi="Times New Roman" w:eastAsia="仿宋" w:cs="Times New Roman"/>
          <w:sz w:val="32"/>
          <w:szCs w:val="32"/>
          <w:lang w:val="en-US" w:eastAsia="zh-CN"/>
        </w:rPr>
        <w:t>主要负责土壤污染防治、固体废物、化学品、重金属、危险废物、生态示范创建、自然保护地、生态保护红线、野生动植物保护、湿地生态环境保护、生物多样性、核安全等工作</w:t>
      </w:r>
      <w:r>
        <w:rPr>
          <w:rFonts w:hint="default" w:ascii="Times New Roman" w:hAnsi="Times New Roman" w:eastAsia="仿宋" w:cs="Times New Roman"/>
          <w:sz w:val="32"/>
          <w:szCs w:val="32"/>
        </w:rPr>
        <w:t>。</w:t>
      </w:r>
    </w:p>
    <w:p w14:paraId="13249A6D">
      <w:pPr>
        <w:pStyle w:val="11"/>
        <w:widowControl/>
        <w:spacing w:before="0" w:beforeAutospacing="0" w:after="0" w:afterAutospacing="0" w:line="590" w:lineRule="exact"/>
        <w:ind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 w:cs="Times New Roman"/>
          <w:sz w:val="32"/>
          <w:szCs w:val="32"/>
          <w:lang w:val="en-US" w:eastAsia="zh-CN"/>
        </w:rPr>
        <w:t>下属全额拨款事业单位3个，其中：参照公务员法管理的事业单位1个，公益性一类事业单位2个。包括：</w:t>
      </w:r>
      <w:r>
        <w:rPr>
          <w:rFonts w:hint="default" w:ascii="Times New Roman" w:hAnsi="Times New Roman" w:eastAsia="仿宋_GB2312" w:cs="Times New Roman"/>
          <w:kern w:val="2"/>
          <w:sz w:val="32"/>
          <w:szCs w:val="32"/>
          <w:highlight w:val="none"/>
          <w:lang w:val="en-US" w:eastAsia="zh-CN" w:bidi="ar-SA"/>
        </w:rPr>
        <w:t>邻水县环境应急与事故调查中心、邻水县环境监测站、邻水县生态环境保护综合行政执法大队。</w:t>
      </w:r>
    </w:p>
    <w:p w14:paraId="6FC71F6B">
      <w:pPr>
        <w:rPr>
          <w:rFonts w:hint="default" w:ascii="Times New Roman" w:hAnsi="Times New Roman" w:eastAsia="仿宋" w:cs="Times New Roman"/>
          <w:sz w:val="32"/>
          <w:szCs w:val="32"/>
          <w:lang w:val="en-US" w:eastAsia="zh-CN"/>
        </w:rPr>
      </w:pPr>
    </w:p>
    <w:p w14:paraId="16539A83">
      <w:pPr>
        <w:pStyle w:val="6"/>
        <w:ind w:left="0" w:leftChars="0" w:firstLine="0" w:firstLineChars="0"/>
        <w:rPr>
          <w:rFonts w:hint="eastAsia" w:eastAsia="宋体"/>
          <w:lang w:eastAsia="zh-CN"/>
        </w:rPr>
      </w:pPr>
    </w:p>
    <w:p w14:paraId="14FDFDB1">
      <w:pPr>
        <w:pStyle w:val="6"/>
        <w:ind w:left="0" w:leftChars="0" w:firstLine="0" w:firstLineChars="0"/>
        <w:rPr>
          <w:rFonts w:hint="eastAsia" w:eastAsia="宋体"/>
          <w:lang w:eastAsia="zh-CN"/>
        </w:rPr>
      </w:pPr>
    </w:p>
    <w:p w14:paraId="3821633B">
      <w:pPr>
        <w:pStyle w:val="6"/>
        <w:ind w:left="0" w:leftChars="0" w:firstLine="0" w:firstLineChars="0"/>
        <w:rPr>
          <w:rFonts w:hint="eastAsia" w:eastAsia="宋体"/>
          <w:lang w:eastAsia="zh-CN"/>
        </w:rPr>
      </w:pPr>
    </w:p>
    <w:p w14:paraId="02AB80CD">
      <w:pPr>
        <w:pStyle w:val="6"/>
        <w:ind w:left="0" w:leftChars="0" w:firstLine="0" w:firstLineChars="0"/>
        <w:rPr>
          <w:rFonts w:hint="eastAsia" w:eastAsia="宋体"/>
          <w:lang w:eastAsia="zh-CN"/>
        </w:rPr>
      </w:pPr>
    </w:p>
    <w:p w14:paraId="55561F05">
      <w:pPr>
        <w:pStyle w:val="6"/>
        <w:ind w:left="0" w:leftChars="0" w:firstLine="0" w:firstLineChars="0"/>
        <w:rPr>
          <w:rFonts w:hint="eastAsia" w:eastAsia="宋体"/>
          <w:lang w:eastAsia="zh-CN"/>
        </w:rPr>
      </w:pPr>
    </w:p>
    <w:p w14:paraId="50ACAE03">
      <w:pPr>
        <w:pStyle w:val="3"/>
        <w:keepNext/>
        <w:keepLines/>
        <w:pageBreakBefore w:val="0"/>
        <w:widowControl w:val="0"/>
        <w:kinsoku/>
        <w:wordWrap/>
        <w:overflowPunct/>
        <w:topLinePunct w:val="0"/>
        <w:autoSpaceDE/>
        <w:autoSpaceDN/>
        <w:bidi w:val="0"/>
        <w:adjustRightInd/>
        <w:snapToGrid/>
        <w:spacing w:line="579" w:lineRule="auto"/>
        <w:ind w:right="440"/>
        <w:jc w:val="center"/>
        <w:textAlignment w:val="auto"/>
        <w:rPr>
          <w:rStyle w:val="15"/>
          <w:rFonts w:ascii="黑体" w:hAnsi="黑体" w:eastAsia="黑体"/>
          <w:b w:val="0"/>
          <w:bCs/>
          <w:color w:val="auto"/>
          <w:highlight w:val="none"/>
        </w:rPr>
      </w:pPr>
      <w:bookmarkStart w:id="5" w:name="_Toc10798"/>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 xml:space="preserve"> 2023年度</w:t>
      </w:r>
      <w:r>
        <w:rPr>
          <w:rStyle w:val="15"/>
          <w:rFonts w:hint="eastAsia" w:ascii="黑体" w:hAnsi="黑体" w:eastAsia="黑体"/>
          <w:b w:val="0"/>
          <w:bCs/>
          <w:color w:val="auto"/>
          <w:highlight w:val="none"/>
          <w:lang w:eastAsia="zh-CN"/>
        </w:rPr>
        <w:t>单位</w:t>
      </w:r>
      <w:r>
        <w:rPr>
          <w:rStyle w:val="15"/>
          <w:rFonts w:hint="eastAsia" w:ascii="黑体" w:hAnsi="黑体" w:eastAsia="黑体"/>
          <w:b w:val="0"/>
          <w:bCs/>
          <w:color w:val="auto"/>
          <w:highlight w:val="none"/>
        </w:rPr>
        <w:t>决算情况说明</w:t>
      </w:r>
      <w:bookmarkEnd w:id="5"/>
    </w:p>
    <w:p w14:paraId="299E6286">
      <w:pPr>
        <w:pStyle w:val="17"/>
        <w:numPr>
          <w:ilvl w:val="0"/>
          <w:numId w:val="0"/>
        </w:numPr>
        <w:spacing w:line="600" w:lineRule="exact"/>
        <w:ind w:left="640" w:leftChars="0"/>
        <w:outlineLvl w:val="1"/>
        <w:rPr>
          <w:rStyle w:val="16"/>
          <w:rFonts w:ascii="黑体" w:hAnsi="黑体" w:eastAsia="黑体"/>
          <w:b w:val="0"/>
          <w:color w:val="auto"/>
          <w:highlight w:val="none"/>
        </w:rPr>
      </w:pPr>
      <w:bookmarkStart w:id="6" w:name="_Toc29564"/>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6"/>
          <w:rFonts w:hint="eastAsia" w:ascii="黑体" w:hAnsi="黑体" w:eastAsia="黑体"/>
          <w:b w:val="0"/>
          <w:color w:val="auto"/>
          <w:highlight w:val="none"/>
        </w:rPr>
        <w:t>入支出决算总体情况说明</w:t>
      </w:r>
      <w:bookmarkEnd w:id="6"/>
    </w:p>
    <w:p w14:paraId="3E327914">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eastAsia="zh-CN"/>
        </w:rPr>
        <w:t>入总计2,016.89万元</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2,016.89</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w:t>
      </w:r>
      <w:r>
        <w:rPr>
          <w:rFonts w:hint="eastAsia" w:ascii="仿宋" w:hAnsi="仿宋" w:eastAsia="仿宋"/>
          <w:color w:val="auto"/>
          <w:sz w:val="32"/>
          <w:szCs w:val="32"/>
          <w:highlight w:val="none"/>
          <w:lang w:eastAsia="zh-CN"/>
        </w:rPr>
        <w:t>入总计减少</w:t>
      </w:r>
      <w:r>
        <w:rPr>
          <w:rFonts w:hint="eastAsia" w:ascii="仿宋" w:hAnsi="仿宋" w:eastAsia="仿宋"/>
          <w:color w:val="auto"/>
          <w:sz w:val="32"/>
          <w:szCs w:val="32"/>
          <w:highlight w:val="none"/>
          <w:lang w:val="en-US" w:eastAsia="zh-CN"/>
        </w:rPr>
        <w:t>1952.48万元，下降49.2%；</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2019.56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人员减少、项目支出减少。</w:t>
      </w:r>
    </w:p>
    <w:p w14:paraId="7A40879F">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77369458">
      <w:pPr>
        <w:pStyle w:val="10"/>
        <w:rPr>
          <w:rFonts w:hint="eastAsia"/>
        </w:rPr>
      </w:pPr>
      <w:r>
        <w:drawing>
          <wp:inline distT="0" distB="0" distL="114300" distR="114300">
            <wp:extent cx="4826000" cy="2828925"/>
            <wp:effectExtent l="4445" t="4445" r="825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4FD4CF9">
      <w:pPr>
        <w:pStyle w:val="17"/>
        <w:numPr>
          <w:ilvl w:val="0"/>
          <w:numId w:val="0"/>
        </w:numPr>
        <w:spacing w:line="600" w:lineRule="exact"/>
        <w:ind w:left="640" w:leftChars="0"/>
        <w:outlineLvl w:val="1"/>
        <w:rPr>
          <w:rStyle w:val="16"/>
          <w:rFonts w:ascii="黑体" w:hAnsi="黑体" w:eastAsia="黑体"/>
          <w:b w:val="0"/>
          <w:color w:val="auto"/>
          <w:highlight w:val="none"/>
        </w:rPr>
      </w:pPr>
      <w:bookmarkStart w:id="7" w:name="_Toc894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6"/>
          <w:rFonts w:hint="eastAsia" w:ascii="黑体" w:hAnsi="黑体" w:eastAsia="黑体"/>
          <w:b w:val="0"/>
          <w:color w:val="auto"/>
          <w:highlight w:val="none"/>
        </w:rPr>
        <w:t>入决算情况说明</w:t>
      </w:r>
      <w:bookmarkEnd w:id="7"/>
    </w:p>
    <w:p w14:paraId="55D6DBF8">
      <w:pPr>
        <w:spacing w:line="600" w:lineRule="exact"/>
        <w:ind w:firstLine="640" w:firstLineChars="200"/>
        <w:outlineLvl w:val="1"/>
        <w:rPr>
          <w:rFonts w:ascii="仿宋" w:hAnsi="仿宋" w:eastAsia="仿宋"/>
          <w:color w:val="auto"/>
          <w:sz w:val="32"/>
          <w:szCs w:val="32"/>
          <w:highlight w:val="none"/>
        </w:rPr>
      </w:pPr>
      <w:bookmarkStart w:id="8" w:name="_Toc19185"/>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2016.89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763.36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37.8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1253.52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8"/>
    </w:p>
    <w:p w14:paraId="5F6E6DE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14:paraId="0FD38A19">
      <w:pPr>
        <w:pStyle w:val="6"/>
        <w:ind w:left="0" w:leftChars="0" w:firstLine="0" w:firstLineChars="0"/>
      </w:pPr>
      <w:r>
        <w:drawing>
          <wp:inline distT="0" distB="0" distL="114300" distR="114300">
            <wp:extent cx="4598035" cy="2810510"/>
            <wp:effectExtent l="4445" t="4445" r="7620" b="234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F3D676C">
      <w:pPr>
        <w:pStyle w:val="17"/>
        <w:numPr>
          <w:ilvl w:val="0"/>
          <w:numId w:val="0"/>
        </w:numPr>
        <w:spacing w:line="600" w:lineRule="exact"/>
        <w:ind w:left="640" w:leftChars="0"/>
        <w:outlineLvl w:val="1"/>
        <w:rPr>
          <w:rStyle w:val="16"/>
          <w:rFonts w:ascii="黑体" w:hAnsi="黑体" w:eastAsia="黑体"/>
          <w:b w:val="0"/>
          <w:color w:val="auto"/>
          <w:highlight w:val="none"/>
        </w:rPr>
      </w:pPr>
      <w:bookmarkStart w:id="9" w:name="_Toc26244"/>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6"/>
          <w:rFonts w:hint="eastAsia" w:ascii="黑体" w:hAnsi="黑体" w:eastAsia="黑体"/>
          <w:b w:val="0"/>
          <w:color w:val="auto"/>
          <w:highlight w:val="none"/>
        </w:rPr>
        <w:t>出决算情况说明</w:t>
      </w:r>
      <w:bookmarkEnd w:id="9"/>
    </w:p>
    <w:p w14:paraId="48E60E4B">
      <w:pPr>
        <w:spacing w:line="600" w:lineRule="exact"/>
        <w:ind w:firstLine="640" w:firstLineChars="200"/>
        <w:outlineLvl w:val="1"/>
        <w:rPr>
          <w:rFonts w:hint="eastAsia" w:ascii="仿宋" w:hAnsi="仿宋" w:eastAsia="仿宋" w:cs="Times New Roman"/>
          <w:color w:val="auto"/>
          <w:sz w:val="32"/>
          <w:szCs w:val="32"/>
          <w:highlight w:val="none"/>
          <w:lang w:eastAsia="zh-CN"/>
        </w:rPr>
      </w:pPr>
      <w:bookmarkStart w:id="10" w:name="_Toc29944"/>
      <w:r>
        <w:rPr>
          <w:rFonts w:hint="eastAsia" w:ascii="仿宋" w:hAnsi="仿宋" w:eastAsia="仿宋" w:cs="Times New Roman"/>
          <w:color w:val="auto"/>
          <w:sz w:val="32"/>
          <w:szCs w:val="32"/>
          <w:highlight w:val="none"/>
          <w:lang w:eastAsia="zh-CN"/>
        </w:rPr>
        <w:t>2023年度本年支出合计</w:t>
      </w:r>
      <w:r>
        <w:rPr>
          <w:rFonts w:hint="eastAsia" w:ascii="仿宋" w:hAnsi="仿宋" w:eastAsia="仿宋" w:cs="Times New Roman"/>
          <w:color w:val="auto"/>
          <w:sz w:val="32"/>
          <w:szCs w:val="32"/>
          <w:highlight w:val="none"/>
          <w:lang w:val="en-US" w:eastAsia="zh-CN"/>
        </w:rPr>
        <w:t>2016.89</w:t>
      </w:r>
      <w:r>
        <w:rPr>
          <w:rFonts w:hint="eastAsia" w:ascii="仿宋" w:hAnsi="仿宋" w:eastAsia="仿宋" w:cs="Times New Roman"/>
          <w:color w:val="auto"/>
          <w:sz w:val="32"/>
          <w:szCs w:val="32"/>
          <w:highlight w:val="none"/>
          <w:lang w:eastAsia="zh-CN"/>
        </w:rPr>
        <w:t>万元，其中：基本支出</w:t>
      </w:r>
      <w:r>
        <w:rPr>
          <w:rFonts w:hint="eastAsia" w:ascii="仿宋" w:hAnsi="仿宋" w:eastAsia="仿宋" w:cs="Times New Roman"/>
          <w:color w:val="auto"/>
          <w:sz w:val="32"/>
          <w:szCs w:val="32"/>
          <w:highlight w:val="none"/>
          <w:lang w:val="en-US" w:eastAsia="zh-CN"/>
        </w:rPr>
        <w:t>971.01</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48.1</w:t>
      </w:r>
      <w:r>
        <w:rPr>
          <w:rFonts w:hint="eastAsia" w:ascii="仿宋" w:hAnsi="仿宋" w:eastAsia="仿宋" w:cs="Times New Roman"/>
          <w:color w:val="auto"/>
          <w:sz w:val="32"/>
          <w:szCs w:val="32"/>
          <w:highlight w:val="none"/>
          <w:lang w:eastAsia="zh-CN"/>
        </w:rPr>
        <w:t>%；项目支出</w:t>
      </w:r>
      <w:r>
        <w:rPr>
          <w:rFonts w:hint="eastAsia" w:ascii="仿宋" w:hAnsi="仿宋" w:eastAsia="仿宋" w:cs="Times New Roman"/>
          <w:color w:val="auto"/>
          <w:sz w:val="32"/>
          <w:szCs w:val="32"/>
          <w:highlight w:val="none"/>
          <w:lang w:val="en-US" w:eastAsia="zh-CN"/>
        </w:rPr>
        <w:t>1045.88</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51.9</w:t>
      </w:r>
      <w:r>
        <w:rPr>
          <w:rFonts w:hint="eastAsia" w:ascii="仿宋" w:hAnsi="仿宋" w:eastAsia="仿宋" w:cs="Times New Roman"/>
          <w:color w:val="auto"/>
          <w:sz w:val="32"/>
          <w:szCs w:val="32"/>
          <w:highlight w:val="none"/>
          <w:lang w:eastAsia="zh-CN"/>
        </w:rPr>
        <w:t>%；上缴上级支出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lang w:eastAsia="zh-CN"/>
        </w:rPr>
        <w:t>%；经营支出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lang w:eastAsia="zh-CN"/>
        </w:rPr>
        <w:t>%；对附属单位补助支出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lang w:eastAsia="zh-CN"/>
        </w:rPr>
        <w:t>%。</w:t>
      </w:r>
      <w:bookmarkEnd w:id="10"/>
    </w:p>
    <w:p w14:paraId="19202B3B">
      <w:pPr>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图3：支出决算结构图）</w:t>
      </w:r>
    </w:p>
    <w:p w14:paraId="57502884">
      <w:pPr>
        <w:pStyle w:val="10"/>
      </w:pPr>
      <w:r>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1E29B9">
      <w:pPr>
        <w:spacing w:line="600" w:lineRule="exact"/>
        <w:ind w:firstLine="640" w:firstLineChars="200"/>
        <w:outlineLvl w:val="1"/>
        <w:rPr>
          <w:rStyle w:val="16"/>
          <w:rFonts w:ascii="黑体" w:hAnsi="黑体" w:eastAsia="黑体"/>
          <w:b w:val="0"/>
          <w:color w:val="auto"/>
          <w:highlight w:val="none"/>
        </w:rPr>
      </w:pPr>
      <w:bookmarkStart w:id="11" w:name="_Toc4675"/>
      <w:r>
        <w:rPr>
          <w:rFonts w:hint="eastAsia" w:ascii="黑体" w:hAnsi="黑体" w:eastAsia="黑体"/>
          <w:color w:val="auto"/>
          <w:sz w:val="32"/>
          <w:szCs w:val="32"/>
          <w:highlight w:val="none"/>
        </w:rPr>
        <w:t>四、财</w:t>
      </w:r>
      <w:r>
        <w:rPr>
          <w:rStyle w:val="16"/>
          <w:rFonts w:hint="eastAsia" w:ascii="黑体" w:hAnsi="黑体" w:eastAsia="黑体"/>
          <w:b w:val="0"/>
          <w:color w:val="auto"/>
          <w:highlight w:val="none"/>
        </w:rPr>
        <w:t>政拨款收入支出决算总体情况说明</w:t>
      </w:r>
      <w:bookmarkEnd w:id="11"/>
    </w:p>
    <w:p w14:paraId="2AA0F8EB">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763.36</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763.36</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w:t>
      </w:r>
      <w:r>
        <w:rPr>
          <w:rFonts w:hint="eastAsia" w:ascii="仿宋" w:hAnsi="仿宋" w:eastAsia="仿宋"/>
          <w:color w:val="auto"/>
          <w:sz w:val="32"/>
          <w:szCs w:val="32"/>
          <w:highlight w:val="none"/>
          <w:lang w:eastAsia="zh-CN"/>
        </w:rPr>
        <w:t>入总计减少</w:t>
      </w:r>
      <w:r>
        <w:rPr>
          <w:rFonts w:hint="eastAsia" w:ascii="仿宋" w:hAnsi="仿宋" w:eastAsia="仿宋"/>
          <w:color w:val="auto"/>
          <w:sz w:val="32"/>
          <w:szCs w:val="32"/>
          <w:highlight w:val="none"/>
          <w:lang w:val="en-US" w:eastAsia="zh-CN"/>
        </w:rPr>
        <w:t>42.13万元，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5.2</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总计减少</w:t>
      </w:r>
      <w:r>
        <w:rPr>
          <w:rFonts w:hint="eastAsia" w:ascii="仿宋" w:hAnsi="仿宋" w:eastAsia="仿宋"/>
          <w:color w:val="auto"/>
          <w:sz w:val="32"/>
          <w:szCs w:val="32"/>
          <w:highlight w:val="none"/>
          <w:lang w:val="en-US" w:eastAsia="zh-CN"/>
        </w:rPr>
        <w:t>42.13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Times New Roman"/>
          <w:color w:val="auto"/>
          <w:sz w:val="32"/>
          <w:szCs w:val="32"/>
          <w:highlight w:val="none"/>
          <w:lang w:val="en-US" w:eastAsia="zh-CN"/>
        </w:rPr>
        <w:t>财政拨款人数2023年</w:t>
      </w:r>
      <w:r>
        <w:rPr>
          <w:rFonts w:hint="eastAsia" w:ascii="Times New Roman" w:hAnsi="Times New Roman" w:eastAsia="仿宋_GB2312"/>
          <w:sz w:val="32"/>
          <w:szCs w:val="32"/>
          <w:lang w:eastAsia="zh-CN"/>
        </w:rPr>
        <w:t>比</w:t>
      </w:r>
      <w:r>
        <w:rPr>
          <w:rFonts w:hint="eastAsia" w:ascii="Times New Roman" w:hAnsi="Times New Roman" w:eastAsia="仿宋_GB2312"/>
          <w:sz w:val="32"/>
          <w:szCs w:val="32"/>
          <w:lang w:val="en-US" w:eastAsia="zh-CN"/>
        </w:rPr>
        <w:t>2022年</w:t>
      </w:r>
      <w:r>
        <w:rPr>
          <w:rFonts w:hint="eastAsia" w:ascii="仿宋" w:hAnsi="仿宋" w:eastAsia="仿宋"/>
          <w:color w:val="auto"/>
          <w:sz w:val="32"/>
          <w:szCs w:val="32"/>
          <w:highlight w:val="none"/>
          <w:lang w:eastAsia="zh-CN"/>
        </w:rPr>
        <w:t>人员减少</w:t>
      </w:r>
      <w:r>
        <w:rPr>
          <w:rFonts w:hint="eastAsia" w:ascii="仿宋" w:hAnsi="仿宋" w:eastAsia="仿宋"/>
          <w:color w:val="auto"/>
          <w:sz w:val="32"/>
          <w:szCs w:val="32"/>
          <w:highlight w:val="none"/>
          <w:lang w:val="en-US" w:eastAsia="zh-CN"/>
        </w:rPr>
        <w:t>5人</w:t>
      </w:r>
      <w:r>
        <w:rPr>
          <w:rFonts w:hint="eastAsia" w:ascii="仿宋" w:hAnsi="仿宋" w:eastAsia="仿宋"/>
          <w:color w:val="auto"/>
          <w:sz w:val="32"/>
          <w:szCs w:val="32"/>
          <w:highlight w:val="none"/>
          <w:lang w:eastAsia="zh-CN"/>
        </w:rPr>
        <w:t>，</w:t>
      </w:r>
      <w:r>
        <w:rPr>
          <w:rFonts w:hint="eastAsia" w:ascii="Times New Roman" w:hAnsi="Times New Roman" w:eastAsia="仿宋_GB2312"/>
          <w:sz w:val="32"/>
          <w:szCs w:val="32"/>
          <w:lang w:eastAsia="zh-CN"/>
        </w:rPr>
        <w:t>人员</w:t>
      </w:r>
      <w:r>
        <w:rPr>
          <w:rFonts w:hint="eastAsia" w:ascii="Times New Roman" w:hAnsi="Times New Roman" w:eastAsia="仿宋_GB2312"/>
          <w:sz w:val="32"/>
          <w:szCs w:val="32"/>
        </w:rPr>
        <w:t>经费、公用经费</w:t>
      </w:r>
      <w:r>
        <w:rPr>
          <w:rFonts w:hint="eastAsia" w:ascii="Times New Roman" w:hAnsi="Times New Roman" w:eastAsia="仿宋_GB2312"/>
          <w:sz w:val="32"/>
          <w:szCs w:val="32"/>
          <w:lang w:eastAsia="zh-CN"/>
        </w:rPr>
        <w:t>收入、支出</w:t>
      </w:r>
      <w:r>
        <w:rPr>
          <w:rFonts w:hint="eastAsia" w:ascii="Times New Roman" w:hAnsi="Times New Roman" w:eastAsia="仿宋_GB2312"/>
          <w:sz w:val="32"/>
          <w:szCs w:val="32"/>
        </w:rPr>
        <w:t>相应</w:t>
      </w:r>
      <w:r>
        <w:rPr>
          <w:rFonts w:hint="eastAsia" w:ascii="Times New Roman" w:hAnsi="Times New Roman" w:eastAsia="仿宋_GB2312"/>
          <w:sz w:val="32"/>
          <w:szCs w:val="32"/>
          <w:lang w:eastAsia="zh-CN"/>
        </w:rPr>
        <w:t>减少</w:t>
      </w:r>
      <w:r>
        <w:rPr>
          <w:rFonts w:hint="eastAsia" w:ascii="仿宋" w:hAnsi="仿宋" w:eastAsia="仿宋"/>
          <w:color w:val="auto"/>
          <w:sz w:val="32"/>
          <w:szCs w:val="32"/>
          <w:highlight w:val="none"/>
          <w:lang w:eastAsia="zh-CN"/>
        </w:rPr>
        <w:t>。</w:t>
      </w:r>
    </w:p>
    <w:p w14:paraId="7DE0BD62">
      <w:pPr>
        <w:spacing w:line="60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（图4：财政拨款收、支决算总计变动情况）</w:t>
      </w:r>
    </w:p>
    <w:p w14:paraId="76B262B7">
      <w:pPr>
        <w:pStyle w:val="6"/>
        <w:ind w:left="0" w:leftChars="0" w:firstLine="0" w:firstLineChars="0"/>
      </w:pPr>
      <w: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532AEE">
      <w:pPr>
        <w:spacing w:line="600" w:lineRule="exact"/>
        <w:ind w:firstLine="640" w:firstLineChars="200"/>
        <w:outlineLvl w:val="1"/>
        <w:rPr>
          <w:rStyle w:val="16"/>
          <w:rFonts w:ascii="黑体" w:hAnsi="黑体" w:eastAsia="黑体"/>
          <w:b w:val="0"/>
          <w:color w:val="auto"/>
          <w:highlight w:val="none"/>
        </w:rPr>
      </w:pPr>
      <w:bookmarkStart w:id="12" w:name="_Toc23514"/>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6"/>
          <w:rFonts w:hint="eastAsia" w:ascii="黑体" w:hAnsi="黑体" w:eastAsia="黑体"/>
          <w:b w:val="0"/>
          <w:color w:val="auto"/>
          <w:highlight w:val="none"/>
        </w:rPr>
        <w:t>般公共预算财政拨款支出决算情况说明</w:t>
      </w:r>
      <w:bookmarkEnd w:id="12"/>
    </w:p>
    <w:p w14:paraId="3003608D">
      <w:pPr>
        <w:spacing w:line="600" w:lineRule="exact"/>
        <w:ind w:firstLine="643" w:firstLineChars="200"/>
        <w:outlineLvl w:val="2"/>
        <w:rPr>
          <w:rFonts w:ascii="仿宋" w:hAnsi="仿宋" w:eastAsia="仿宋"/>
          <w:b/>
          <w:color w:val="auto"/>
          <w:sz w:val="32"/>
          <w:szCs w:val="32"/>
          <w:highlight w:val="none"/>
        </w:rPr>
      </w:pPr>
      <w:bookmarkStart w:id="13" w:name="_Toc26717"/>
      <w:r>
        <w:rPr>
          <w:rFonts w:hint="eastAsia" w:ascii="仿宋" w:hAnsi="仿宋" w:eastAsia="仿宋"/>
          <w:b/>
          <w:color w:val="auto"/>
          <w:sz w:val="32"/>
          <w:szCs w:val="32"/>
          <w:highlight w:val="none"/>
        </w:rPr>
        <w:t>（一）一般公共预算财政拨款支出决算总体情况</w:t>
      </w:r>
      <w:bookmarkEnd w:id="13"/>
    </w:p>
    <w:p w14:paraId="429BF2C1">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763.36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37.8</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42.13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Times New Roman"/>
          <w:color w:val="auto"/>
          <w:sz w:val="32"/>
          <w:szCs w:val="32"/>
          <w:highlight w:val="none"/>
          <w:lang w:val="en-US" w:eastAsia="zh-CN"/>
        </w:rPr>
        <w:t>财政拨款人数2023年</w:t>
      </w:r>
      <w:r>
        <w:rPr>
          <w:rFonts w:hint="eastAsia" w:ascii="Times New Roman" w:hAnsi="Times New Roman" w:eastAsia="仿宋_GB2312"/>
          <w:sz w:val="32"/>
          <w:szCs w:val="32"/>
          <w:lang w:eastAsia="zh-CN"/>
        </w:rPr>
        <w:t>比</w:t>
      </w:r>
      <w:r>
        <w:rPr>
          <w:rFonts w:hint="eastAsia" w:ascii="Times New Roman" w:hAnsi="Times New Roman" w:eastAsia="仿宋_GB2312"/>
          <w:sz w:val="32"/>
          <w:szCs w:val="32"/>
          <w:lang w:val="en-US" w:eastAsia="zh-CN"/>
        </w:rPr>
        <w:t>2022年</w:t>
      </w:r>
      <w:r>
        <w:rPr>
          <w:rFonts w:hint="eastAsia" w:ascii="仿宋" w:hAnsi="仿宋" w:eastAsia="仿宋"/>
          <w:color w:val="auto"/>
          <w:sz w:val="32"/>
          <w:szCs w:val="32"/>
          <w:highlight w:val="none"/>
          <w:lang w:eastAsia="zh-CN"/>
        </w:rPr>
        <w:t>人员减少</w:t>
      </w:r>
      <w:r>
        <w:rPr>
          <w:rFonts w:hint="eastAsia" w:ascii="仿宋" w:hAnsi="仿宋" w:eastAsia="仿宋"/>
          <w:color w:val="auto"/>
          <w:sz w:val="32"/>
          <w:szCs w:val="32"/>
          <w:highlight w:val="none"/>
          <w:lang w:val="en-US" w:eastAsia="zh-CN"/>
        </w:rPr>
        <w:t>5人</w:t>
      </w:r>
      <w:r>
        <w:rPr>
          <w:rFonts w:hint="eastAsia" w:ascii="仿宋" w:hAnsi="仿宋" w:eastAsia="仿宋"/>
          <w:color w:val="auto"/>
          <w:sz w:val="32"/>
          <w:szCs w:val="32"/>
          <w:highlight w:val="none"/>
          <w:lang w:eastAsia="zh-CN"/>
        </w:rPr>
        <w:t>，</w:t>
      </w:r>
      <w:r>
        <w:rPr>
          <w:rFonts w:hint="eastAsia" w:ascii="Times New Roman" w:hAnsi="Times New Roman" w:eastAsia="仿宋_GB2312"/>
          <w:sz w:val="32"/>
          <w:szCs w:val="32"/>
          <w:lang w:eastAsia="zh-CN"/>
        </w:rPr>
        <w:t>人员</w:t>
      </w:r>
      <w:r>
        <w:rPr>
          <w:rFonts w:hint="eastAsia" w:ascii="Times New Roman" w:hAnsi="Times New Roman" w:eastAsia="仿宋_GB2312"/>
          <w:sz w:val="32"/>
          <w:szCs w:val="32"/>
        </w:rPr>
        <w:t>经费、公用经费</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相应</w:t>
      </w:r>
      <w:r>
        <w:rPr>
          <w:rFonts w:hint="eastAsia" w:ascii="Times New Roman" w:hAnsi="Times New Roman" w:eastAsia="仿宋_GB2312"/>
          <w:sz w:val="32"/>
          <w:szCs w:val="32"/>
          <w:lang w:eastAsia="zh-CN"/>
        </w:rPr>
        <w:t>减少</w:t>
      </w:r>
      <w:r>
        <w:rPr>
          <w:rFonts w:hint="eastAsia" w:ascii="仿宋" w:hAnsi="仿宋" w:eastAsia="仿宋"/>
          <w:color w:val="auto"/>
          <w:sz w:val="32"/>
          <w:szCs w:val="32"/>
          <w:highlight w:val="none"/>
          <w:lang w:eastAsia="zh-CN"/>
        </w:rPr>
        <w:t>。</w:t>
      </w:r>
    </w:p>
    <w:p w14:paraId="44546BEB">
      <w:pPr>
        <w:spacing w:line="60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（图5：一般公共预算财政拨款支出决算变动情况）</w:t>
      </w:r>
    </w:p>
    <w:p w14:paraId="1B9E6C97">
      <w:pPr>
        <w:pStyle w:val="10"/>
      </w:pPr>
      <w:r>
        <w:drawing>
          <wp:inline distT="0" distB="0" distL="114300" distR="114300">
            <wp:extent cx="4826000" cy="2743200"/>
            <wp:effectExtent l="4445" t="4445" r="825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334AF4">
      <w:pPr>
        <w:spacing w:line="600" w:lineRule="exact"/>
        <w:ind w:firstLine="643" w:firstLineChars="200"/>
        <w:outlineLvl w:val="2"/>
        <w:rPr>
          <w:rFonts w:ascii="仿宋" w:hAnsi="仿宋" w:eastAsia="仿宋"/>
          <w:b/>
          <w:color w:val="auto"/>
          <w:sz w:val="32"/>
          <w:szCs w:val="32"/>
          <w:highlight w:val="none"/>
        </w:rPr>
      </w:pPr>
      <w:bookmarkStart w:id="14" w:name="_Toc24042"/>
      <w:r>
        <w:rPr>
          <w:rFonts w:hint="eastAsia" w:ascii="仿宋" w:hAnsi="仿宋" w:eastAsia="仿宋"/>
          <w:b/>
          <w:color w:val="auto"/>
          <w:sz w:val="32"/>
          <w:szCs w:val="32"/>
          <w:highlight w:val="none"/>
        </w:rPr>
        <w:t>（二）一般公共预算财政拨款支出决算结构情况</w:t>
      </w:r>
      <w:bookmarkEnd w:id="14"/>
    </w:p>
    <w:p w14:paraId="06D48DCF">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763.36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77.19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29.67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节能环保</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656.51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3EED41B">
      <w:pPr>
        <w:spacing w:line="60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（图6：一般公共预算财政拨款支出决算结构）</w:t>
      </w:r>
    </w:p>
    <w:p w14:paraId="527454C6">
      <w:pPr>
        <w:pStyle w:val="10"/>
      </w:pPr>
      <w:r>
        <w:drawing>
          <wp:inline distT="0" distB="0" distL="114300" distR="114300">
            <wp:extent cx="4826000" cy="2743200"/>
            <wp:effectExtent l="4445" t="4445" r="825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C9D228">
      <w:pPr>
        <w:spacing w:line="600" w:lineRule="exact"/>
        <w:ind w:firstLine="643" w:firstLineChars="200"/>
        <w:outlineLvl w:val="2"/>
        <w:rPr>
          <w:rFonts w:ascii="仿宋" w:hAnsi="仿宋" w:eastAsia="仿宋"/>
          <w:b/>
          <w:color w:val="auto"/>
          <w:sz w:val="32"/>
          <w:szCs w:val="32"/>
          <w:highlight w:val="none"/>
        </w:rPr>
      </w:pPr>
      <w:bookmarkStart w:id="15" w:name="_Toc26421"/>
      <w:r>
        <w:rPr>
          <w:rFonts w:hint="eastAsia" w:ascii="仿宋" w:hAnsi="仿宋" w:eastAsia="仿宋"/>
          <w:b/>
          <w:color w:val="auto"/>
          <w:sz w:val="32"/>
          <w:szCs w:val="32"/>
          <w:highlight w:val="none"/>
        </w:rPr>
        <w:t>（三）一般公共预算财政拨款支出决算具体情况</w:t>
      </w:r>
      <w:bookmarkEnd w:id="15"/>
    </w:p>
    <w:p w14:paraId="6B7617F0">
      <w:pPr>
        <w:spacing w:line="600" w:lineRule="exact"/>
        <w:ind w:firstLine="643" w:firstLineChars="200"/>
        <w:outlineLvl w:val="1"/>
        <w:rPr>
          <w:rFonts w:ascii="仿宋" w:hAnsi="仿宋" w:eastAsia="仿宋"/>
          <w:color w:val="auto"/>
          <w:sz w:val="32"/>
          <w:szCs w:val="32"/>
          <w:highlight w:val="none"/>
        </w:rPr>
      </w:pPr>
      <w:bookmarkStart w:id="16" w:name="_Toc7154"/>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763.36万元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16"/>
    </w:p>
    <w:p w14:paraId="1FBFF510">
      <w:pPr>
        <w:spacing w:line="600" w:lineRule="exact"/>
        <w:ind w:firstLine="643" w:firstLineChars="200"/>
        <w:rPr>
          <w:rFonts w:hint="default" w:ascii="Times New Roman" w:hAnsi="Times New Roman" w:eastAsia="仿宋" w:cs="Times New Roman"/>
          <w:b/>
          <w:color w:val="000000"/>
          <w:sz w:val="32"/>
          <w:szCs w:val="32"/>
        </w:rPr>
      </w:pPr>
      <w:r>
        <w:rPr>
          <w:rStyle w:val="14"/>
          <w:rFonts w:hint="default" w:ascii="Times New Roman" w:hAnsi="Times New Roman" w:eastAsia="仿宋" w:cs="Times New Roman"/>
          <w:bCs/>
          <w:color w:val="000000"/>
          <w:sz w:val="32"/>
          <w:szCs w:val="32"/>
        </w:rPr>
        <w:t xml:space="preserve">1.社会保障和就业支出（类）行政事业单位养老支出（款）机关事业单位基本养老保险缴费支出（项）: </w:t>
      </w:r>
      <w:r>
        <w:rPr>
          <w:rStyle w:val="14"/>
          <w:rFonts w:hint="default" w:ascii="Times New Roman" w:hAnsi="Times New Roman" w:eastAsia="仿宋" w:cs="Times New Roman"/>
          <w:b w:val="0"/>
          <w:bCs w:val="0"/>
          <w:color w:val="000000"/>
          <w:sz w:val="32"/>
          <w:szCs w:val="32"/>
        </w:rPr>
        <w:t>支出决算为</w:t>
      </w:r>
      <w:r>
        <w:rPr>
          <w:rStyle w:val="14"/>
          <w:rFonts w:hint="eastAsia" w:eastAsia="仿宋" w:cs="Times New Roman"/>
          <w:b w:val="0"/>
          <w:bCs w:val="0"/>
          <w:color w:val="000000"/>
          <w:sz w:val="32"/>
          <w:szCs w:val="32"/>
          <w:lang w:val="en-US" w:eastAsia="zh-CN"/>
        </w:rPr>
        <w:t>77.19</w:t>
      </w:r>
      <w:r>
        <w:rPr>
          <w:rStyle w:val="14"/>
          <w:rFonts w:hint="default" w:ascii="Times New Roman" w:hAnsi="Times New Roman" w:eastAsia="仿宋" w:cs="Times New Roman"/>
          <w:b w:val="0"/>
          <w:bCs w:val="0"/>
          <w:color w:val="000000"/>
          <w:sz w:val="32"/>
          <w:szCs w:val="32"/>
        </w:rPr>
        <w:t>万元，完成预算100%</w:t>
      </w:r>
      <w:r>
        <w:rPr>
          <w:rStyle w:val="14"/>
          <w:rFonts w:hint="default" w:ascii="Times New Roman" w:hAnsi="Times New Roman" w:eastAsia="仿宋" w:cs="Times New Roman"/>
          <w:b w:val="0"/>
          <w:bCs/>
          <w:color w:val="000000"/>
          <w:sz w:val="32"/>
          <w:szCs w:val="32"/>
        </w:rPr>
        <w:t>。</w:t>
      </w:r>
    </w:p>
    <w:p w14:paraId="6D3C40FB">
      <w:pPr>
        <w:spacing w:line="600" w:lineRule="exact"/>
        <w:ind w:firstLine="643" w:firstLineChars="200"/>
        <w:rPr>
          <w:rFonts w:hint="default" w:ascii="Times New Roman" w:hAnsi="Times New Roman" w:eastAsia="仿宋" w:cs="Times New Roman"/>
          <w:b/>
          <w:color w:val="000000"/>
          <w:sz w:val="32"/>
          <w:szCs w:val="32"/>
        </w:rPr>
      </w:pPr>
      <w:r>
        <w:rPr>
          <w:rStyle w:val="14"/>
          <w:rFonts w:hint="eastAsia" w:eastAsia="仿宋" w:cs="Times New Roman"/>
          <w:bCs/>
          <w:color w:val="000000"/>
          <w:sz w:val="32"/>
          <w:szCs w:val="32"/>
          <w:lang w:val="en-US" w:eastAsia="zh-CN"/>
        </w:rPr>
        <w:t>2</w:t>
      </w:r>
      <w:r>
        <w:rPr>
          <w:rStyle w:val="14"/>
          <w:rFonts w:hint="default" w:ascii="Times New Roman" w:hAnsi="Times New Roman" w:eastAsia="仿宋" w:cs="Times New Roman"/>
          <w:bCs/>
          <w:color w:val="000000"/>
          <w:sz w:val="32"/>
          <w:szCs w:val="32"/>
        </w:rPr>
        <w:t>.卫生健康支出（类）行政事业单位医疗（款）行政单位医疗（项）:</w:t>
      </w:r>
      <w:r>
        <w:rPr>
          <w:rStyle w:val="14"/>
          <w:rFonts w:hint="default" w:ascii="Times New Roman" w:hAnsi="Times New Roman" w:eastAsia="仿宋" w:cs="Times New Roman"/>
          <w:b w:val="0"/>
          <w:bCs/>
          <w:color w:val="000000"/>
          <w:sz w:val="32"/>
          <w:szCs w:val="32"/>
        </w:rPr>
        <w:t xml:space="preserve"> 支出决算为</w:t>
      </w:r>
      <w:r>
        <w:rPr>
          <w:rStyle w:val="14"/>
          <w:rFonts w:hint="eastAsia" w:eastAsia="仿宋" w:cs="Times New Roman"/>
          <w:b w:val="0"/>
          <w:bCs/>
          <w:color w:val="000000"/>
          <w:sz w:val="32"/>
          <w:szCs w:val="32"/>
          <w:lang w:val="en-US" w:eastAsia="zh-CN"/>
        </w:rPr>
        <w:t>13.64</w:t>
      </w:r>
      <w:r>
        <w:rPr>
          <w:rStyle w:val="14"/>
          <w:rFonts w:hint="default" w:ascii="Times New Roman" w:hAnsi="Times New Roman" w:eastAsia="仿宋" w:cs="Times New Roman"/>
          <w:b w:val="0"/>
          <w:bCs/>
          <w:color w:val="000000"/>
          <w:sz w:val="32"/>
          <w:szCs w:val="32"/>
        </w:rPr>
        <w:t>万元，完成预算</w:t>
      </w:r>
      <w:r>
        <w:rPr>
          <w:rStyle w:val="14"/>
          <w:rFonts w:hint="eastAsia" w:eastAsia="仿宋" w:cs="Times New Roman"/>
          <w:b w:val="0"/>
          <w:bCs/>
          <w:color w:val="000000"/>
          <w:sz w:val="32"/>
          <w:szCs w:val="32"/>
          <w:lang w:val="en-US" w:eastAsia="zh-CN"/>
        </w:rPr>
        <w:t>100</w:t>
      </w:r>
      <w:r>
        <w:rPr>
          <w:rStyle w:val="14"/>
          <w:rFonts w:hint="default" w:ascii="Times New Roman" w:hAnsi="Times New Roman" w:eastAsia="仿宋" w:cs="Times New Roman"/>
          <w:b w:val="0"/>
          <w:bCs/>
          <w:color w:val="000000"/>
          <w:sz w:val="32"/>
          <w:szCs w:val="32"/>
        </w:rPr>
        <w:t>%。</w:t>
      </w:r>
    </w:p>
    <w:p w14:paraId="5A24040B">
      <w:pPr>
        <w:spacing w:line="600" w:lineRule="exact"/>
        <w:ind w:firstLine="643" w:firstLineChars="200"/>
        <w:rPr>
          <w:rFonts w:hint="default" w:ascii="Times New Roman" w:hAnsi="Times New Roman" w:eastAsia="仿宋" w:cs="Times New Roman"/>
          <w:b/>
          <w:color w:val="000000"/>
          <w:sz w:val="32"/>
          <w:szCs w:val="32"/>
        </w:rPr>
      </w:pPr>
      <w:r>
        <w:rPr>
          <w:rStyle w:val="14"/>
          <w:rFonts w:hint="eastAsia" w:eastAsia="仿宋" w:cs="Times New Roman"/>
          <w:bCs/>
          <w:color w:val="000000"/>
          <w:sz w:val="32"/>
          <w:szCs w:val="32"/>
          <w:lang w:val="en-US" w:eastAsia="zh-CN"/>
        </w:rPr>
        <w:t>3</w:t>
      </w:r>
      <w:r>
        <w:rPr>
          <w:rStyle w:val="14"/>
          <w:rFonts w:hint="default" w:ascii="Times New Roman" w:hAnsi="Times New Roman" w:eastAsia="仿宋" w:cs="Times New Roman"/>
          <w:bCs/>
          <w:color w:val="000000"/>
          <w:sz w:val="32"/>
          <w:szCs w:val="32"/>
        </w:rPr>
        <w:t>.卫生健康支出（类）行政事业单位医疗（款）事业单位医疗（项）:</w:t>
      </w:r>
      <w:r>
        <w:rPr>
          <w:rStyle w:val="14"/>
          <w:rFonts w:hint="default" w:ascii="Times New Roman" w:hAnsi="Times New Roman" w:eastAsia="仿宋" w:cs="Times New Roman"/>
          <w:b w:val="0"/>
          <w:bCs/>
          <w:color w:val="000000"/>
          <w:sz w:val="32"/>
          <w:szCs w:val="32"/>
        </w:rPr>
        <w:t xml:space="preserve"> 支出决算为</w:t>
      </w:r>
      <w:r>
        <w:rPr>
          <w:rStyle w:val="14"/>
          <w:rFonts w:hint="eastAsia" w:eastAsia="仿宋" w:cs="Times New Roman"/>
          <w:b w:val="0"/>
          <w:bCs/>
          <w:color w:val="000000"/>
          <w:sz w:val="32"/>
          <w:szCs w:val="32"/>
          <w:lang w:val="en-US" w:eastAsia="zh-CN"/>
        </w:rPr>
        <w:t>9.51</w:t>
      </w:r>
      <w:r>
        <w:rPr>
          <w:rStyle w:val="14"/>
          <w:rFonts w:hint="default" w:ascii="Times New Roman" w:hAnsi="Times New Roman" w:eastAsia="仿宋" w:cs="Times New Roman"/>
          <w:b w:val="0"/>
          <w:bCs/>
          <w:color w:val="000000"/>
          <w:sz w:val="32"/>
          <w:szCs w:val="32"/>
        </w:rPr>
        <w:t>万元，完成预算</w:t>
      </w:r>
      <w:r>
        <w:rPr>
          <w:rStyle w:val="14"/>
          <w:rFonts w:hint="eastAsia" w:eastAsia="仿宋" w:cs="Times New Roman"/>
          <w:b w:val="0"/>
          <w:bCs/>
          <w:color w:val="000000"/>
          <w:sz w:val="32"/>
          <w:szCs w:val="32"/>
          <w:lang w:val="en-US" w:eastAsia="zh-CN"/>
        </w:rPr>
        <w:t>100</w:t>
      </w:r>
      <w:r>
        <w:rPr>
          <w:rStyle w:val="14"/>
          <w:rFonts w:hint="default" w:ascii="Times New Roman" w:hAnsi="Times New Roman" w:eastAsia="仿宋" w:cs="Times New Roman"/>
          <w:b w:val="0"/>
          <w:bCs/>
          <w:color w:val="000000"/>
          <w:sz w:val="32"/>
          <w:szCs w:val="32"/>
        </w:rPr>
        <w:t>%。</w:t>
      </w:r>
    </w:p>
    <w:p w14:paraId="78EEC51B">
      <w:pPr>
        <w:spacing w:line="600" w:lineRule="exact"/>
        <w:ind w:firstLine="643" w:firstLineChars="200"/>
        <w:rPr>
          <w:rFonts w:hint="default" w:ascii="Times New Roman" w:hAnsi="Times New Roman" w:eastAsia="仿宋" w:cs="Times New Roman"/>
          <w:b/>
          <w:color w:val="000000"/>
          <w:sz w:val="32"/>
          <w:szCs w:val="32"/>
        </w:rPr>
      </w:pPr>
      <w:r>
        <w:rPr>
          <w:rStyle w:val="14"/>
          <w:rFonts w:hint="eastAsia" w:eastAsia="仿宋" w:cs="Times New Roman"/>
          <w:bCs/>
          <w:color w:val="000000"/>
          <w:sz w:val="32"/>
          <w:szCs w:val="32"/>
          <w:lang w:val="en-US" w:eastAsia="zh-CN"/>
        </w:rPr>
        <w:t>4</w:t>
      </w:r>
      <w:r>
        <w:rPr>
          <w:rStyle w:val="14"/>
          <w:rFonts w:hint="default" w:ascii="Times New Roman" w:hAnsi="Times New Roman" w:eastAsia="仿宋" w:cs="Times New Roman"/>
          <w:bCs/>
          <w:color w:val="000000"/>
          <w:sz w:val="32"/>
          <w:szCs w:val="32"/>
        </w:rPr>
        <w:t>.卫生健康支出（类）行政事业单位医疗（款）</w:t>
      </w:r>
      <w:r>
        <w:rPr>
          <w:rStyle w:val="14"/>
          <w:rFonts w:hint="eastAsia" w:eastAsia="仿宋" w:cs="Times New Roman"/>
          <w:bCs/>
          <w:color w:val="000000"/>
          <w:sz w:val="32"/>
          <w:szCs w:val="32"/>
          <w:lang w:eastAsia="zh-CN"/>
        </w:rPr>
        <w:t>公务员</w:t>
      </w:r>
      <w:r>
        <w:rPr>
          <w:rStyle w:val="14"/>
          <w:rFonts w:hint="default" w:ascii="Times New Roman" w:hAnsi="Times New Roman" w:eastAsia="仿宋" w:cs="Times New Roman"/>
          <w:bCs/>
          <w:color w:val="000000"/>
          <w:sz w:val="32"/>
          <w:szCs w:val="32"/>
        </w:rPr>
        <w:t>医疗</w:t>
      </w:r>
      <w:r>
        <w:rPr>
          <w:rStyle w:val="14"/>
          <w:rFonts w:hint="eastAsia" w:eastAsia="仿宋" w:cs="Times New Roman"/>
          <w:bCs/>
          <w:color w:val="000000"/>
          <w:sz w:val="32"/>
          <w:szCs w:val="32"/>
          <w:lang w:eastAsia="zh-CN"/>
        </w:rPr>
        <w:t>补助</w:t>
      </w:r>
      <w:r>
        <w:rPr>
          <w:rStyle w:val="14"/>
          <w:rFonts w:hint="default" w:ascii="Times New Roman" w:hAnsi="Times New Roman" w:eastAsia="仿宋" w:cs="Times New Roman"/>
          <w:bCs/>
          <w:color w:val="000000"/>
          <w:sz w:val="32"/>
          <w:szCs w:val="32"/>
        </w:rPr>
        <w:t>（项）:</w:t>
      </w:r>
      <w:r>
        <w:rPr>
          <w:rStyle w:val="14"/>
          <w:rFonts w:hint="default" w:ascii="Times New Roman" w:hAnsi="Times New Roman" w:eastAsia="仿宋" w:cs="Times New Roman"/>
          <w:b w:val="0"/>
          <w:bCs/>
          <w:color w:val="000000"/>
          <w:sz w:val="32"/>
          <w:szCs w:val="32"/>
        </w:rPr>
        <w:t xml:space="preserve"> 支出决算为</w:t>
      </w:r>
      <w:r>
        <w:rPr>
          <w:rStyle w:val="14"/>
          <w:rFonts w:hint="eastAsia" w:eastAsia="仿宋" w:cs="Times New Roman"/>
          <w:b w:val="0"/>
          <w:bCs/>
          <w:color w:val="000000"/>
          <w:sz w:val="32"/>
          <w:szCs w:val="32"/>
          <w:lang w:val="en-US" w:eastAsia="zh-CN"/>
        </w:rPr>
        <w:t>6.52</w:t>
      </w:r>
      <w:r>
        <w:rPr>
          <w:rStyle w:val="14"/>
          <w:rFonts w:hint="default" w:ascii="Times New Roman" w:hAnsi="Times New Roman" w:eastAsia="仿宋" w:cs="Times New Roman"/>
          <w:b w:val="0"/>
          <w:bCs/>
          <w:color w:val="000000"/>
          <w:sz w:val="32"/>
          <w:szCs w:val="32"/>
        </w:rPr>
        <w:t>万元，完成预算</w:t>
      </w:r>
      <w:r>
        <w:rPr>
          <w:rStyle w:val="14"/>
          <w:rFonts w:hint="eastAsia" w:eastAsia="仿宋" w:cs="Times New Roman"/>
          <w:b w:val="0"/>
          <w:bCs/>
          <w:color w:val="000000"/>
          <w:sz w:val="32"/>
          <w:szCs w:val="32"/>
          <w:lang w:val="en-US" w:eastAsia="zh-CN"/>
        </w:rPr>
        <w:t>100</w:t>
      </w:r>
      <w:r>
        <w:rPr>
          <w:rStyle w:val="14"/>
          <w:rFonts w:hint="default" w:ascii="Times New Roman" w:hAnsi="Times New Roman" w:eastAsia="仿宋" w:cs="Times New Roman"/>
          <w:b w:val="0"/>
          <w:bCs/>
          <w:color w:val="000000"/>
          <w:sz w:val="32"/>
          <w:szCs w:val="32"/>
        </w:rPr>
        <w:t>%。</w:t>
      </w:r>
    </w:p>
    <w:p w14:paraId="4553062E">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eastAsia" w:ascii="Times New Roman" w:hAnsi="Times New Roman" w:eastAsia="仿宋" w:cs="Times New Roman"/>
          <w:bCs/>
          <w:color w:val="000000"/>
          <w:sz w:val="32"/>
          <w:szCs w:val="32"/>
          <w:lang w:val="en-US" w:eastAsia="zh-CN"/>
        </w:rPr>
        <w:t>5</w:t>
      </w:r>
      <w:r>
        <w:rPr>
          <w:rStyle w:val="14"/>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节能环保支出（类）环境保护管理事务（款）行政运行（项）</w:t>
      </w:r>
      <w:r>
        <w:rPr>
          <w:rStyle w:val="14"/>
          <w:rFonts w:hint="default" w:ascii="Times New Roman" w:hAnsi="Times New Roman" w:eastAsia="仿宋" w:cs="Times New Roman"/>
          <w:bCs/>
          <w:color w:val="000000"/>
          <w:sz w:val="32"/>
          <w:szCs w:val="32"/>
        </w:rPr>
        <w:t>:</w:t>
      </w:r>
      <w:r>
        <w:rPr>
          <w:rStyle w:val="14"/>
          <w:rFonts w:hint="default" w:ascii="Times New Roman" w:hAnsi="Times New Roman" w:eastAsia="仿宋" w:cs="Times New Roman"/>
          <w:b w:val="0"/>
          <w:bCs/>
          <w:color w:val="000000"/>
          <w:sz w:val="32"/>
          <w:szCs w:val="32"/>
        </w:rPr>
        <w:t>支出决算为</w:t>
      </w:r>
      <w:r>
        <w:rPr>
          <w:rStyle w:val="14"/>
          <w:rFonts w:hint="eastAsia" w:eastAsia="仿宋" w:cs="Times New Roman"/>
          <w:b w:val="0"/>
          <w:bCs/>
          <w:color w:val="000000"/>
          <w:sz w:val="32"/>
          <w:szCs w:val="32"/>
          <w:lang w:val="en-US" w:eastAsia="zh-CN"/>
        </w:rPr>
        <w:t>609.01</w:t>
      </w:r>
      <w:r>
        <w:rPr>
          <w:rStyle w:val="14"/>
          <w:rFonts w:hint="default" w:ascii="Times New Roman" w:hAnsi="Times New Roman" w:eastAsia="仿宋" w:cs="Times New Roman"/>
          <w:b w:val="0"/>
          <w:bCs/>
          <w:color w:val="000000"/>
          <w:sz w:val="32"/>
          <w:szCs w:val="32"/>
        </w:rPr>
        <w:t>万元，完成预算</w:t>
      </w:r>
      <w:r>
        <w:rPr>
          <w:rStyle w:val="14"/>
          <w:rFonts w:hint="eastAsia" w:eastAsia="仿宋" w:cs="Times New Roman"/>
          <w:b w:val="0"/>
          <w:bCs/>
          <w:color w:val="000000"/>
          <w:sz w:val="32"/>
          <w:szCs w:val="32"/>
          <w:lang w:val="en-US" w:eastAsia="zh-CN"/>
        </w:rPr>
        <w:t>100</w:t>
      </w:r>
      <w:r>
        <w:rPr>
          <w:rStyle w:val="14"/>
          <w:rFonts w:hint="default" w:ascii="Times New Roman" w:hAnsi="Times New Roman" w:eastAsia="仿宋" w:cs="Times New Roman"/>
          <w:b w:val="0"/>
          <w:bCs/>
          <w:color w:val="000000"/>
          <w:sz w:val="32"/>
          <w:szCs w:val="32"/>
        </w:rPr>
        <w:t>%。</w:t>
      </w:r>
    </w:p>
    <w:p w14:paraId="5772BA23">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eastAsia" w:ascii="Times New Roman" w:hAnsi="Times New Roman" w:eastAsia="仿宋" w:cs="Times New Roman"/>
          <w:bCs/>
          <w:color w:val="000000"/>
          <w:sz w:val="32"/>
          <w:szCs w:val="32"/>
          <w:lang w:val="en-US" w:eastAsia="zh-CN"/>
        </w:rPr>
        <w:t>6</w:t>
      </w:r>
      <w:r>
        <w:rPr>
          <w:rStyle w:val="14"/>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节能环保支出（类）</w:t>
      </w:r>
      <w:r>
        <w:rPr>
          <w:rFonts w:hint="eastAsia" w:eastAsia="仿宋" w:cs="Times New Roman"/>
          <w:b/>
          <w:bCs/>
          <w:color w:val="000000" w:themeColor="text1"/>
          <w:sz w:val="32"/>
          <w:szCs w:val="32"/>
          <w:lang w:eastAsia="zh-CN"/>
          <w14:textFill>
            <w14:solidFill>
              <w14:schemeClr w14:val="tx1"/>
            </w14:solidFill>
          </w14:textFill>
        </w:rPr>
        <w:t>污染减排</w:t>
      </w:r>
      <w:r>
        <w:rPr>
          <w:rFonts w:hint="default" w:ascii="Times New Roman" w:hAnsi="Times New Roman" w:eastAsia="仿宋" w:cs="Times New Roman"/>
          <w:b/>
          <w:bCs/>
          <w:color w:val="000000" w:themeColor="text1"/>
          <w:sz w:val="32"/>
          <w:szCs w:val="32"/>
          <w14:textFill>
            <w14:solidFill>
              <w14:schemeClr w14:val="tx1"/>
            </w14:solidFill>
          </w14:textFill>
        </w:rPr>
        <w:t>（款）</w:t>
      </w:r>
      <w:r>
        <w:rPr>
          <w:rFonts w:hint="eastAsia" w:eastAsia="仿宋" w:cs="Times New Roman"/>
          <w:b/>
          <w:bCs/>
          <w:color w:val="000000" w:themeColor="text1"/>
          <w:sz w:val="32"/>
          <w:szCs w:val="32"/>
          <w:lang w:val="en-US" w:eastAsia="zh-CN"/>
          <w14:textFill>
            <w14:solidFill>
              <w14:schemeClr w14:val="tx1"/>
            </w14:solidFill>
          </w14:textFill>
        </w:rPr>
        <w:t>生态环境执法监察</w:t>
      </w:r>
      <w:r>
        <w:rPr>
          <w:rFonts w:hint="default" w:ascii="Times New Roman" w:hAnsi="Times New Roman" w:eastAsia="仿宋" w:cs="Times New Roman"/>
          <w:b/>
          <w:bCs/>
          <w:color w:val="000000" w:themeColor="text1"/>
          <w:sz w:val="32"/>
          <w:szCs w:val="32"/>
          <w14:textFill>
            <w14:solidFill>
              <w14:schemeClr w14:val="tx1"/>
            </w14:solidFill>
          </w14:textFill>
        </w:rPr>
        <w:t>（项）</w:t>
      </w:r>
      <w:r>
        <w:rPr>
          <w:rStyle w:val="14"/>
          <w:rFonts w:hint="default" w:ascii="Times New Roman" w:hAnsi="Times New Roman" w:eastAsia="仿宋" w:cs="Times New Roman"/>
          <w:bCs/>
          <w:color w:val="000000"/>
          <w:sz w:val="32"/>
          <w:szCs w:val="32"/>
        </w:rPr>
        <w:t>:</w:t>
      </w:r>
      <w:r>
        <w:rPr>
          <w:rStyle w:val="14"/>
          <w:rFonts w:hint="default" w:ascii="Times New Roman" w:hAnsi="Times New Roman" w:eastAsia="仿宋" w:cs="Times New Roman"/>
          <w:b w:val="0"/>
          <w:bCs/>
          <w:color w:val="000000"/>
          <w:sz w:val="32"/>
          <w:szCs w:val="32"/>
        </w:rPr>
        <w:t>支出决算为</w:t>
      </w:r>
      <w:r>
        <w:rPr>
          <w:rStyle w:val="14"/>
          <w:rFonts w:hint="eastAsia" w:eastAsia="仿宋" w:cs="Times New Roman"/>
          <w:b w:val="0"/>
          <w:bCs/>
          <w:color w:val="000000"/>
          <w:sz w:val="32"/>
          <w:szCs w:val="32"/>
          <w:lang w:val="en-US" w:eastAsia="zh-CN"/>
        </w:rPr>
        <w:t>15</w:t>
      </w:r>
      <w:r>
        <w:rPr>
          <w:rStyle w:val="14"/>
          <w:rFonts w:hint="default" w:ascii="Times New Roman" w:hAnsi="Times New Roman" w:eastAsia="仿宋" w:cs="Times New Roman"/>
          <w:b w:val="0"/>
          <w:bCs/>
          <w:color w:val="000000"/>
          <w:sz w:val="32"/>
          <w:szCs w:val="32"/>
        </w:rPr>
        <w:t>万元，完成预算</w:t>
      </w:r>
      <w:r>
        <w:rPr>
          <w:rStyle w:val="14"/>
          <w:rFonts w:hint="eastAsia" w:eastAsia="仿宋" w:cs="Times New Roman"/>
          <w:b w:val="0"/>
          <w:bCs/>
          <w:color w:val="000000"/>
          <w:sz w:val="32"/>
          <w:szCs w:val="32"/>
          <w:lang w:val="en-US" w:eastAsia="zh-CN"/>
        </w:rPr>
        <w:t>100</w:t>
      </w:r>
      <w:r>
        <w:rPr>
          <w:rStyle w:val="14"/>
          <w:rFonts w:hint="default" w:ascii="Times New Roman" w:hAnsi="Times New Roman" w:eastAsia="仿宋" w:cs="Times New Roman"/>
          <w:b w:val="0"/>
          <w:bCs/>
          <w:color w:val="000000"/>
          <w:sz w:val="32"/>
          <w:szCs w:val="32"/>
        </w:rPr>
        <w:t>%。</w:t>
      </w:r>
    </w:p>
    <w:p w14:paraId="2A4F2054">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eastAsia" w:ascii="Times New Roman" w:hAnsi="Times New Roman" w:eastAsia="仿宋" w:cs="Times New Roman"/>
          <w:bCs/>
          <w:color w:val="000000"/>
          <w:sz w:val="32"/>
          <w:szCs w:val="32"/>
          <w:lang w:val="en-US" w:eastAsia="zh-CN"/>
        </w:rPr>
        <w:t>7</w:t>
      </w:r>
      <w:r>
        <w:rPr>
          <w:rStyle w:val="14"/>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节能环保支出（类）</w:t>
      </w:r>
      <w:r>
        <w:rPr>
          <w:rFonts w:hint="eastAsia" w:eastAsia="仿宋" w:cs="Times New Roman"/>
          <w:b/>
          <w:bCs/>
          <w:color w:val="000000" w:themeColor="text1"/>
          <w:sz w:val="32"/>
          <w:szCs w:val="32"/>
          <w:lang w:eastAsia="zh-CN"/>
          <w14:textFill>
            <w14:solidFill>
              <w14:schemeClr w14:val="tx1"/>
            </w14:solidFill>
          </w14:textFill>
        </w:rPr>
        <w:t>污染减排</w:t>
      </w:r>
      <w:r>
        <w:rPr>
          <w:rFonts w:hint="default" w:ascii="Times New Roman" w:hAnsi="Times New Roman" w:eastAsia="仿宋" w:cs="Times New Roman"/>
          <w:b/>
          <w:bCs/>
          <w:color w:val="000000" w:themeColor="text1"/>
          <w:sz w:val="32"/>
          <w:szCs w:val="32"/>
          <w14:textFill>
            <w14:solidFill>
              <w14:schemeClr w14:val="tx1"/>
            </w14:solidFill>
          </w14:textFill>
        </w:rPr>
        <w:t>（款）</w:t>
      </w:r>
      <w:r>
        <w:rPr>
          <w:rFonts w:hint="eastAsia" w:eastAsia="仿宋" w:cs="Times New Roman"/>
          <w:b/>
          <w:bCs/>
          <w:color w:val="000000" w:themeColor="text1"/>
          <w:sz w:val="32"/>
          <w:szCs w:val="32"/>
          <w:lang w:val="en-US" w:eastAsia="zh-CN"/>
          <w14:textFill>
            <w14:solidFill>
              <w14:schemeClr w14:val="tx1"/>
            </w14:solidFill>
          </w14:textFill>
        </w:rPr>
        <w:t>其他污染减排支出</w:t>
      </w:r>
      <w:r>
        <w:rPr>
          <w:rFonts w:hint="default" w:ascii="Times New Roman" w:hAnsi="Times New Roman" w:eastAsia="仿宋" w:cs="Times New Roman"/>
          <w:b/>
          <w:bCs/>
          <w:color w:val="000000" w:themeColor="text1"/>
          <w:sz w:val="32"/>
          <w:szCs w:val="32"/>
          <w14:textFill>
            <w14:solidFill>
              <w14:schemeClr w14:val="tx1"/>
            </w14:solidFill>
          </w14:textFill>
        </w:rPr>
        <w:t>（项）</w:t>
      </w:r>
      <w:r>
        <w:rPr>
          <w:rStyle w:val="14"/>
          <w:rFonts w:hint="default" w:ascii="Times New Roman" w:hAnsi="Times New Roman" w:eastAsia="仿宋" w:cs="Times New Roman"/>
          <w:bCs/>
          <w:color w:val="000000"/>
          <w:sz w:val="32"/>
          <w:szCs w:val="32"/>
        </w:rPr>
        <w:t>:</w:t>
      </w:r>
      <w:r>
        <w:rPr>
          <w:rStyle w:val="14"/>
          <w:rFonts w:hint="default" w:ascii="Times New Roman" w:hAnsi="Times New Roman" w:eastAsia="仿宋" w:cs="Times New Roman"/>
          <w:b w:val="0"/>
          <w:bCs/>
          <w:color w:val="000000"/>
          <w:sz w:val="32"/>
          <w:szCs w:val="32"/>
        </w:rPr>
        <w:t>支出决算为</w:t>
      </w:r>
      <w:r>
        <w:rPr>
          <w:rStyle w:val="14"/>
          <w:rFonts w:hint="eastAsia" w:eastAsia="仿宋" w:cs="Times New Roman"/>
          <w:b w:val="0"/>
          <w:bCs/>
          <w:color w:val="000000"/>
          <w:sz w:val="32"/>
          <w:szCs w:val="32"/>
          <w:lang w:val="en-US" w:eastAsia="zh-CN"/>
        </w:rPr>
        <w:t>32.5</w:t>
      </w:r>
      <w:r>
        <w:rPr>
          <w:rStyle w:val="14"/>
          <w:rFonts w:hint="default" w:ascii="Times New Roman" w:hAnsi="Times New Roman" w:eastAsia="仿宋" w:cs="Times New Roman"/>
          <w:b w:val="0"/>
          <w:bCs/>
          <w:color w:val="000000"/>
          <w:sz w:val="32"/>
          <w:szCs w:val="32"/>
        </w:rPr>
        <w:t>万元，完成预算</w:t>
      </w:r>
      <w:r>
        <w:rPr>
          <w:rStyle w:val="14"/>
          <w:rFonts w:hint="eastAsia" w:eastAsia="仿宋" w:cs="Times New Roman"/>
          <w:b w:val="0"/>
          <w:bCs/>
          <w:color w:val="000000"/>
          <w:sz w:val="32"/>
          <w:szCs w:val="32"/>
          <w:lang w:val="en-US" w:eastAsia="zh-CN"/>
        </w:rPr>
        <w:t>100</w:t>
      </w:r>
      <w:r>
        <w:rPr>
          <w:rStyle w:val="14"/>
          <w:rFonts w:hint="default" w:ascii="Times New Roman" w:hAnsi="Times New Roman" w:eastAsia="仿宋" w:cs="Times New Roman"/>
          <w:b w:val="0"/>
          <w:bCs/>
          <w:color w:val="000000"/>
          <w:sz w:val="32"/>
          <w:szCs w:val="32"/>
        </w:rPr>
        <w:t>%。</w:t>
      </w:r>
    </w:p>
    <w:p w14:paraId="48744B54">
      <w:pPr>
        <w:spacing w:line="600" w:lineRule="exact"/>
        <w:ind w:firstLine="640" w:firstLineChars="200"/>
        <w:outlineLvl w:val="1"/>
        <w:rPr>
          <w:rFonts w:hint="eastAsia" w:ascii="黑体" w:hAnsi="黑体" w:eastAsia="黑体" w:cs="Times New Roman"/>
          <w:color w:val="auto"/>
          <w:sz w:val="32"/>
          <w:szCs w:val="32"/>
          <w:highlight w:val="none"/>
        </w:rPr>
      </w:pPr>
      <w:bookmarkStart w:id="17" w:name="_Toc8339"/>
      <w:r>
        <w:rPr>
          <w:rFonts w:hint="eastAsia" w:ascii="黑体" w:hAnsi="黑体" w:eastAsia="黑体" w:cs="Times New Roman"/>
          <w:color w:val="auto"/>
          <w:sz w:val="32"/>
          <w:szCs w:val="32"/>
          <w:highlight w:val="none"/>
        </w:rPr>
        <w:t>六、一般公共预算财政拨款基本支出决算情况说明</w:t>
      </w:r>
      <w:bookmarkEnd w:id="17"/>
    </w:p>
    <w:p w14:paraId="10C9FC3B">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715.86</w:t>
      </w:r>
      <w:r>
        <w:rPr>
          <w:rFonts w:hint="eastAsia" w:ascii="仿宋" w:hAnsi="仿宋" w:eastAsia="仿宋"/>
          <w:color w:val="auto"/>
          <w:sz w:val="32"/>
          <w:szCs w:val="32"/>
          <w:highlight w:val="none"/>
        </w:rPr>
        <w:t>万元，其中：</w:t>
      </w:r>
    </w:p>
    <w:p w14:paraId="3BB5EE3B">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461.14</w:t>
      </w:r>
      <w:r>
        <w:rPr>
          <w:rFonts w:hint="eastAsia" w:ascii="仿宋" w:hAnsi="仿宋" w:eastAsia="仿宋"/>
          <w:color w:val="auto"/>
          <w:sz w:val="32"/>
          <w:szCs w:val="32"/>
          <w:highlight w:val="none"/>
        </w:rPr>
        <w:t>万元，主要包括：</w:t>
      </w:r>
      <w:r>
        <w:rPr>
          <w:rFonts w:hint="default" w:ascii="Times New Roman" w:hAnsi="Times New Roman" w:eastAsia="仿宋" w:cs="Times New Roman"/>
          <w:color w:val="auto"/>
          <w:sz w:val="32"/>
          <w:szCs w:val="32"/>
        </w:rPr>
        <w:t>基本工资、津贴补贴、</w:t>
      </w:r>
      <w:r>
        <w:rPr>
          <w:rFonts w:hint="eastAsia" w:ascii="Times New Roman" w:hAnsi="Times New Roman" w:eastAsia="仿宋" w:cs="Times New Roman"/>
          <w:color w:val="auto"/>
          <w:sz w:val="32"/>
          <w:szCs w:val="32"/>
          <w:lang w:eastAsia="zh-CN"/>
        </w:rPr>
        <w:t>奖金、</w:t>
      </w:r>
      <w:r>
        <w:rPr>
          <w:rFonts w:hint="default" w:ascii="Times New Roman" w:hAnsi="Times New Roman" w:eastAsia="仿宋" w:cs="Times New Roman"/>
          <w:color w:val="auto"/>
          <w:sz w:val="32"/>
          <w:szCs w:val="32"/>
        </w:rPr>
        <w:t>机关事业单位基本养老保险缴费、职工基本医疗保险缴费</w:t>
      </w:r>
      <w:r>
        <w:rPr>
          <w:rFonts w:hint="eastAsia" w:eastAsia="仿宋" w:cs="Times New Roman"/>
          <w:color w:val="auto"/>
          <w:sz w:val="32"/>
          <w:szCs w:val="32"/>
          <w:lang w:eastAsia="zh-CN"/>
        </w:rPr>
        <w:t>、公务员医疗补助缴费、</w:t>
      </w:r>
      <w:r>
        <w:rPr>
          <w:rFonts w:hint="default" w:ascii="Times New Roman" w:hAnsi="Times New Roman" w:eastAsia="仿宋" w:cs="Times New Roman"/>
          <w:color w:val="auto"/>
          <w:sz w:val="32"/>
          <w:szCs w:val="32"/>
        </w:rPr>
        <w:t>其他社会保障缴费、</w:t>
      </w:r>
      <w:r>
        <w:rPr>
          <w:rFonts w:hint="eastAsia" w:ascii="Times New Roman" w:hAnsi="Times New Roman" w:eastAsia="仿宋" w:cs="Times New Roman"/>
          <w:color w:val="auto"/>
          <w:sz w:val="32"/>
          <w:szCs w:val="32"/>
          <w:lang w:eastAsia="zh-CN"/>
        </w:rPr>
        <w:t>其他工资福利支出、</w:t>
      </w:r>
      <w:r>
        <w:rPr>
          <w:rFonts w:hint="eastAsia" w:ascii="仿宋" w:hAnsi="仿宋" w:eastAsia="仿宋"/>
          <w:color w:val="auto"/>
          <w:sz w:val="32"/>
          <w:szCs w:val="32"/>
          <w:highlight w:val="none"/>
        </w:rPr>
        <w:t>其他对个人和家庭的补助支出等</w:t>
      </w:r>
      <w:r>
        <w:rPr>
          <w:rFonts w:hint="eastAsia" w:ascii="仿宋" w:hAnsi="仿宋" w:eastAsia="仿宋" w:cs="Times New Roman"/>
          <w:color w:val="auto"/>
          <w:sz w:val="32"/>
          <w:szCs w:val="32"/>
          <w:highlight w:val="none"/>
          <w:lang w:eastAsia="zh-CN"/>
        </w:rPr>
        <w:t>。</w:t>
      </w:r>
    </w:p>
    <w:p w14:paraId="7AE3851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254.73</w:t>
      </w:r>
      <w:r>
        <w:rPr>
          <w:rFonts w:hint="eastAsia" w:ascii="仿宋" w:hAnsi="仿宋" w:eastAsia="仿宋"/>
          <w:color w:val="auto"/>
          <w:sz w:val="32"/>
          <w:szCs w:val="32"/>
          <w:highlight w:val="none"/>
        </w:rPr>
        <w:t>万元，主要包括：办公费、印刷费、水费、邮电费、物业管理费、差旅费、维修（护）费、会议费、培训费、公务接待费、工会经费、福利费、公务用车运行维护费、其他交通费、其他商品和服务支出等。</w:t>
      </w:r>
    </w:p>
    <w:p w14:paraId="3DB23245">
      <w:pPr>
        <w:spacing w:line="600" w:lineRule="exact"/>
        <w:ind w:firstLine="640"/>
        <w:outlineLvl w:val="1"/>
        <w:rPr>
          <w:rStyle w:val="16"/>
          <w:rFonts w:ascii="黑体" w:hAnsi="黑体" w:eastAsia="黑体"/>
          <w:b w:val="0"/>
          <w:color w:val="auto"/>
          <w:highlight w:val="none"/>
        </w:rPr>
      </w:pPr>
      <w:bookmarkStart w:id="18" w:name="_Toc11289"/>
      <w:r>
        <w:rPr>
          <w:rFonts w:hint="eastAsia" w:ascii="黑体" w:eastAsia="黑体"/>
          <w:color w:val="auto"/>
          <w:sz w:val="32"/>
          <w:szCs w:val="32"/>
          <w:highlight w:val="none"/>
          <w:lang w:eastAsia="zh-CN"/>
        </w:rPr>
        <w:t>七</w:t>
      </w:r>
      <w:r>
        <w:rPr>
          <w:rFonts w:hint="eastAsia" w:ascii="黑体" w:eastAsia="黑体"/>
          <w:color w:val="auto"/>
          <w:sz w:val="32"/>
          <w:szCs w:val="32"/>
          <w:highlight w:val="none"/>
        </w:rPr>
        <w:t>、</w:t>
      </w:r>
      <w:r>
        <w:rPr>
          <w:rStyle w:val="16"/>
          <w:rFonts w:hint="eastAsia" w:ascii="黑体" w:hAnsi="黑体" w:eastAsia="黑体"/>
          <w:b w:val="0"/>
          <w:color w:val="auto"/>
          <w:highlight w:val="none"/>
        </w:rPr>
        <w:t>财政拨款</w:t>
      </w:r>
      <w:r>
        <w:rPr>
          <w:rStyle w:val="16"/>
          <w:rFonts w:hint="eastAsia" w:ascii="黑体" w:hAnsi="黑体" w:eastAsia="黑体"/>
          <w:color w:val="auto"/>
          <w:highlight w:val="none"/>
        </w:rPr>
        <w:t>“</w:t>
      </w:r>
      <w:r>
        <w:rPr>
          <w:rStyle w:val="16"/>
          <w:rFonts w:hint="eastAsia" w:ascii="黑体" w:hAnsi="黑体" w:eastAsia="黑体"/>
          <w:b w:val="0"/>
          <w:color w:val="auto"/>
          <w:highlight w:val="none"/>
        </w:rPr>
        <w:t>三公”经费支出决算情况说明</w:t>
      </w:r>
      <w:bookmarkEnd w:id="18"/>
    </w:p>
    <w:p w14:paraId="34D73F92">
      <w:pPr>
        <w:spacing w:line="600" w:lineRule="exact"/>
        <w:ind w:firstLine="640"/>
        <w:outlineLvl w:val="2"/>
        <w:rPr>
          <w:rFonts w:ascii="仿宋" w:hAnsi="仿宋" w:eastAsia="仿宋"/>
          <w:b/>
          <w:color w:val="auto"/>
          <w:sz w:val="32"/>
          <w:szCs w:val="32"/>
          <w:highlight w:val="none"/>
        </w:rPr>
      </w:pPr>
      <w:bookmarkStart w:id="19" w:name="_Toc30587"/>
      <w:r>
        <w:rPr>
          <w:rFonts w:hint="eastAsia" w:ascii="仿宋" w:hAnsi="仿宋" w:eastAsia="仿宋"/>
          <w:b/>
          <w:color w:val="auto"/>
          <w:sz w:val="32"/>
          <w:szCs w:val="32"/>
          <w:highlight w:val="none"/>
        </w:rPr>
        <w:t>（一）“三公”经费财政拨款支出决算总体情况说明</w:t>
      </w:r>
      <w:bookmarkEnd w:id="19"/>
    </w:p>
    <w:p w14:paraId="5BE7EF16">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18.8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0.21万元，增长1.1%。</w:t>
      </w:r>
      <w:r>
        <w:rPr>
          <w:rFonts w:hint="eastAsia" w:ascii="仿宋" w:hAnsi="仿宋" w:eastAsia="仿宋"/>
          <w:color w:val="auto"/>
          <w:sz w:val="32"/>
          <w:szCs w:val="32"/>
          <w:highlight w:val="none"/>
        </w:rPr>
        <w:t>决算数与预算数持平的主要原因是</w:t>
      </w:r>
      <w:r>
        <w:rPr>
          <w:rFonts w:hint="default" w:ascii="Times New Roman" w:hAnsi="Times New Roman" w:eastAsia="仿宋" w:cs="Times New Roman"/>
          <w:color w:val="000000"/>
          <w:sz w:val="32"/>
          <w:szCs w:val="32"/>
        </w:rPr>
        <w:t>我</w:t>
      </w:r>
      <w:r>
        <w:rPr>
          <w:rFonts w:hint="eastAsia" w:eastAsia="仿宋" w:cs="Times New Roman"/>
          <w:color w:val="000000"/>
          <w:sz w:val="32"/>
          <w:szCs w:val="32"/>
          <w:lang w:val="en-US" w:eastAsia="zh-CN"/>
        </w:rPr>
        <w:t>单位</w:t>
      </w:r>
      <w:r>
        <w:rPr>
          <w:rFonts w:hint="default" w:ascii="Times New Roman" w:hAnsi="Times New Roman" w:eastAsia="仿宋" w:cs="Times New Roman"/>
          <w:color w:val="000000"/>
          <w:sz w:val="32"/>
          <w:szCs w:val="32"/>
        </w:rPr>
        <w:t>继续认真贯彻落实中央八项规定及省委省政府十项规定要求，厉行节约，加强</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三公</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经费管理，从严控制</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三公</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经费支出</w:t>
      </w:r>
      <w:r>
        <w:rPr>
          <w:rFonts w:hint="eastAsia" w:ascii="仿宋" w:hAnsi="仿宋" w:eastAsia="仿宋"/>
          <w:color w:val="auto"/>
          <w:sz w:val="32"/>
          <w:szCs w:val="32"/>
          <w:highlight w:val="none"/>
        </w:rPr>
        <w:t>。</w:t>
      </w:r>
    </w:p>
    <w:p w14:paraId="260E3386">
      <w:pPr>
        <w:spacing w:line="600" w:lineRule="exact"/>
        <w:ind w:firstLine="640"/>
        <w:outlineLvl w:val="2"/>
        <w:rPr>
          <w:rFonts w:ascii="仿宋" w:hAnsi="仿宋" w:eastAsia="仿宋"/>
          <w:b/>
          <w:color w:val="auto"/>
          <w:sz w:val="32"/>
          <w:szCs w:val="32"/>
          <w:highlight w:val="none"/>
        </w:rPr>
      </w:pPr>
      <w:bookmarkStart w:id="20" w:name="_Toc23779"/>
      <w:r>
        <w:rPr>
          <w:rFonts w:hint="eastAsia" w:ascii="仿宋" w:hAnsi="仿宋" w:eastAsia="仿宋"/>
          <w:b/>
          <w:color w:val="auto"/>
          <w:sz w:val="32"/>
          <w:szCs w:val="32"/>
          <w:highlight w:val="none"/>
        </w:rPr>
        <w:t>（二）“三公”经费财政拨款支出决算具体情况说明</w:t>
      </w:r>
      <w:bookmarkEnd w:id="20"/>
    </w:p>
    <w:p w14:paraId="72FC5615">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85.1</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14.9</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5448707">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14:paraId="2DBBD65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C372EE">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eastAsia="仿宋_GB2312" w:cs="Times New Roman"/>
          <w:color w:val="auto"/>
          <w:sz w:val="32"/>
          <w:szCs w:val="32"/>
          <w:highlight w:val="none"/>
          <w:lang w:val="en-US" w:eastAsia="zh-CN"/>
        </w:rPr>
        <w:t>两年均</w:t>
      </w:r>
      <w:r>
        <w:rPr>
          <w:rFonts w:hint="eastAsia" w:eastAsia="仿宋_GB2312" w:cs="Times New Roman"/>
          <w:color w:val="auto"/>
          <w:sz w:val="32"/>
          <w:szCs w:val="32"/>
          <w:highlight w:val="none"/>
          <w:lang w:eastAsia="zh-CN"/>
        </w:rPr>
        <w:t>未预算和使用因公出国（境）经费</w:t>
      </w:r>
      <w:r>
        <w:rPr>
          <w:rFonts w:hint="eastAsia" w:ascii="仿宋_GB2312" w:eastAsia="仿宋_GB2312"/>
          <w:color w:val="auto"/>
          <w:sz w:val="32"/>
          <w:szCs w:val="32"/>
          <w:highlight w:val="none"/>
        </w:rPr>
        <w:t>。</w:t>
      </w:r>
    </w:p>
    <w:p w14:paraId="641BA402">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开支内容包括：</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lang w:val="en-US" w:eastAsia="zh-CN"/>
        </w:rPr>
        <w:t>2023年度无</w:t>
      </w:r>
      <w:r>
        <w:rPr>
          <w:rFonts w:hint="eastAsia" w:eastAsia="仿宋_GB2312" w:cs="Times New Roman"/>
          <w:color w:val="auto"/>
          <w:sz w:val="32"/>
          <w:szCs w:val="32"/>
          <w:highlight w:val="none"/>
          <w:lang w:eastAsia="zh-CN"/>
        </w:rPr>
        <w:t>因公出国（境）经费支出</w:t>
      </w:r>
      <w:r>
        <w:rPr>
          <w:rFonts w:hint="eastAsia" w:ascii="仿宋_GB2312" w:eastAsia="仿宋_GB2312"/>
          <w:color w:val="auto"/>
          <w:sz w:val="32"/>
          <w:szCs w:val="32"/>
          <w:highlight w:val="none"/>
        </w:rPr>
        <w:t>。</w:t>
      </w:r>
    </w:p>
    <w:p w14:paraId="7279F350">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0.14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lang w:val="en-US" w:eastAsia="zh-CN"/>
        </w:rPr>
        <w:t>2023年度工作量增多</w:t>
      </w:r>
      <w:r>
        <w:rPr>
          <w:rFonts w:hint="eastAsia" w:ascii="仿宋_GB2312" w:eastAsia="仿宋_GB2312"/>
          <w:color w:val="auto"/>
          <w:sz w:val="32"/>
          <w:szCs w:val="32"/>
          <w:highlight w:val="none"/>
        </w:rPr>
        <w:t>。</w:t>
      </w:r>
    </w:p>
    <w:p w14:paraId="7D36763D">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其他车型</w:t>
      </w:r>
      <w:r>
        <w:rPr>
          <w:rFonts w:hint="eastAsia" w:ascii="仿宋_GB2312" w:eastAsia="仿宋_GB2312"/>
          <w:color w:val="auto"/>
          <w:sz w:val="32"/>
          <w:szCs w:val="32"/>
          <w:highlight w:val="none"/>
          <w:lang w:val="en-US" w:eastAsia="zh-CN"/>
        </w:rPr>
        <w:t>2辆</w:t>
      </w:r>
      <w:r>
        <w:rPr>
          <w:rFonts w:hint="eastAsia" w:ascii="仿宋_GB2312" w:eastAsia="仿宋_GB2312"/>
          <w:color w:val="auto"/>
          <w:sz w:val="32"/>
          <w:szCs w:val="32"/>
          <w:highlight w:val="none"/>
        </w:rPr>
        <w:t>。</w:t>
      </w:r>
    </w:p>
    <w:p w14:paraId="4C1E9496">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万元。主要用于</w:t>
      </w:r>
      <w:r>
        <w:rPr>
          <w:rFonts w:hint="default" w:ascii="Times New Roman" w:hAnsi="Times New Roman" w:eastAsia="仿宋_GB2312" w:cs="Times New Roman"/>
          <w:color w:val="000000"/>
          <w:sz w:val="32"/>
          <w:szCs w:val="32"/>
        </w:rPr>
        <w:t>主要用于</w:t>
      </w:r>
      <w:r>
        <w:rPr>
          <w:rFonts w:hint="eastAsia" w:ascii="仿宋" w:hAnsi="仿宋" w:eastAsia="仿宋"/>
          <w:color w:val="000000"/>
          <w:sz w:val="32"/>
          <w:szCs w:val="32"/>
        </w:rPr>
        <w:t>生态环境执法检查、环境应急处置、环境监察、环境监测、污染防治督查、危废医废处置督查等</w:t>
      </w:r>
      <w:r>
        <w:rPr>
          <w:rFonts w:hint="eastAsia" w:ascii="仿宋_GB2312" w:eastAsia="仿宋_GB2312"/>
          <w:color w:val="auto"/>
          <w:sz w:val="32"/>
          <w:szCs w:val="32"/>
          <w:highlight w:val="none"/>
        </w:rPr>
        <w:t>所需的公务用车燃料费、维修费、过路过桥费、保险费等支出。</w:t>
      </w:r>
    </w:p>
    <w:p w14:paraId="41804EF1">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2.8</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0.07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lang w:val="en-US" w:eastAsia="zh-CN"/>
        </w:rPr>
        <w:t>2023年度工作量增多</w:t>
      </w:r>
      <w:r>
        <w:rPr>
          <w:rFonts w:hint="eastAsia" w:ascii="仿宋_GB2312" w:eastAsia="仿宋_GB2312"/>
          <w:color w:val="auto"/>
          <w:sz w:val="32"/>
          <w:szCs w:val="32"/>
          <w:highlight w:val="none"/>
        </w:rPr>
        <w:t>。其中：</w:t>
      </w:r>
    </w:p>
    <w:p w14:paraId="002566AD">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s="Times New Roman"/>
          <w:color w:val="auto"/>
          <w:kern w:val="2"/>
          <w:sz w:val="32"/>
          <w:szCs w:val="32"/>
          <w:highlight w:val="none"/>
          <w:lang w:val="en-US" w:eastAsia="zh-CN" w:bidi="ar-SA"/>
        </w:rPr>
        <w:t>2.8万元</w:t>
      </w:r>
      <w:r>
        <w:rPr>
          <w:rFonts w:hint="eastAsia" w:ascii="仿宋_GB2312" w:eastAsia="仿宋_GB2312"/>
          <w:color w:val="auto"/>
          <w:sz w:val="32"/>
          <w:szCs w:val="32"/>
          <w:highlight w:val="none"/>
        </w:rPr>
        <w:t>，主要用于</w:t>
      </w:r>
      <w:r>
        <w:rPr>
          <w:rFonts w:hint="default" w:ascii="Times New Roman" w:hAnsi="Times New Roman" w:eastAsia="仿宋_GB2312" w:cs="Times New Roman"/>
          <w:color w:val="000000"/>
          <w:sz w:val="32"/>
          <w:szCs w:val="32"/>
        </w:rPr>
        <w:t>主要用于执法检查、调研、开展业务活动开支的交通费、住宿费、用餐费等。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58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348</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2.8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（该处</w:t>
      </w:r>
      <w:r>
        <w:rPr>
          <w:rFonts w:hint="eastAsia" w:ascii="仿宋_GB2312" w:eastAsia="仿宋_GB2312"/>
          <w:color w:val="auto"/>
          <w:sz w:val="32"/>
          <w:szCs w:val="32"/>
          <w:highlight w:val="none"/>
        </w:rPr>
        <w:t>国内公务接待批次</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人次</w:t>
      </w:r>
      <w:r>
        <w:rPr>
          <w:rFonts w:hint="eastAsia" w:ascii="仿宋_GB2312" w:eastAsia="仿宋_GB2312"/>
          <w:color w:val="auto"/>
          <w:sz w:val="32"/>
          <w:szCs w:val="32"/>
          <w:highlight w:val="none"/>
          <w:lang w:eastAsia="zh-CN"/>
        </w:rPr>
        <w:t>与决算报表附表F03-机关运行信息表中“国内公务接待人次”不一致的原因为“国内公务接待人次”错填为单位职工人数。此处更正为“国内公务接待批次”58次，“国内公务接待人次”348人次），</w:t>
      </w:r>
      <w:r>
        <w:rPr>
          <w:rFonts w:hint="eastAsia" w:ascii="仿宋_GB2312" w:eastAsia="仿宋_GB2312"/>
          <w:color w:val="auto"/>
          <w:sz w:val="32"/>
          <w:szCs w:val="32"/>
          <w:highlight w:val="none"/>
        </w:rPr>
        <w:t>具体内容包括：</w:t>
      </w:r>
      <w:r>
        <w:rPr>
          <w:rFonts w:hint="default" w:ascii="Times New Roman" w:hAnsi="Times New Roman" w:eastAsia="仿宋_GB2312" w:cs="Times New Roman"/>
          <w:color w:val="000000"/>
          <w:sz w:val="32"/>
          <w:szCs w:val="32"/>
        </w:rPr>
        <w:t>上级检查、督察、调研，其他区市县考察、交流等支出</w:t>
      </w:r>
      <w:r>
        <w:rPr>
          <w:rFonts w:hint="eastAsia" w:ascii="Times New Roman" w:hAnsi="Times New Roman" w:eastAsia="仿宋_GB2312" w:cs="Times New Roman"/>
          <w:color w:val="000000"/>
          <w:sz w:val="32"/>
          <w:szCs w:val="32"/>
          <w:lang w:eastAsia="zh-CN"/>
        </w:rPr>
        <w:t>。</w:t>
      </w:r>
    </w:p>
    <w:p w14:paraId="629F3C4C">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lang w:val="en-US" w:eastAsia="zh-CN"/>
        </w:rPr>
        <w:t>2023年度</w:t>
      </w:r>
      <w:r>
        <w:rPr>
          <w:rFonts w:hint="eastAsia" w:ascii="仿宋_GB2312" w:eastAsia="仿宋_GB2312"/>
          <w:color w:val="auto"/>
          <w:sz w:val="32"/>
          <w:szCs w:val="32"/>
          <w:highlight w:val="none"/>
          <w:lang w:eastAsia="zh-CN"/>
        </w:rPr>
        <w:t>无外事</w:t>
      </w:r>
      <w:r>
        <w:rPr>
          <w:rFonts w:hint="eastAsia" w:ascii="仿宋_GB2312" w:eastAsia="仿宋_GB2312"/>
          <w:color w:val="auto"/>
          <w:sz w:val="32"/>
          <w:szCs w:val="32"/>
          <w:highlight w:val="none"/>
        </w:rPr>
        <w:t>接待</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F4F50E2">
      <w:pPr>
        <w:spacing w:line="600" w:lineRule="exact"/>
        <w:ind w:firstLine="640"/>
        <w:outlineLvl w:val="1"/>
        <w:rPr>
          <w:rStyle w:val="16"/>
          <w:rFonts w:ascii="黑体" w:hAnsi="黑体" w:eastAsia="黑体"/>
          <w:color w:val="auto"/>
          <w:highlight w:val="none"/>
        </w:rPr>
      </w:pPr>
      <w:bookmarkStart w:id="21" w:name="_Toc25006"/>
      <w:r>
        <w:rPr>
          <w:rFonts w:hint="eastAsia" w:ascii="黑体" w:eastAsia="黑体"/>
          <w:color w:val="auto"/>
          <w:sz w:val="32"/>
          <w:szCs w:val="32"/>
          <w:highlight w:val="none"/>
          <w:lang w:eastAsia="zh-CN"/>
        </w:rPr>
        <w:t>八</w:t>
      </w:r>
      <w:r>
        <w:rPr>
          <w:rFonts w:hint="eastAsia" w:ascii="黑体" w:eastAsia="黑体"/>
          <w:color w:val="auto"/>
          <w:sz w:val="32"/>
          <w:szCs w:val="32"/>
          <w:highlight w:val="none"/>
        </w:rPr>
        <w:t>、</w:t>
      </w:r>
      <w:r>
        <w:rPr>
          <w:rStyle w:val="16"/>
          <w:rFonts w:hint="eastAsia" w:ascii="黑体" w:hAnsi="黑体" w:eastAsia="黑体"/>
          <w:b w:val="0"/>
          <w:color w:val="auto"/>
          <w:highlight w:val="none"/>
        </w:rPr>
        <w:t>政府性基金预算支出决算情况说明</w:t>
      </w:r>
      <w:bookmarkEnd w:id="21"/>
    </w:p>
    <w:p w14:paraId="197F6ED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49A5E8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6"/>
          <w:rFonts w:ascii="黑体" w:hAnsi="黑体" w:eastAsia="黑体"/>
          <w:b w:val="0"/>
          <w:color w:val="auto"/>
          <w:highlight w:val="none"/>
        </w:rPr>
      </w:pPr>
      <w:bookmarkStart w:id="22" w:name="_Toc20791"/>
      <w:r>
        <w:rPr>
          <w:rStyle w:val="16"/>
          <w:rFonts w:hint="eastAsia" w:ascii="黑体" w:hAnsi="黑体" w:eastAsia="黑体"/>
          <w:b w:val="0"/>
          <w:color w:val="auto"/>
          <w:highlight w:val="none"/>
          <w:lang w:eastAsia="zh-CN"/>
        </w:rPr>
        <w:t>九、</w:t>
      </w:r>
      <w:r>
        <w:rPr>
          <w:rStyle w:val="16"/>
          <w:rFonts w:hint="eastAsia" w:ascii="黑体" w:hAnsi="黑体" w:eastAsia="黑体"/>
          <w:b w:val="0"/>
          <w:color w:val="auto"/>
          <w:highlight w:val="none"/>
        </w:rPr>
        <w:t>国有资本经营预算支出决算情况说明</w:t>
      </w:r>
      <w:bookmarkEnd w:id="22"/>
    </w:p>
    <w:p w14:paraId="7BB8EB6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774280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6"/>
          <w:rFonts w:hint="eastAsia" w:ascii="黑体" w:hAnsi="黑体" w:eastAsia="黑体"/>
          <w:b w:val="0"/>
          <w:color w:val="auto"/>
          <w:highlight w:val="none"/>
        </w:rPr>
      </w:pPr>
      <w:bookmarkStart w:id="23" w:name="_Toc29201"/>
      <w:r>
        <w:rPr>
          <w:rStyle w:val="16"/>
          <w:rFonts w:hint="eastAsia" w:ascii="黑体" w:hAnsi="黑体" w:eastAsia="黑体"/>
          <w:b w:val="0"/>
          <w:color w:val="auto"/>
          <w:highlight w:val="none"/>
          <w:lang w:eastAsia="zh-CN"/>
        </w:rPr>
        <w:t>十、</w:t>
      </w:r>
      <w:r>
        <w:rPr>
          <w:rStyle w:val="16"/>
          <w:rFonts w:hint="eastAsia" w:ascii="黑体" w:hAnsi="黑体" w:eastAsia="黑体"/>
          <w:b w:val="0"/>
          <w:color w:val="auto"/>
          <w:highlight w:val="none"/>
        </w:rPr>
        <w:t>其他重要事项的情况说明</w:t>
      </w:r>
      <w:bookmarkEnd w:id="23"/>
    </w:p>
    <w:p w14:paraId="260CA2DD">
      <w:pPr>
        <w:spacing w:line="600" w:lineRule="exact"/>
        <w:ind w:firstLine="643" w:firstLineChars="200"/>
        <w:outlineLvl w:val="2"/>
        <w:rPr>
          <w:rFonts w:hint="eastAsia"/>
        </w:rPr>
      </w:pPr>
      <w:bookmarkStart w:id="24" w:name="_Toc17807"/>
      <w:r>
        <w:rPr>
          <w:rFonts w:hint="eastAsia" w:ascii="仿宋" w:hAnsi="仿宋" w:eastAsia="仿宋"/>
          <w:b/>
          <w:color w:val="auto"/>
          <w:sz w:val="32"/>
          <w:szCs w:val="32"/>
          <w:highlight w:val="none"/>
        </w:rPr>
        <w:t>（一）机关运行经费支出情况</w:t>
      </w:r>
      <w:bookmarkEnd w:id="24"/>
    </w:p>
    <w:p w14:paraId="3172F3A3">
      <w:pPr>
        <w:spacing w:line="600" w:lineRule="exact"/>
        <w:ind w:firstLine="640"/>
        <w:rPr>
          <w:rFonts w:hint="eastAsia" w:ascii="仿宋" w:hAnsi="仿宋" w:eastAsia="仿宋"/>
          <w:color w:val="auto"/>
          <w:sz w:val="32"/>
          <w:szCs w:val="32"/>
          <w:highlight w:val="none"/>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default" w:ascii="Times New Roman" w:hAnsi="Times New Roman" w:eastAsia="仿宋_GB2312" w:cs="Times New Roman"/>
          <w:color w:val="000000"/>
          <w:sz w:val="32"/>
          <w:szCs w:val="32"/>
        </w:rPr>
        <w:t>广安市</w:t>
      </w:r>
      <w:r>
        <w:rPr>
          <w:rFonts w:hint="eastAsia" w:eastAsia="仿宋_GB2312" w:cs="Times New Roman"/>
          <w:color w:val="000000"/>
          <w:sz w:val="32"/>
          <w:szCs w:val="32"/>
          <w:lang w:val="en-US" w:eastAsia="zh-CN"/>
        </w:rPr>
        <w:t>邻水</w:t>
      </w:r>
      <w:r>
        <w:rPr>
          <w:rFonts w:hint="default" w:ascii="Times New Roman" w:hAnsi="Times New Roman" w:eastAsia="仿宋_GB2312" w:cs="Times New Roman"/>
          <w:color w:val="000000"/>
          <w:sz w:val="32"/>
          <w:szCs w:val="32"/>
        </w:rPr>
        <w:t>生态环境局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254.73</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度增加</w:t>
      </w:r>
      <w:r>
        <w:rPr>
          <w:rFonts w:hint="eastAsia" w:ascii="仿宋_GB2312" w:eastAsia="仿宋_GB2312"/>
          <w:color w:val="auto"/>
          <w:sz w:val="32"/>
          <w:szCs w:val="32"/>
          <w:highlight w:val="none"/>
          <w:lang w:val="en-US" w:eastAsia="zh-CN"/>
        </w:rPr>
        <w:t>4.81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lang w:val="en-US" w:eastAsia="zh-CN"/>
        </w:rPr>
        <w:t>2023年度工作量增多。</w:t>
      </w:r>
    </w:p>
    <w:p w14:paraId="2505942C">
      <w:pPr>
        <w:numPr>
          <w:ilvl w:val="0"/>
          <w:numId w:val="1"/>
        </w:num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rPr>
      </w:pPr>
      <w:bookmarkStart w:id="25" w:name="_Toc23455"/>
      <w:r>
        <w:rPr>
          <w:rFonts w:hint="eastAsia" w:ascii="仿宋" w:hAnsi="仿宋" w:eastAsia="仿宋"/>
          <w:b/>
          <w:color w:val="auto"/>
          <w:sz w:val="32"/>
          <w:szCs w:val="32"/>
          <w:highlight w:val="none"/>
        </w:rPr>
        <w:t>政府采购支出情况</w:t>
      </w:r>
      <w:bookmarkEnd w:id="25"/>
    </w:p>
    <w:p w14:paraId="518735E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s="Times New Roman"/>
          <w:color w:val="auto"/>
          <w:sz w:val="32"/>
          <w:szCs w:val="32"/>
          <w:highlight w:val="none"/>
          <w:lang w:val="en-US" w:eastAsia="zh-CN"/>
        </w:rPr>
        <w:t>2023年度，</w:t>
      </w:r>
      <w:r>
        <w:rPr>
          <w:rFonts w:hint="default" w:ascii="Times New Roman" w:hAnsi="Times New Roman" w:eastAsia="仿宋_GB2312" w:cs="Times New Roman"/>
          <w:color w:val="000000"/>
          <w:sz w:val="32"/>
          <w:szCs w:val="32"/>
        </w:rPr>
        <w:t>广安市</w:t>
      </w:r>
      <w:r>
        <w:rPr>
          <w:rFonts w:hint="eastAsia" w:eastAsia="仿宋_GB2312" w:cs="Times New Roman"/>
          <w:color w:val="000000"/>
          <w:sz w:val="32"/>
          <w:szCs w:val="32"/>
          <w:lang w:val="en-US" w:eastAsia="zh-CN"/>
        </w:rPr>
        <w:t>邻水</w:t>
      </w:r>
      <w:r>
        <w:rPr>
          <w:rFonts w:hint="default" w:ascii="Times New Roman" w:hAnsi="Times New Roman" w:eastAsia="仿宋_GB2312" w:cs="Times New Roman"/>
          <w:color w:val="000000"/>
          <w:sz w:val="32"/>
          <w:szCs w:val="32"/>
        </w:rPr>
        <w:t>生态环境局</w:t>
      </w:r>
      <w:r>
        <w:rPr>
          <w:rFonts w:hint="eastAsia" w:ascii="仿宋_GB2312" w:eastAsia="仿宋_GB2312" w:cs="Times New Roman"/>
          <w:color w:val="auto"/>
          <w:sz w:val="32"/>
          <w:szCs w:val="32"/>
          <w:highlight w:val="none"/>
          <w:lang w:val="en-US" w:eastAsia="zh-CN"/>
        </w:rPr>
        <w:t>政府采购支出总额59.88万元，其中：政府采购货物支出0万元、政府采购工程支出0万元、政府采购服务支出59.88万元。主要用于2023年城镇集中式饮用水源等监测委托服务和大洪河、御临河流域“一河一策一图”环境应急响应方案编制服务。授予中小企业合同金额0万元，占政府采购支出总额的0%，其中：授予小</w:t>
      </w:r>
      <w:r>
        <w:rPr>
          <w:rFonts w:hint="eastAsia" w:ascii="仿宋_GB2312" w:eastAsia="仿宋_GB2312"/>
          <w:color w:val="auto"/>
          <w:sz w:val="32"/>
          <w:szCs w:val="32"/>
          <w:highlight w:val="none"/>
        </w:rPr>
        <w:t>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6482747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26" w:name="_Toc4035"/>
      <w:r>
        <w:rPr>
          <w:rFonts w:hint="eastAsia" w:ascii="仿宋" w:hAnsi="仿宋" w:eastAsia="仿宋"/>
          <w:b/>
          <w:color w:val="auto"/>
          <w:sz w:val="32"/>
          <w:szCs w:val="32"/>
          <w:highlight w:val="none"/>
        </w:rPr>
        <w:t>（三）国有资产占有使用情况</w:t>
      </w:r>
      <w:bookmarkEnd w:id="26"/>
    </w:p>
    <w:p w14:paraId="299B4899">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default" w:ascii="Times New Roman" w:hAnsi="Times New Roman" w:eastAsia="仿宋_GB2312" w:cs="Times New Roman"/>
          <w:color w:val="000000"/>
          <w:sz w:val="32"/>
          <w:szCs w:val="32"/>
        </w:rPr>
        <w:t>广安市</w:t>
      </w:r>
      <w:r>
        <w:rPr>
          <w:rFonts w:hint="eastAsia" w:eastAsia="仿宋_GB2312" w:cs="Times New Roman"/>
          <w:color w:val="000000"/>
          <w:sz w:val="32"/>
          <w:szCs w:val="32"/>
          <w:lang w:val="en-US" w:eastAsia="zh-CN"/>
        </w:rPr>
        <w:t>邻水</w:t>
      </w:r>
      <w:r>
        <w:rPr>
          <w:rFonts w:hint="default" w:ascii="Times New Roman" w:hAnsi="Times New Roman" w:eastAsia="仿宋_GB2312" w:cs="Times New Roman"/>
          <w:color w:val="000000"/>
          <w:sz w:val="32"/>
          <w:szCs w:val="32"/>
        </w:rPr>
        <w:t>生态环境局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其他用车主要是用于</w:t>
      </w:r>
      <w:r>
        <w:rPr>
          <w:rFonts w:hint="eastAsia" w:ascii="仿宋" w:hAnsi="仿宋" w:eastAsia="仿宋"/>
          <w:color w:val="000000"/>
          <w:sz w:val="32"/>
          <w:szCs w:val="32"/>
        </w:rPr>
        <w:t>生态环境执法</w:t>
      </w:r>
      <w:r>
        <w:rPr>
          <w:rFonts w:hint="eastAsia" w:ascii="仿宋" w:hAnsi="仿宋" w:eastAsia="仿宋"/>
          <w:color w:val="000000"/>
          <w:sz w:val="32"/>
          <w:szCs w:val="32"/>
          <w:lang w:eastAsia="zh-CN"/>
        </w:rPr>
        <w:t>检查</w:t>
      </w:r>
      <w:r>
        <w:rPr>
          <w:rFonts w:hint="eastAsia" w:ascii="仿宋" w:hAnsi="仿宋" w:eastAsia="仿宋"/>
          <w:color w:val="000000"/>
          <w:sz w:val="32"/>
          <w:szCs w:val="32"/>
        </w:rPr>
        <w:t>、环境监测等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688F5011">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27" w:name="_Toc22666"/>
      <w:r>
        <w:rPr>
          <w:rFonts w:hint="eastAsia" w:ascii="仿宋" w:hAnsi="仿宋" w:eastAsia="仿宋"/>
          <w:b/>
          <w:color w:val="auto"/>
          <w:sz w:val="32"/>
          <w:szCs w:val="32"/>
          <w:highlight w:val="none"/>
        </w:rPr>
        <w:t>（四）预算绩效管理情况</w:t>
      </w:r>
      <w:bookmarkEnd w:id="27"/>
    </w:p>
    <w:p w14:paraId="229AAB2F">
      <w:pPr>
        <w:autoSpaceDE w:val="0"/>
        <w:autoSpaceDN w:val="0"/>
        <w:adjustRightInd w:val="0"/>
        <w:spacing w:line="600" w:lineRule="exact"/>
        <w:ind w:firstLine="640" w:firstLineChars="200"/>
        <w:jc w:val="left"/>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eastAsia="zh-CN"/>
        </w:rPr>
        <w:t>根据预算绩效管理要求，本单位在</w:t>
      </w:r>
      <w:r>
        <w:rPr>
          <w:rFonts w:hint="eastAsia" w:ascii="仿宋_GB2312" w:eastAsia="仿宋_GB2312" w:cs="Times New Roman"/>
          <w:color w:val="auto"/>
          <w:sz w:val="32"/>
          <w:szCs w:val="32"/>
          <w:highlight w:val="none"/>
          <w:lang w:val="en-US" w:eastAsia="zh-CN"/>
        </w:rPr>
        <w:t>2023年度</w:t>
      </w:r>
      <w:r>
        <w:rPr>
          <w:rFonts w:hint="eastAsia" w:ascii="仿宋_GB2312" w:eastAsia="仿宋_GB2312" w:cs="Times New Roman"/>
          <w:color w:val="auto"/>
          <w:sz w:val="32"/>
          <w:szCs w:val="32"/>
          <w:highlight w:val="none"/>
          <w:lang w:eastAsia="zh-CN"/>
        </w:rPr>
        <w:t>预算编制阶段，组织对</w:t>
      </w:r>
      <w:r>
        <w:rPr>
          <w:rFonts w:hint="eastAsia" w:ascii="仿宋_GB2312" w:eastAsia="仿宋_GB2312" w:cs="Times New Roman"/>
          <w:color w:val="auto"/>
          <w:sz w:val="32"/>
          <w:szCs w:val="32"/>
          <w:highlight w:val="none"/>
          <w:lang w:val="en-US" w:eastAsia="zh-CN"/>
        </w:rPr>
        <w:t>3个项目</w:t>
      </w:r>
      <w:r>
        <w:rPr>
          <w:rFonts w:hint="eastAsia" w:ascii="仿宋_GB2312"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3</w:t>
      </w:r>
      <w:r>
        <w:rPr>
          <w:rFonts w:hint="eastAsia" w:ascii="仿宋_GB2312"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1</w:t>
      </w:r>
      <w:r>
        <w:rPr>
          <w:rFonts w:hint="eastAsia" w:ascii="仿宋_GB2312"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3个项目开展绩效自评，绩效自评表详见第四部分附件。</w:t>
      </w:r>
    </w:p>
    <w:p w14:paraId="7A8BAED3">
      <w:pPr>
        <w:pStyle w:val="10"/>
        <w:rPr>
          <w:rFonts w:hint="eastAsia" w:ascii="仿宋_GB2312" w:eastAsia="仿宋_GB2312" w:cs="Times New Roman"/>
          <w:color w:val="auto"/>
          <w:sz w:val="32"/>
          <w:szCs w:val="32"/>
          <w:highlight w:val="none"/>
          <w:lang w:val="en-US" w:eastAsia="zh-CN"/>
        </w:rPr>
      </w:pPr>
    </w:p>
    <w:p w14:paraId="1F85FC73">
      <w:pPr>
        <w:pStyle w:val="6"/>
        <w:rPr>
          <w:rFonts w:hint="eastAsia" w:ascii="仿宋_GB2312" w:eastAsia="仿宋_GB2312" w:cs="Times New Roman"/>
          <w:color w:val="auto"/>
          <w:sz w:val="32"/>
          <w:szCs w:val="32"/>
          <w:highlight w:val="none"/>
          <w:lang w:val="en-US" w:eastAsia="zh-CN"/>
        </w:rPr>
      </w:pPr>
    </w:p>
    <w:p w14:paraId="7065D093">
      <w:pPr>
        <w:pStyle w:val="6"/>
        <w:rPr>
          <w:rFonts w:hint="eastAsia" w:ascii="仿宋_GB2312" w:eastAsia="仿宋_GB2312" w:cs="Times New Roman"/>
          <w:color w:val="auto"/>
          <w:sz w:val="32"/>
          <w:szCs w:val="32"/>
          <w:highlight w:val="none"/>
          <w:lang w:val="en-US" w:eastAsia="zh-CN"/>
        </w:rPr>
      </w:pPr>
    </w:p>
    <w:p w14:paraId="702E7AED">
      <w:pPr>
        <w:pStyle w:val="6"/>
        <w:rPr>
          <w:rFonts w:hint="eastAsia" w:ascii="仿宋_GB2312" w:eastAsia="仿宋_GB2312" w:cs="Times New Roman"/>
          <w:color w:val="auto"/>
          <w:sz w:val="32"/>
          <w:szCs w:val="32"/>
          <w:highlight w:val="none"/>
          <w:lang w:val="en-US" w:eastAsia="zh-CN"/>
        </w:rPr>
      </w:pPr>
    </w:p>
    <w:p w14:paraId="553F8D18">
      <w:pPr>
        <w:pStyle w:val="6"/>
        <w:rPr>
          <w:rFonts w:hint="eastAsia" w:ascii="仿宋_GB2312" w:eastAsia="仿宋_GB2312" w:cs="Times New Roman"/>
          <w:color w:val="auto"/>
          <w:sz w:val="32"/>
          <w:szCs w:val="32"/>
          <w:highlight w:val="none"/>
          <w:lang w:val="en-US" w:eastAsia="zh-CN"/>
        </w:rPr>
      </w:pPr>
    </w:p>
    <w:p w14:paraId="36BF360C">
      <w:pPr>
        <w:pStyle w:val="6"/>
        <w:rPr>
          <w:rFonts w:hint="eastAsia" w:ascii="仿宋_GB2312" w:eastAsia="仿宋_GB2312" w:cs="Times New Roman"/>
          <w:color w:val="auto"/>
          <w:sz w:val="32"/>
          <w:szCs w:val="32"/>
          <w:highlight w:val="none"/>
          <w:lang w:val="en-US" w:eastAsia="zh-CN"/>
        </w:rPr>
      </w:pPr>
    </w:p>
    <w:p w14:paraId="436B8A03">
      <w:pPr>
        <w:pStyle w:val="6"/>
        <w:rPr>
          <w:rFonts w:hint="eastAsia" w:ascii="仿宋_GB2312" w:eastAsia="仿宋_GB2312" w:cs="Times New Roman"/>
          <w:color w:val="auto"/>
          <w:sz w:val="32"/>
          <w:szCs w:val="32"/>
          <w:highlight w:val="none"/>
          <w:lang w:val="en-US" w:eastAsia="zh-CN"/>
        </w:rPr>
      </w:pPr>
    </w:p>
    <w:p w14:paraId="18179BCD">
      <w:pPr>
        <w:pStyle w:val="6"/>
        <w:rPr>
          <w:rFonts w:hint="eastAsia" w:ascii="仿宋_GB2312" w:eastAsia="仿宋_GB2312" w:cs="Times New Roman"/>
          <w:color w:val="auto"/>
          <w:sz w:val="32"/>
          <w:szCs w:val="32"/>
          <w:highlight w:val="none"/>
          <w:lang w:val="en-US" w:eastAsia="zh-CN"/>
        </w:rPr>
      </w:pPr>
    </w:p>
    <w:p w14:paraId="22CDBA9B">
      <w:pPr>
        <w:pStyle w:val="6"/>
        <w:rPr>
          <w:rFonts w:hint="eastAsia" w:ascii="仿宋_GB2312" w:eastAsia="仿宋_GB2312" w:cs="Times New Roman"/>
          <w:color w:val="auto"/>
          <w:sz w:val="32"/>
          <w:szCs w:val="32"/>
          <w:highlight w:val="none"/>
          <w:lang w:val="en-US" w:eastAsia="zh-CN"/>
        </w:rPr>
      </w:pPr>
    </w:p>
    <w:p w14:paraId="478AAEE4">
      <w:pPr>
        <w:pStyle w:val="6"/>
        <w:rPr>
          <w:rFonts w:hint="eastAsia" w:ascii="仿宋_GB2312" w:eastAsia="仿宋_GB2312" w:cs="Times New Roman"/>
          <w:color w:val="auto"/>
          <w:sz w:val="32"/>
          <w:szCs w:val="32"/>
          <w:highlight w:val="none"/>
          <w:lang w:val="en-US" w:eastAsia="zh-CN"/>
        </w:rPr>
      </w:pPr>
    </w:p>
    <w:p w14:paraId="57CA0CFD">
      <w:pPr>
        <w:pStyle w:val="6"/>
        <w:rPr>
          <w:rFonts w:hint="eastAsia" w:ascii="仿宋_GB2312" w:eastAsia="仿宋_GB2312" w:cs="Times New Roman"/>
          <w:color w:val="auto"/>
          <w:sz w:val="32"/>
          <w:szCs w:val="32"/>
          <w:highlight w:val="none"/>
          <w:lang w:val="en-US" w:eastAsia="zh-CN"/>
        </w:rPr>
      </w:pPr>
    </w:p>
    <w:p w14:paraId="3AF56E55">
      <w:pPr>
        <w:pStyle w:val="6"/>
        <w:rPr>
          <w:rFonts w:hint="eastAsia" w:ascii="仿宋_GB2312" w:eastAsia="仿宋_GB2312" w:cs="Times New Roman"/>
          <w:color w:val="auto"/>
          <w:sz w:val="32"/>
          <w:szCs w:val="32"/>
          <w:highlight w:val="none"/>
          <w:lang w:val="en-US" w:eastAsia="zh-CN"/>
        </w:rPr>
      </w:pPr>
    </w:p>
    <w:p w14:paraId="68556098">
      <w:pPr>
        <w:pStyle w:val="6"/>
        <w:rPr>
          <w:rFonts w:hint="eastAsia" w:ascii="仿宋_GB2312" w:eastAsia="仿宋_GB2312" w:cs="Times New Roman"/>
          <w:color w:val="auto"/>
          <w:sz w:val="32"/>
          <w:szCs w:val="32"/>
          <w:highlight w:val="none"/>
          <w:lang w:val="en-US" w:eastAsia="zh-CN"/>
        </w:rPr>
      </w:pPr>
    </w:p>
    <w:p w14:paraId="4A2402DB">
      <w:pPr>
        <w:pStyle w:val="6"/>
        <w:rPr>
          <w:rFonts w:hint="eastAsia" w:ascii="仿宋_GB2312" w:eastAsia="仿宋_GB2312" w:cs="Times New Roman"/>
          <w:color w:val="auto"/>
          <w:sz w:val="32"/>
          <w:szCs w:val="32"/>
          <w:highlight w:val="none"/>
          <w:lang w:val="en-US" w:eastAsia="zh-CN"/>
        </w:rPr>
      </w:pPr>
    </w:p>
    <w:p w14:paraId="3F62AB0F">
      <w:pPr>
        <w:pStyle w:val="6"/>
        <w:rPr>
          <w:rFonts w:hint="eastAsia" w:ascii="仿宋_GB2312" w:eastAsia="仿宋_GB2312" w:cs="Times New Roman"/>
          <w:color w:val="auto"/>
          <w:sz w:val="32"/>
          <w:szCs w:val="32"/>
          <w:highlight w:val="none"/>
          <w:lang w:val="en-US" w:eastAsia="zh-CN"/>
        </w:rPr>
      </w:pPr>
    </w:p>
    <w:p w14:paraId="6ABB5B15">
      <w:pPr>
        <w:pStyle w:val="6"/>
        <w:rPr>
          <w:rFonts w:hint="eastAsia" w:ascii="仿宋_GB2312" w:eastAsia="仿宋_GB2312" w:cs="Times New Roman"/>
          <w:color w:val="auto"/>
          <w:sz w:val="32"/>
          <w:szCs w:val="32"/>
          <w:highlight w:val="none"/>
          <w:lang w:val="en-US" w:eastAsia="zh-CN"/>
        </w:rPr>
      </w:pPr>
    </w:p>
    <w:p w14:paraId="7BF1FC36">
      <w:pPr>
        <w:numPr>
          <w:ilvl w:val="0"/>
          <w:numId w:val="0"/>
        </w:numPr>
        <w:spacing w:line="600" w:lineRule="exact"/>
        <w:jc w:val="center"/>
        <w:outlineLvl w:val="0"/>
        <w:rPr>
          <w:rStyle w:val="15"/>
          <w:rFonts w:ascii="黑体" w:hAnsi="黑体" w:eastAsia="黑体"/>
          <w:b w:val="0"/>
          <w:color w:val="auto"/>
          <w:highlight w:val="none"/>
        </w:rPr>
      </w:pPr>
      <w:bookmarkStart w:id="28" w:name="_Toc13836"/>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15"/>
          <w:rFonts w:hint="eastAsia" w:ascii="黑体" w:hAnsi="黑体" w:eastAsia="黑体"/>
          <w:b w:val="0"/>
          <w:color w:val="auto"/>
          <w:highlight w:val="none"/>
        </w:rPr>
        <w:t>词解释</w:t>
      </w:r>
      <w:bookmarkEnd w:id="28"/>
    </w:p>
    <w:p w14:paraId="2164E1E5">
      <w:pPr>
        <w:pStyle w:val="1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14:paraId="4E22097C">
      <w:pPr>
        <w:pStyle w:val="1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2.其他收入：指单位取得的除上述收入以外的各项收入。</w:t>
      </w:r>
    </w:p>
    <w:p w14:paraId="2FB2E064">
      <w:pPr>
        <w:pStyle w:val="1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3..年初结转和结余：指以前年度尚未完成、结转到本年按有关规定继续使用的资金。 </w:t>
      </w:r>
    </w:p>
    <w:p w14:paraId="45D9E978">
      <w:pPr>
        <w:pStyle w:val="18"/>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14:paraId="461CCF63">
      <w:pPr>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.社会保障和就业支出（类）行政事业单位养老支出（款）机关事业单位基本养老保险缴费支出（项）：指机关事业单位实施养老保险制度由单位缴纳的基本养老保险支出。</w:t>
      </w:r>
    </w:p>
    <w:p w14:paraId="4279D38F">
      <w:pPr>
        <w:ind w:firstLine="640" w:firstLineChars="200"/>
        <w:rPr>
          <w:rFonts w:hint="eastAsia" w:ascii="Times New Roman" w:hAnsi="Times New Roman" w:eastAsia="仿宋_GB2312" w:cs="Times New Roman"/>
          <w:color w:val="auto"/>
          <w:sz w:val="32"/>
          <w:szCs w:val="32"/>
          <w:highlight w:val="yellow"/>
          <w:lang w:val="en-US" w:eastAsia="zh-CN"/>
        </w:rPr>
      </w:pPr>
      <w:r>
        <w:rPr>
          <w:rFonts w:hint="eastAsia" w:ascii="Times New Roman" w:hAnsi="Times New Roman" w:eastAsia="仿宋_GB2312" w:cs="Times New Roman"/>
          <w:color w:val="auto"/>
          <w:sz w:val="32"/>
          <w:szCs w:val="32"/>
          <w:highlight w:val="none"/>
          <w:lang w:val="en-US" w:eastAsia="zh-CN"/>
        </w:rPr>
        <w:t>6.卫生健康支出（类）行政事业单位医疗（款）行政单位医疗（项）:指财政部门安排的行政单位（包括实行公务员管理的事业单位）基本医疗保险缴费经费，未参加医疗保险的行政单位的公费医疗经费，按照国家规定享受离休人员、红军老战士待遇人员的医疗经费。</w:t>
      </w:r>
    </w:p>
    <w:p w14:paraId="1EB8F8EA">
      <w:pPr>
        <w:ind w:firstLine="640" w:firstLineChars="200"/>
        <w:rPr>
          <w:rFonts w:hint="eastAsia" w:ascii="Times New Roman" w:hAnsi="Times New Roman" w:eastAsia="仿宋_GB2312" w:cs="Times New Roman"/>
          <w:color w:val="auto"/>
          <w:sz w:val="32"/>
          <w:szCs w:val="32"/>
          <w:highlight w:val="yellow"/>
          <w:lang w:val="en-US" w:eastAsia="zh-CN"/>
        </w:rPr>
      </w:pPr>
      <w:r>
        <w:rPr>
          <w:rFonts w:hint="eastAsia" w:ascii="Times New Roman" w:hAnsi="Times New Roman" w:eastAsia="仿宋_GB2312" w:cs="Times New Roman"/>
          <w:color w:val="auto"/>
          <w:sz w:val="32"/>
          <w:szCs w:val="32"/>
          <w:highlight w:val="none"/>
          <w:lang w:val="en-US" w:eastAsia="zh-CN"/>
        </w:rPr>
        <w:t>7.卫生健康支出（类）行政事业单位医疗（款）事业单位医疗（项）：指财政部门安排的事业单位基本医疗保险缴费经费，未参加医疗保险的事业单位的公费医疗经费，按照国家规定享受离休人员待遇的医疗经费。</w:t>
      </w:r>
    </w:p>
    <w:p w14:paraId="6C2E3C8B">
      <w:pPr>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8.卫生健康支出（类）行政事业单位医疗（款）公务员医疗补助（项）：指财政部门安排的公务员医疗补助经费。</w:t>
      </w:r>
    </w:p>
    <w:p w14:paraId="02627CBD">
      <w:p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9.节能环保支出（类）环境保护管理事务（款）行政运行（项）：指行政单位（包括实行公务员管理的事业单位）的基本支出。</w:t>
      </w:r>
    </w:p>
    <w:p w14:paraId="252EB508">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.节能环保支出（类）</w:t>
      </w:r>
      <w:r>
        <w:rPr>
          <w:rFonts w:hint="eastAsia" w:eastAsia="仿宋_GB2312" w:cs="Times New Roman"/>
          <w:color w:val="auto"/>
          <w:sz w:val="32"/>
          <w:szCs w:val="32"/>
          <w:highlight w:val="none"/>
          <w:lang w:eastAsia="zh-CN"/>
        </w:rPr>
        <w:t>污染减排</w:t>
      </w:r>
      <w:r>
        <w:rPr>
          <w:rFonts w:hint="default" w:ascii="Times New Roman" w:hAnsi="Times New Roman" w:eastAsia="仿宋_GB2312" w:cs="Times New Roman"/>
          <w:color w:val="auto"/>
          <w:sz w:val="32"/>
          <w:szCs w:val="32"/>
          <w:highlight w:val="none"/>
        </w:rPr>
        <w:t>（款）</w:t>
      </w:r>
      <w:r>
        <w:rPr>
          <w:rFonts w:hint="eastAsia" w:eastAsia="仿宋_GB2312" w:cs="Times New Roman"/>
          <w:color w:val="auto"/>
          <w:sz w:val="32"/>
          <w:szCs w:val="32"/>
          <w:highlight w:val="none"/>
          <w:lang w:eastAsia="zh-CN"/>
        </w:rPr>
        <w:t>生态环境执法监察</w:t>
      </w:r>
      <w:r>
        <w:rPr>
          <w:rFonts w:hint="default" w:ascii="Times New Roman" w:hAnsi="Times New Roman" w:eastAsia="仿宋_GB2312" w:cs="Times New Roman"/>
          <w:color w:val="auto"/>
          <w:sz w:val="32"/>
          <w:szCs w:val="32"/>
          <w:highlight w:val="none"/>
        </w:rPr>
        <w:t>（项）：指</w:t>
      </w:r>
      <w:r>
        <w:rPr>
          <w:rFonts w:hint="eastAsia" w:eastAsia="仿宋_GB2312" w:cs="Times New Roman"/>
          <w:color w:val="auto"/>
          <w:sz w:val="32"/>
          <w:szCs w:val="32"/>
          <w:highlight w:val="none"/>
          <w:lang w:eastAsia="zh-CN"/>
        </w:rPr>
        <w:t>反映生态环境部门监督检查环保法律法规、标准等执行情况的支出，行政处罚、行政诉讼、行政复议支出，环境行政稽查支出，执法装备支出，排污费申报、征收与使用管理支出，环境问题举报、环境纠纷调查处理支出，突发性污染事故预防、应急处置等支出</w:t>
      </w:r>
      <w:r>
        <w:rPr>
          <w:rFonts w:hint="default" w:ascii="Times New Roman" w:hAnsi="Times New Roman" w:eastAsia="仿宋_GB2312" w:cs="Times New Roman"/>
          <w:color w:val="auto"/>
          <w:sz w:val="32"/>
          <w:szCs w:val="32"/>
          <w:highlight w:val="none"/>
        </w:rPr>
        <w:t>。</w:t>
      </w:r>
    </w:p>
    <w:p w14:paraId="6FDBA0EA">
      <w:pPr>
        <w:ind w:firstLine="640" w:firstLineChars="200"/>
        <w:rPr>
          <w:rFonts w:hint="default" w:ascii="Times New Roman" w:hAnsi="Times New Roman" w:eastAsia="仿宋" w:cs="Times New Roman"/>
          <w:b/>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.节能环保支出（类）</w:t>
      </w:r>
      <w:r>
        <w:rPr>
          <w:rFonts w:hint="eastAsia" w:eastAsia="仿宋_GB2312" w:cs="Times New Roman"/>
          <w:color w:val="auto"/>
          <w:sz w:val="32"/>
          <w:szCs w:val="32"/>
          <w:highlight w:val="none"/>
          <w:lang w:eastAsia="zh-CN"/>
        </w:rPr>
        <w:t>污染减排</w:t>
      </w:r>
      <w:r>
        <w:rPr>
          <w:rFonts w:hint="default" w:ascii="Times New Roman" w:hAnsi="Times New Roman" w:eastAsia="仿宋_GB2312" w:cs="Times New Roman"/>
          <w:color w:val="auto"/>
          <w:sz w:val="32"/>
          <w:szCs w:val="32"/>
          <w:highlight w:val="none"/>
        </w:rPr>
        <w:t>（款）其他</w:t>
      </w:r>
      <w:r>
        <w:rPr>
          <w:rFonts w:hint="eastAsia" w:ascii="Times New Roman" w:hAnsi="Times New Roman" w:eastAsia="仿宋_GB2312" w:cs="Times New Roman"/>
          <w:color w:val="auto"/>
          <w:sz w:val="32"/>
          <w:szCs w:val="32"/>
          <w:highlight w:val="none"/>
          <w:lang w:eastAsia="zh-CN"/>
        </w:rPr>
        <w:t>污染减排</w:t>
      </w:r>
      <w:r>
        <w:rPr>
          <w:rFonts w:hint="default" w:ascii="Times New Roman" w:hAnsi="Times New Roman" w:eastAsia="仿宋_GB2312" w:cs="Times New Roman"/>
          <w:color w:val="auto"/>
          <w:sz w:val="32"/>
          <w:szCs w:val="32"/>
          <w:highlight w:val="none"/>
        </w:rPr>
        <w:t>支出（项）:指其他用于</w:t>
      </w:r>
      <w:r>
        <w:rPr>
          <w:rFonts w:hint="eastAsia" w:eastAsia="仿宋_GB2312" w:cs="Times New Roman"/>
          <w:color w:val="auto"/>
          <w:sz w:val="32"/>
          <w:szCs w:val="32"/>
          <w:highlight w:val="none"/>
          <w:lang w:eastAsia="zh-CN"/>
        </w:rPr>
        <w:t>污染减排</w:t>
      </w:r>
      <w:r>
        <w:rPr>
          <w:rFonts w:hint="default" w:ascii="Times New Roman" w:hAnsi="Times New Roman" w:eastAsia="仿宋_GB2312" w:cs="Times New Roman"/>
          <w:color w:val="auto"/>
          <w:sz w:val="32"/>
          <w:szCs w:val="32"/>
          <w:highlight w:val="none"/>
        </w:rPr>
        <w:t>方面的支出。</w:t>
      </w:r>
    </w:p>
    <w:p w14:paraId="4E067E9C">
      <w:pPr>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78F08FA0">
      <w:pPr>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45584928">
      <w:pPr>
        <w:pStyle w:val="18"/>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Calibri" w:hAnsi="Calibri" w:eastAsia="仿宋_GB2312" w:cs="Times New Roman"/>
          <w:color w:val="auto"/>
          <w:kern w:val="2"/>
          <w:sz w:val="32"/>
          <w:szCs w:val="32"/>
          <w:highlight w:val="none"/>
          <w:lang w:val="en-US" w:eastAsia="zh-CN" w:bidi="ar-SA"/>
        </w:rPr>
        <w:t>1</w:t>
      </w:r>
      <w:r>
        <w:rPr>
          <w:rFonts w:hint="eastAsia" w:ascii="Calibri" w:eastAsia="仿宋_GB2312" w:cs="Times New Roman"/>
          <w:color w:val="auto"/>
          <w:kern w:val="2"/>
          <w:sz w:val="32"/>
          <w:szCs w:val="32"/>
          <w:highlight w:val="none"/>
          <w:lang w:val="en-US" w:eastAsia="zh-CN" w:bidi="ar-SA"/>
        </w:rPr>
        <w:t>4</w:t>
      </w:r>
      <w:r>
        <w:rPr>
          <w:rFonts w:hint="default" w:ascii="Calibri" w:hAnsi="Calibri"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DE3B48C">
      <w:pPr>
        <w:pStyle w:val="18"/>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62F379">
      <w:pPr>
        <w:pStyle w:val="6"/>
        <w:rPr>
          <w:rFonts w:hint="eastAsia" w:ascii="仿宋_GB2312" w:eastAsia="仿宋_GB2312" w:cs="Times New Roman"/>
          <w:color w:val="auto"/>
          <w:sz w:val="32"/>
          <w:szCs w:val="32"/>
          <w:highlight w:val="none"/>
          <w:lang w:val="en-US" w:eastAsia="zh-CN"/>
        </w:rPr>
      </w:pPr>
    </w:p>
    <w:p w14:paraId="674491F8">
      <w:pPr>
        <w:pStyle w:val="6"/>
        <w:rPr>
          <w:rFonts w:hint="eastAsia" w:ascii="仿宋_GB2312" w:eastAsia="仿宋_GB2312" w:cs="Times New Roman"/>
          <w:color w:val="auto"/>
          <w:sz w:val="32"/>
          <w:szCs w:val="32"/>
          <w:highlight w:val="none"/>
          <w:lang w:val="en-US" w:eastAsia="zh-CN"/>
        </w:rPr>
      </w:pPr>
    </w:p>
    <w:p w14:paraId="3B5F0A6D">
      <w:pPr>
        <w:pStyle w:val="6"/>
        <w:rPr>
          <w:rFonts w:hint="eastAsia" w:ascii="仿宋_GB2312" w:eastAsia="仿宋_GB2312" w:cs="Times New Roman"/>
          <w:color w:val="auto"/>
          <w:sz w:val="32"/>
          <w:szCs w:val="32"/>
          <w:highlight w:val="none"/>
          <w:lang w:val="en-US" w:eastAsia="zh-CN"/>
        </w:rPr>
      </w:pPr>
    </w:p>
    <w:p w14:paraId="54FFE91C">
      <w:pPr>
        <w:pStyle w:val="6"/>
        <w:rPr>
          <w:rFonts w:hint="eastAsia" w:ascii="仿宋_GB2312" w:eastAsia="仿宋_GB2312" w:cs="Times New Roman"/>
          <w:color w:val="auto"/>
          <w:sz w:val="32"/>
          <w:szCs w:val="32"/>
          <w:highlight w:val="none"/>
          <w:lang w:val="en-US" w:eastAsia="zh-CN"/>
        </w:rPr>
      </w:pPr>
    </w:p>
    <w:p w14:paraId="3D1D380C">
      <w:pPr>
        <w:pStyle w:val="6"/>
        <w:rPr>
          <w:rFonts w:hint="eastAsia" w:ascii="仿宋_GB2312" w:eastAsia="仿宋_GB2312" w:cs="Times New Roman"/>
          <w:color w:val="auto"/>
          <w:sz w:val="32"/>
          <w:szCs w:val="32"/>
          <w:highlight w:val="none"/>
          <w:lang w:val="en-US" w:eastAsia="zh-CN"/>
        </w:rPr>
      </w:pPr>
    </w:p>
    <w:p w14:paraId="6B39F30F">
      <w:pPr>
        <w:pStyle w:val="6"/>
        <w:rPr>
          <w:rFonts w:hint="eastAsia" w:ascii="仿宋_GB2312" w:eastAsia="仿宋_GB2312" w:cs="Times New Roman"/>
          <w:color w:val="auto"/>
          <w:sz w:val="32"/>
          <w:szCs w:val="32"/>
          <w:highlight w:val="none"/>
          <w:lang w:val="en-US" w:eastAsia="zh-CN"/>
        </w:rPr>
      </w:pPr>
    </w:p>
    <w:p w14:paraId="00E3B170">
      <w:pPr>
        <w:pStyle w:val="6"/>
        <w:rPr>
          <w:rFonts w:hint="eastAsia" w:ascii="仿宋_GB2312" w:eastAsia="仿宋_GB2312" w:cs="Times New Roman"/>
          <w:color w:val="auto"/>
          <w:sz w:val="32"/>
          <w:szCs w:val="32"/>
          <w:highlight w:val="none"/>
          <w:lang w:val="en-US" w:eastAsia="zh-CN"/>
        </w:rPr>
      </w:pPr>
    </w:p>
    <w:p w14:paraId="6460B97D">
      <w:pPr>
        <w:pStyle w:val="6"/>
        <w:rPr>
          <w:rFonts w:hint="eastAsia" w:ascii="仿宋_GB2312" w:eastAsia="仿宋_GB2312" w:cs="Times New Roman"/>
          <w:color w:val="auto"/>
          <w:sz w:val="32"/>
          <w:szCs w:val="32"/>
          <w:highlight w:val="none"/>
          <w:lang w:val="en-US" w:eastAsia="zh-CN"/>
        </w:rPr>
      </w:pPr>
    </w:p>
    <w:p w14:paraId="15E10BC6">
      <w:pPr>
        <w:pStyle w:val="6"/>
        <w:rPr>
          <w:rFonts w:hint="eastAsia" w:ascii="仿宋_GB2312" w:eastAsia="仿宋_GB2312" w:cs="Times New Roman"/>
          <w:color w:val="auto"/>
          <w:sz w:val="32"/>
          <w:szCs w:val="32"/>
          <w:highlight w:val="none"/>
          <w:lang w:val="en-US" w:eastAsia="zh-CN"/>
        </w:rPr>
      </w:pPr>
    </w:p>
    <w:p w14:paraId="69BE08DE">
      <w:pPr>
        <w:pStyle w:val="6"/>
        <w:rPr>
          <w:rFonts w:hint="eastAsia" w:ascii="仿宋_GB2312" w:eastAsia="仿宋_GB2312" w:cs="Times New Roman"/>
          <w:color w:val="auto"/>
          <w:sz w:val="32"/>
          <w:szCs w:val="32"/>
          <w:highlight w:val="none"/>
          <w:lang w:val="en-US" w:eastAsia="zh-CN"/>
        </w:rPr>
      </w:pPr>
    </w:p>
    <w:p w14:paraId="29950BBD">
      <w:pPr>
        <w:pStyle w:val="6"/>
        <w:rPr>
          <w:rFonts w:hint="eastAsia" w:ascii="仿宋_GB2312" w:eastAsia="仿宋_GB2312" w:cs="Times New Roman"/>
          <w:color w:val="auto"/>
          <w:sz w:val="32"/>
          <w:szCs w:val="32"/>
          <w:highlight w:val="none"/>
          <w:lang w:val="en-US" w:eastAsia="zh-CN"/>
        </w:rPr>
      </w:pPr>
    </w:p>
    <w:p w14:paraId="14126C98">
      <w:pPr>
        <w:pStyle w:val="6"/>
        <w:rPr>
          <w:rFonts w:hint="eastAsia" w:ascii="仿宋_GB2312" w:eastAsia="仿宋_GB2312" w:cs="Times New Roman"/>
          <w:color w:val="auto"/>
          <w:sz w:val="32"/>
          <w:szCs w:val="32"/>
          <w:highlight w:val="none"/>
          <w:lang w:val="en-US" w:eastAsia="zh-CN"/>
        </w:rPr>
      </w:pPr>
    </w:p>
    <w:p w14:paraId="041A1AC9">
      <w:pPr>
        <w:pStyle w:val="6"/>
        <w:rPr>
          <w:rFonts w:hint="eastAsia" w:ascii="仿宋_GB2312" w:eastAsia="仿宋_GB2312" w:cs="Times New Roman"/>
          <w:color w:val="auto"/>
          <w:sz w:val="32"/>
          <w:szCs w:val="32"/>
          <w:highlight w:val="none"/>
          <w:lang w:val="en-US" w:eastAsia="zh-CN"/>
        </w:rPr>
      </w:pPr>
    </w:p>
    <w:p w14:paraId="7C044463">
      <w:pPr>
        <w:pStyle w:val="6"/>
        <w:rPr>
          <w:rFonts w:hint="eastAsia" w:ascii="仿宋_GB2312" w:eastAsia="仿宋_GB2312" w:cs="Times New Roman"/>
          <w:color w:val="auto"/>
          <w:sz w:val="32"/>
          <w:szCs w:val="32"/>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E0A1735">
      <w:pPr>
        <w:pStyle w:val="6"/>
        <w:ind w:left="0" w:leftChars="0" w:firstLine="0" w:firstLineChars="0"/>
        <w:rPr>
          <w:rFonts w:hint="eastAsia" w:ascii="仿宋_GB2312" w:eastAsia="仿宋_GB2312" w:cs="Times New Roman"/>
          <w:color w:val="auto"/>
          <w:sz w:val="32"/>
          <w:szCs w:val="32"/>
          <w:highlight w:val="none"/>
          <w:lang w:val="en-US" w:eastAsia="zh-CN"/>
        </w:rPr>
      </w:pPr>
    </w:p>
    <w:p w14:paraId="328DD8A9">
      <w:pPr>
        <w:numPr>
          <w:ilvl w:val="0"/>
          <w:numId w:val="0"/>
        </w:numPr>
        <w:spacing w:line="600" w:lineRule="exact"/>
        <w:jc w:val="center"/>
        <w:outlineLvl w:val="0"/>
        <w:rPr>
          <w:rFonts w:hint="eastAsia" w:ascii="黑体" w:hAnsi="黑体" w:eastAsia="黑体" w:cs="Times New Roman"/>
          <w:color w:val="auto"/>
          <w:sz w:val="44"/>
          <w:szCs w:val="44"/>
          <w:highlight w:val="none"/>
          <w:lang w:val="en-US" w:eastAsia="zh-CN"/>
        </w:rPr>
      </w:pPr>
      <w:bookmarkStart w:id="29" w:name="_Toc32690"/>
      <w:r>
        <w:rPr>
          <w:rFonts w:hint="eastAsia" w:ascii="黑体" w:hAnsi="黑体" w:eastAsia="黑体" w:cs="Times New Roman"/>
          <w:color w:val="auto"/>
          <w:kern w:val="2"/>
          <w:sz w:val="44"/>
          <w:szCs w:val="44"/>
          <w:lang w:val="en-US" w:eastAsia="zh-CN" w:bidi="ar-SA"/>
        </w:rPr>
        <w:t xml:space="preserve">第四部分  </w:t>
      </w:r>
      <w:r>
        <w:rPr>
          <w:rFonts w:hint="eastAsia" w:ascii="黑体" w:hAnsi="黑体" w:eastAsia="黑体" w:cs="Times New Roman"/>
          <w:color w:val="auto"/>
          <w:sz w:val="44"/>
          <w:szCs w:val="44"/>
          <w:highlight w:val="none"/>
          <w:lang w:val="en-US" w:eastAsia="zh-CN"/>
        </w:rPr>
        <w:t>附件</w:t>
      </w:r>
      <w:bookmarkEnd w:id="29"/>
    </w:p>
    <w:p w14:paraId="31E277DB">
      <w:pPr>
        <w:pStyle w:val="10"/>
        <w:rPr>
          <w:rFonts w:hint="eastAsia"/>
          <w:lang w:val="en-US" w:eastAsia="zh-CN"/>
        </w:rPr>
      </w:pPr>
    </w:p>
    <w:p w14:paraId="1FE8FBCE">
      <w:pPr>
        <w:spacing w:line="600" w:lineRule="exact"/>
        <w:jc w:val="center"/>
        <w:outlineLvl w:val="1"/>
        <w:rPr>
          <w:rFonts w:hint="eastAsia" w:ascii="黑体" w:hAnsi="黑体" w:eastAsia="黑体"/>
          <w:color w:val="FF0000"/>
          <w:sz w:val="44"/>
          <w:szCs w:val="44"/>
          <w:highlight w:val="none"/>
        </w:rPr>
      </w:pPr>
      <w:bookmarkStart w:id="30" w:name="_Toc7982"/>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bookmarkEnd w:id="30"/>
    </w:p>
    <w:tbl>
      <w:tblPr>
        <w:tblStyle w:val="12"/>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2014"/>
        <w:gridCol w:w="1755"/>
        <w:gridCol w:w="2376"/>
        <w:gridCol w:w="516"/>
        <w:gridCol w:w="1639"/>
        <w:gridCol w:w="576"/>
        <w:gridCol w:w="1171"/>
        <w:gridCol w:w="504"/>
        <w:gridCol w:w="576"/>
        <w:gridCol w:w="2488"/>
      </w:tblGrid>
      <w:tr w14:paraId="42F7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3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47E92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7BC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D95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13F4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51160023T000008294568-广安市邻水生态环境局监督执法专项经费</w:t>
            </w:r>
          </w:p>
        </w:tc>
      </w:tr>
      <w:tr w14:paraId="220F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B5F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268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广安市生态环境局部门</w:t>
            </w:r>
          </w:p>
        </w:tc>
        <w:tc>
          <w:tcPr>
            <w:tcW w:w="1185" w:type="dxa"/>
            <w:tcBorders>
              <w:top w:val="nil"/>
              <w:left w:val="nil"/>
              <w:bottom w:val="nil"/>
              <w:right w:val="nil"/>
            </w:tcBorders>
            <w:shd w:val="clear" w:color="auto" w:fill="auto"/>
            <w:vAlign w:val="center"/>
          </w:tcPr>
          <w:p w14:paraId="52A8959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A4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广安市邻水生态环境局</w:t>
            </w:r>
          </w:p>
        </w:tc>
      </w:tr>
      <w:tr w14:paraId="06FF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F00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D5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E1D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434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14:paraId="5DEC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12C14">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9EE9F">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65A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市生态环境局印发的全年重点任务开展当年监督执法工作。组织举办行政执法及网格化业务能力培训、组织开展执法稽查和执法效能评估、参加2023年度全市执法大练兵、组织开展环境违法案件办理及案件内部审查工作、开展固定污染源自动监测监控体系试点建设等工作。</w:t>
            </w:r>
          </w:p>
        </w:tc>
        <w:tc>
          <w:tcPr>
            <w:tcW w:w="4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F3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举办行政执法业务能力培训，参加2023年度执法大练兵，较大提升了执法人员业务能力和服务水平，同时在日常工作中通过加强法律知识宣传、企业守法规范经营，违法行为不断下降，环境违法案件数量进一步减少。</w:t>
            </w:r>
          </w:p>
        </w:tc>
      </w:tr>
      <w:tr w14:paraId="6690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E5AF">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FA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C8E8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与相关单位和部门联动执法，精准摸排线索，按程序做好调查取证，及时处理环境违法举报投诉案件。</w:t>
            </w:r>
          </w:p>
        </w:tc>
      </w:tr>
      <w:tr w14:paraId="6B45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51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6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A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13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E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1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4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6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AA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4F5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B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C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4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B4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B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9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7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DF2C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DD6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D5F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6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4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5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D3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7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B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DC28">
            <w:pPr>
              <w:rPr>
                <w:rFonts w:hint="eastAsia" w:ascii="黑体" w:hAnsi="黑体" w:eastAsia="黑体" w:cs="黑体"/>
                <w:i/>
                <w:iCs/>
                <w:color w:val="000000"/>
                <w:sz w:val="18"/>
                <w:szCs w:val="18"/>
                <w:u w:val="none"/>
              </w:rPr>
            </w:pPr>
          </w:p>
        </w:tc>
      </w:tr>
      <w:tr w14:paraId="7821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4B6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9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7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0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2D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7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2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7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4F53">
            <w:pPr>
              <w:rPr>
                <w:rFonts w:hint="eastAsia" w:ascii="黑体" w:hAnsi="黑体" w:eastAsia="黑体" w:cs="黑体"/>
                <w:i/>
                <w:iCs/>
                <w:color w:val="000000"/>
                <w:sz w:val="18"/>
                <w:szCs w:val="18"/>
                <w:u w:val="none"/>
              </w:rPr>
            </w:pPr>
          </w:p>
        </w:tc>
      </w:tr>
      <w:tr w14:paraId="0D84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BC2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5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E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9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4B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3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F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2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338E">
            <w:pPr>
              <w:rPr>
                <w:rFonts w:hint="eastAsia" w:ascii="黑体" w:hAnsi="黑体" w:eastAsia="黑体" w:cs="黑体"/>
                <w:i/>
                <w:iCs/>
                <w:color w:val="000000"/>
                <w:sz w:val="18"/>
                <w:szCs w:val="18"/>
                <w:u w:val="none"/>
              </w:rPr>
            </w:pPr>
          </w:p>
        </w:tc>
      </w:tr>
      <w:tr w14:paraId="2B8C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09C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1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C075">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F164">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8DEF7">
            <w:pPr>
              <w:jc w:val="center"/>
              <w:rPr>
                <w:rFonts w:hint="eastAsia" w:ascii="微软雅黑" w:hAnsi="微软雅黑" w:eastAsia="微软雅黑" w:cs="微软雅黑"/>
                <w:i/>
                <w:iCs/>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363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F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6BC7">
            <w:pPr>
              <w:rPr>
                <w:rFonts w:hint="eastAsia" w:ascii="黑体" w:hAnsi="黑体" w:eastAsia="黑体" w:cs="黑体"/>
                <w:i/>
                <w:iCs/>
                <w:color w:val="000000"/>
                <w:sz w:val="18"/>
                <w:szCs w:val="18"/>
                <w:u w:val="none"/>
              </w:rPr>
            </w:pPr>
          </w:p>
        </w:tc>
      </w:tr>
      <w:tr w14:paraId="5EDB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15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D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0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0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A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6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4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4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7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C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6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78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980D">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8D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A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A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办理环境违法案件数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3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E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D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4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D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相关企业根据生态环境整改意见及时整改，全县生态环境质量得到有效改善，办理环境违法案件数量减少。</w:t>
            </w:r>
          </w:p>
        </w:tc>
      </w:tr>
      <w:tr w14:paraId="582E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A7107">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93FE">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A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8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行政处罚案卷评查得分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3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A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7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A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A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8E35">
            <w:pPr>
              <w:jc w:val="center"/>
              <w:rPr>
                <w:rFonts w:hint="eastAsia" w:ascii="微软雅黑" w:hAnsi="微软雅黑" w:eastAsia="微软雅黑" w:cs="微软雅黑"/>
                <w:i/>
                <w:iCs/>
                <w:color w:val="000000"/>
                <w:sz w:val="16"/>
                <w:szCs w:val="16"/>
                <w:u w:val="none"/>
              </w:rPr>
            </w:pPr>
          </w:p>
        </w:tc>
      </w:tr>
      <w:tr w14:paraId="34CE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87E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6A664">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E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1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信访按时回复率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C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A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4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5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E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E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D668">
            <w:pPr>
              <w:jc w:val="center"/>
              <w:rPr>
                <w:rFonts w:hint="eastAsia" w:ascii="微软雅黑" w:hAnsi="微软雅黑" w:eastAsia="微软雅黑" w:cs="微软雅黑"/>
                <w:i/>
                <w:iCs/>
                <w:color w:val="000000"/>
                <w:sz w:val="16"/>
                <w:szCs w:val="16"/>
                <w:u w:val="none"/>
              </w:rPr>
            </w:pPr>
          </w:p>
        </w:tc>
      </w:tr>
      <w:tr w14:paraId="32AB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59DB">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E2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5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A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提升企事业单位法律意识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B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7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24D1">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F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9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0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28F5">
            <w:pPr>
              <w:jc w:val="center"/>
              <w:rPr>
                <w:rFonts w:hint="eastAsia" w:ascii="微软雅黑" w:hAnsi="微软雅黑" w:eastAsia="微软雅黑" w:cs="微软雅黑"/>
                <w:i/>
                <w:iCs/>
                <w:color w:val="000000"/>
                <w:sz w:val="16"/>
                <w:szCs w:val="16"/>
                <w:u w:val="none"/>
              </w:rPr>
            </w:pPr>
          </w:p>
        </w:tc>
      </w:tr>
      <w:tr w14:paraId="2FD2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82C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0B004">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7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7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改善全县生态环境质量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3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D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5361">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9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D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F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D7FA">
            <w:pPr>
              <w:jc w:val="center"/>
              <w:rPr>
                <w:rFonts w:hint="eastAsia" w:ascii="微软雅黑" w:hAnsi="微软雅黑" w:eastAsia="微软雅黑" w:cs="微软雅黑"/>
                <w:i/>
                <w:iCs/>
                <w:color w:val="000000"/>
                <w:sz w:val="16"/>
                <w:szCs w:val="16"/>
                <w:u w:val="none"/>
              </w:rPr>
            </w:pPr>
          </w:p>
        </w:tc>
      </w:tr>
      <w:tr w14:paraId="1B86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120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A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A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3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9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F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D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5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1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D197">
            <w:pPr>
              <w:jc w:val="center"/>
              <w:rPr>
                <w:rFonts w:hint="eastAsia" w:ascii="微软雅黑" w:hAnsi="微软雅黑" w:eastAsia="微软雅黑" w:cs="微软雅黑"/>
                <w:i/>
                <w:iCs/>
                <w:color w:val="000000"/>
                <w:sz w:val="16"/>
                <w:szCs w:val="16"/>
                <w:u w:val="none"/>
              </w:rPr>
            </w:pPr>
          </w:p>
        </w:tc>
      </w:tr>
      <w:tr w14:paraId="06E7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E2A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F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7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C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2023年工作经费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C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F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3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9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9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2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4A3F">
            <w:pPr>
              <w:jc w:val="center"/>
              <w:rPr>
                <w:rFonts w:hint="eastAsia" w:ascii="微软雅黑" w:hAnsi="微软雅黑" w:eastAsia="微软雅黑" w:cs="微软雅黑"/>
                <w:i/>
                <w:iCs/>
                <w:color w:val="000000"/>
                <w:sz w:val="16"/>
                <w:szCs w:val="16"/>
                <w:u w:val="none"/>
              </w:rPr>
            </w:pPr>
          </w:p>
        </w:tc>
      </w:tr>
      <w:tr w14:paraId="411A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40F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B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03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5EE7">
            <w:pPr>
              <w:rPr>
                <w:rFonts w:hint="eastAsia" w:ascii="宋体" w:hAnsi="宋体" w:eastAsia="宋体" w:cs="宋体"/>
                <w:i w:val="0"/>
                <w:iCs w:val="0"/>
                <w:color w:val="000000"/>
                <w:sz w:val="18"/>
                <w:szCs w:val="18"/>
                <w:u w:val="none"/>
              </w:rPr>
            </w:pPr>
          </w:p>
        </w:tc>
      </w:tr>
      <w:tr w14:paraId="1D90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0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0BC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基本完成2023年年度目标，自评总分为95分。通过加强业务人员的监督执法能力，提高执法效率，减少环境违法案件数量，进一步提升全县环境质量。</w:t>
            </w:r>
          </w:p>
        </w:tc>
      </w:tr>
      <w:tr w14:paraId="01BA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A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776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公众对生态环境监督执法了解和参与程度较低。</w:t>
            </w:r>
          </w:p>
        </w:tc>
      </w:tr>
      <w:tr w14:paraId="0269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D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DC54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加强环保宣传教育，提高公众环保意识和法制观念。</w:t>
            </w:r>
          </w:p>
        </w:tc>
      </w:tr>
      <w:tr w14:paraId="1EE8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6330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项目负责人：范建川</w:t>
            </w:r>
          </w:p>
        </w:tc>
        <w:tc>
          <w:tcPr>
            <w:tcW w:w="7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5B71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财务负责人：文维川</w:t>
            </w:r>
          </w:p>
        </w:tc>
      </w:tr>
      <w:tr w14:paraId="68A3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2611C5A9">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3A574CED">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4C3AF5AC">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3A8CB14E">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84C8F52">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77A8DE63">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CC99626">
            <w:pPr>
              <w:rPr>
                <w:rFonts w:hint="eastAsia" w:ascii="宋体" w:hAnsi="宋体" w:eastAsia="宋体" w:cs="宋体"/>
                <w:i w:val="0"/>
                <w:iCs w:val="0"/>
                <w:color w:val="000000"/>
                <w:sz w:val="18"/>
                <w:szCs w:val="18"/>
                <w:u w:val="none"/>
              </w:rPr>
            </w:pPr>
          </w:p>
        </w:tc>
        <w:tc>
          <w:tcPr>
            <w:tcW w:w="1185" w:type="dxa"/>
            <w:tcBorders>
              <w:top w:val="nil"/>
              <w:left w:val="nil"/>
              <w:bottom w:val="nil"/>
              <w:right w:val="nil"/>
            </w:tcBorders>
            <w:shd w:val="clear" w:color="auto" w:fill="auto"/>
            <w:vAlign w:val="center"/>
          </w:tcPr>
          <w:p w14:paraId="72D8894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208D15C">
            <w:pPr>
              <w:rPr>
                <w:rFonts w:hint="eastAsia" w:ascii="宋体" w:hAnsi="宋体" w:eastAsia="宋体" w:cs="宋体"/>
                <w:i w:val="0"/>
                <w:iCs w:val="0"/>
                <w:color w:val="000000"/>
                <w:sz w:val="18"/>
                <w:szCs w:val="18"/>
                <w:u w:val="none"/>
              </w:rPr>
            </w:pPr>
          </w:p>
        </w:tc>
        <w:tc>
          <w:tcPr>
            <w:tcW w:w="565" w:type="dxa"/>
            <w:tcBorders>
              <w:top w:val="nil"/>
              <w:left w:val="nil"/>
              <w:bottom w:val="nil"/>
              <w:right w:val="nil"/>
            </w:tcBorders>
            <w:shd w:val="clear" w:color="auto" w:fill="auto"/>
            <w:vAlign w:val="center"/>
          </w:tcPr>
          <w:p w14:paraId="3653608B">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1DF1C6CB">
            <w:pPr>
              <w:rPr>
                <w:rFonts w:hint="eastAsia" w:ascii="宋体" w:hAnsi="宋体" w:eastAsia="宋体" w:cs="宋体"/>
                <w:i w:val="0"/>
                <w:iCs w:val="0"/>
                <w:color w:val="000000"/>
                <w:sz w:val="18"/>
                <w:szCs w:val="18"/>
                <w:u w:val="none"/>
              </w:rPr>
            </w:pPr>
          </w:p>
        </w:tc>
      </w:tr>
      <w:tr w14:paraId="1E2A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D3C5E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275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42B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46C4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51160024T000010832644-广安市邻水生态环境局工作经费</w:t>
            </w:r>
          </w:p>
        </w:tc>
      </w:tr>
      <w:tr w14:paraId="79B7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0DF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A44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广安市生态环境局部门</w:t>
            </w:r>
          </w:p>
        </w:tc>
        <w:tc>
          <w:tcPr>
            <w:tcW w:w="1185" w:type="dxa"/>
            <w:tcBorders>
              <w:top w:val="nil"/>
              <w:left w:val="nil"/>
              <w:bottom w:val="nil"/>
              <w:right w:val="nil"/>
            </w:tcBorders>
            <w:shd w:val="clear" w:color="auto" w:fill="auto"/>
            <w:vAlign w:val="center"/>
          </w:tcPr>
          <w:p w14:paraId="1BAB89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08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广安市邻水生态环境局</w:t>
            </w:r>
          </w:p>
        </w:tc>
      </w:tr>
      <w:tr w14:paraId="1700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8F8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D64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75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AF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14:paraId="3439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4F4B">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0FC8">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F1A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保障环境日常监督工作，改善生态环境质量</w:t>
            </w:r>
          </w:p>
        </w:tc>
        <w:tc>
          <w:tcPr>
            <w:tcW w:w="4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17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我局在预算成本控制范围内，保障2023年日常办公用品的购买和环境日常监督工作的开展，改善辖区内生态环境质量。</w:t>
            </w:r>
          </w:p>
        </w:tc>
      </w:tr>
      <w:tr w14:paraId="1F17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E5E1">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7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75E4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生态环境综合执法大队对辖区内工业企业等各类污染源进行定期和不定期巡查，环境监测站监测污染物排放是否达标，对企业进行环保指导，帮助其规范环境管理行为。</w:t>
            </w:r>
          </w:p>
        </w:tc>
      </w:tr>
      <w:tr w14:paraId="5D2C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CB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C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8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7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32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5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E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F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EE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16C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7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9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5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74.81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C1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74.81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8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E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6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AF78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A0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283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2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1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A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74.81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39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74.81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4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A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B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6FE26">
            <w:pPr>
              <w:rPr>
                <w:rFonts w:hint="eastAsia" w:ascii="黑体" w:hAnsi="黑体" w:eastAsia="黑体" w:cs="黑体"/>
                <w:i/>
                <w:iCs/>
                <w:color w:val="000000"/>
                <w:sz w:val="18"/>
                <w:szCs w:val="18"/>
                <w:u w:val="none"/>
              </w:rPr>
            </w:pPr>
          </w:p>
        </w:tc>
      </w:tr>
      <w:tr w14:paraId="5BCB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B0B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D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C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9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3A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6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7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0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0ABF">
            <w:pPr>
              <w:rPr>
                <w:rFonts w:hint="eastAsia" w:ascii="黑体" w:hAnsi="黑体" w:eastAsia="黑体" w:cs="黑体"/>
                <w:i/>
                <w:iCs/>
                <w:color w:val="000000"/>
                <w:sz w:val="18"/>
                <w:szCs w:val="18"/>
                <w:u w:val="none"/>
              </w:rPr>
            </w:pPr>
          </w:p>
        </w:tc>
      </w:tr>
      <w:tr w14:paraId="4D2A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A433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6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7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E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72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9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7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9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C63C">
            <w:pPr>
              <w:rPr>
                <w:rFonts w:hint="eastAsia" w:ascii="黑体" w:hAnsi="黑体" w:eastAsia="黑体" w:cs="黑体"/>
                <w:i/>
                <w:iCs/>
                <w:color w:val="000000"/>
                <w:sz w:val="18"/>
                <w:szCs w:val="18"/>
                <w:u w:val="none"/>
              </w:rPr>
            </w:pPr>
          </w:p>
        </w:tc>
      </w:tr>
      <w:tr w14:paraId="45BE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E9F8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6B36">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D7EA">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27552">
            <w:pPr>
              <w:jc w:val="center"/>
              <w:rPr>
                <w:rFonts w:hint="eastAsia" w:ascii="微软雅黑" w:hAnsi="微软雅黑" w:eastAsia="微软雅黑" w:cs="微软雅黑"/>
                <w:i/>
                <w:iCs/>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C38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9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D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9CDA">
            <w:pPr>
              <w:rPr>
                <w:rFonts w:hint="eastAsia" w:ascii="黑体" w:hAnsi="黑体" w:eastAsia="黑体" w:cs="黑体"/>
                <w:i/>
                <w:iCs/>
                <w:color w:val="000000"/>
                <w:sz w:val="18"/>
                <w:szCs w:val="18"/>
                <w:u w:val="none"/>
              </w:rPr>
            </w:pPr>
          </w:p>
        </w:tc>
      </w:tr>
      <w:tr w14:paraId="74EC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85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2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7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F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5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9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2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1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B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A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C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31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497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E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F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0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8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7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A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9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8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4545">
            <w:pPr>
              <w:jc w:val="center"/>
              <w:rPr>
                <w:rFonts w:hint="eastAsia" w:ascii="宋体" w:hAnsi="宋体" w:eastAsia="宋体" w:cs="宋体"/>
                <w:i w:val="0"/>
                <w:iCs w:val="0"/>
                <w:color w:val="000000"/>
                <w:sz w:val="18"/>
                <w:szCs w:val="18"/>
                <w:u w:val="none"/>
              </w:rPr>
            </w:pPr>
          </w:p>
        </w:tc>
      </w:tr>
      <w:tr w14:paraId="677E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456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A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B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9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3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C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A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0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6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7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6E7D">
            <w:pPr>
              <w:jc w:val="center"/>
              <w:rPr>
                <w:rFonts w:hint="eastAsia" w:ascii="宋体" w:hAnsi="宋体" w:eastAsia="宋体" w:cs="宋体"/>
                <w:i w:val="0"/>
                <w:iCs w:val="0"/>
                <w:color w:val="000000"/>
                <w:sz w:val="18"/>
                <w:szCs w:val="18"/>
                <w:u w:val="none"/>
              </w:rPr>
            </w:pPr>
          </w:p>
        </w:tc>
      </w:tr>
      <w:tr w14:paraId="7539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7384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F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A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C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环境改善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B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B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2157">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A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4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8C5E">
            <w:pPr>
              <w:jc w:val="center"/>
              <w:rPr>
                <w:rFonts w:hint="eastAsia" w:ascii="宋体" w:hAnsi="宋体" w:eastAsia="宋体" w:cs="宋体"/>
                <w:i w:val="0"/>
                <w:iCs w:val="0"/>
                <w:color w:val="000000"/>
                <w:sz w:val="18"/>
                <w:szCs w:val="18"/>
                <w:u w:val="none"/>
              </w:rPr>
            </w:pPr>
          </w:p>
        </w:tc>
      </w:tr>
      <w:tr w14:paraId="42EF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D8C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7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1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3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1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E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4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5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2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6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1A14">
            <w:pPr>
              <w:jc w:val="center"/>
              <w:rPr>
                <w:rFonts w:hint="eastAsia" w:ascii="宋体" w:hAnsi="宋体" w:eastAsia="宋体" w:cs="宋体"/>
                <w:i w:val="0"/>
                <w:iCs w:val="0"/>
                <w:color w:val="000000"/>
                <w:sz w:val="18"/>
                <w:szCs w:val="18"/>
                <w:u w:val="none"/>
              </w:rPr>
            </w:pPr>
          </w:p>
        </w:tc>
      </w:tr>
      <w:tr w14:paraId="53AA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550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A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0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C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F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B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7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0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1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0FE6">
            <w:pPr>
              <w:jc w:val="center"/>
              <w:rPr>
                <w:rFonts w:hint="eastAsia" w:ascii="宋体" w:hAnsi="宋体" w:eastAsia="宋体" w:cs="宋体"/>
                <w:i w:val="0"/>
                <w:iCs w:val="0"/>
                <w:color w:val="000000"/>
                <w:sz w:val="18"/>
                <w:szCs w:val="18"/>
                <w:u w:val="none"/>
              </w:rPr>
            </w:pPr>
          </w:p>
        </w:tc>
      </w:tr>
      <w:tr w14:paraId="2EE6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A45B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A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C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4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F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7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748100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4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D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748100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B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1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1B7E">
            <w:pPr>
              <w:jc w:val="center"/>
              <w:rPr>
                <w:rFonts w:hint="eastAsia" w:ascii="微软雅黑" w:hAnsi="微软雅黑" w:eastAsia="微软雅黑" w:cs="微软雅黑"/>
                <w:i/>
                <w:iCs/>
                <w:color w:val="000000"/>
                <w:sz w:val="16"/>
                <w:szCs w:val="16"/>
                <w:u w:val="none"/>
              </w:rPr>
            </w:pPr>
          </w:p>
        </w:tc>
      </w:tr>
      <w:tr w14:paraId="45D4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F92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1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CD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0A02">
            <w:pPr>
              <w:rPr>
                <w:rFonts w:hint="eastAsia" w:ascii="宋体" w:hAnsi="宋体" w:eastAsia="宋体" w:cs="宋体"/>
                <w:i w:val="0"/>
                <w:iCs w:val="0"/>
                <w:color w:val="000000"/>
                <w:sz w:val="18"/>
                <w:szCs w:val="18"/>
                <w:u w:val="none"/>
              </w:rPr>
            </w:pPr>
          </w:p>
        </w:tc>
      </w:tr>
      <w:tr w14:paraId="4391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C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8D2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项目自评得分100分，2023年辖区内企业工厂污染物排放基本达标，全县生态环境质量持续改善。</w:t>
            </w:r>
          </w:p>
        </w:tc>
      </w:tr>
      <w:tr w14:paraId="5036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5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112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环境监测领域专业人才欠缺，且部分人员业务水平有待提升。</w:t>
            </w:r>
          </w:p>
        </w:tc>
      </w:tr>
      <w:tr w14:paraId="1E0E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3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C3A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通过培训、进修等方式提高现有人员的业务水平，同时吸引更多高素质人才加入环境监测队伍。</w:t>
            </w:r>
          </w:p>
        </w:tc>
      </w:tr>
      <w:tr w14:paraId="45F7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47E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项目负责人：范建川</w:t>
            </w:r>
          </w:p>
        </w:tc>
        <w:tc>
          <w:tcPr>
            <w:tcW w:w="7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1CCA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财务负责人：文维川</w:t>
            </w:r>
          </w:p>
        </w:tc>
      </w:tr>
      <w:tr w14:paraId="291D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F30AA2B">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19BC9DE8">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6FC788A6">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1550C872">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FE3B392">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65605C92">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3B69E0A">
            <w:pPr>
              <w:rPr>
                <w:rFonts w:hint="eastAsia" w:ascii="宋体" w:hAnsi="宋体" w:eastAsia="宋体" w:cs="宋体"/>
                <w:i w:val="0"/>
                <w:iCs w:val="0"/>
                <w:color w:val="000000"/>
                <w:sz w:val="18"/>
                <w:szCs w:val="18"/>
                <w:u w:val="none"/>
              </w:rPr>
            </w:pPr>
          </w:p>
        </w:tc>
        <w:tc>
          <w:tcPr>
            <w:tcW w:w="1185" w:type="dxa"/>
            <w:tcBorders>
              <w:top w:val="nil"/>
              <w:left w:val="nil"/>
              <w:bottom w:val="nil"/>
              <w:right w:val="nil"/>
            </w:tcBorders>
            <w:shd w:val="clear" w:color="auto" w:fill="auto"/>
            <w:vAlign w:val="center"/>
          </w:tcPr>
          <w:p w14:paraId="42CA5621">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D43FE08">
            <w:pPr>
              <w:rPr>
                <w:rFonts w:hint="eastAsia" w:ascii="宋体" w:hAnsi="宋体" w:eastAsia="宋体" w:cs="宋体"/>
                <w:i w:val="0"/>
                <w:iCs w:val="0"/>
                <w:color w:val="000000"/>
                <w:sz w:val="18"/>
                <w:szCs w:val="18"/>
                <w:u w:val="none"/>
              </w:rPr>
            </w:pPr>
          </w:p>
        </w:tc>
        <w:tc>
          <w:tcPr>
            <w:tcW w:w="565" w:type="dxa"/>
            <w:tcBorders>
              <w:top w:val="nil"/>
              <w:left w:val="nil"/>
              <w:bottom w:val="nil"/>
              <w:right w:val="nil"/>
            </w:tcBorders>
            <w:shd w:val="clear" w:color="auto" w:fill="auto"/>
            <w:vAlign w:val="center"/>
          </w:tcPr>
          <w:p w14:paraId="41331824">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194F50D2">
            <w:pPr>
              <w:rPr>
                <w:rFonts w:hint="eastAsia" w:ascii="宋体" w:hAnsi="宋体" w:eastAsia="宋体" w:cs="宋体"/>
                <w:i w:val="0"/>
                <w:iCs w:val="0"/>
                <w:color w:val="000000"/>
                <w:sz w:val="18"/>
                <w:szCs w:val="18"/>
                <w:u w:val="none"/>
              </w:rPr>
            </w:pPr>
          </w:p>
        </w:tc>
      </w:tr>
      <w:tr w14:paraId="17CF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376C0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72F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F22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9152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51160024T000011110635-广安市邻水生态环境局-省级生态环保能力建设</w:t>
            </w:r>
          </w:p>
        </w:tc>
      </w:tr>
      <w:tr w14:paraId="1B08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A88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611C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广安市生态环境局部门</w:t>
            </w:r>
          </w:p>
        </w:tc>
        <w:tc>
          <w:tcPr>
            <w:tcW w:w="1185" w:type="dxa"/>
            <w:tcBorders>
              <w:top w:val="nil"/>
              <w:left w:val="nil"/>
              <w:bottom w:val="nil"/>
              <w:right w:val="nil"/>
            </w:tcBorders>
            <w:shd w:val="clear" w:color="auto" w:fill="auto"/>
            <w:vAlign w:val="center"/>
          </w:tcPr>
          <w:p w14:paraId="44D7C7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D4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广安市邻水生态环境局</w:t>
            </w:r>
          </w:p>
        </w:tc>
      </w:tr>
      <w:tr w14:paraId="2C30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1CE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1E5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3C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DD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14:paraId="1971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4385">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6655">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90B0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广安市财政局关于下达2021年第二批中央和省级生态环保资金支出预算的通知》（广市财资环﹝2022﹞1号）和《广安市生态环境局关于调剂2021年第二批省级生态环保资金预算的函》（广市环函﹝2022﹞9号）文件，下达第二批省级生态环保能力建设资金325000元，用于我局环保能力建设，提升应急监测能力，能更好应对本县突发环境事故，维护本县良好的生态环境。</w:t>
            </w:r>
          </w:p>
        </w:tc>
        <w:tc>
          <w:tcPr>
            <w:tcW w:w="4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29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按照市级文件精神，我局截至2023年12月底，完成车辆采购和环境监测站实验室用品的采购。</w:t>
            </w:r>
          </w:p>
        </w:tc>
      </w:tr>
      <w:tr w14:paraId="4B1E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82E9">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2E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3783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广安市财政局关于下达2021年第二批中央和省级生态环保资金支出预算的通知》（广市财资环﹝2022﹞1号）和《广安市生态环境局关于调剂2021年第二批省级生态环保资金预算的函》（广市环函﹝2022﹞9号）文件要求，将23.11万元用于车辆购买、税费和保险，剩余9.39万元用于环境监测站实验室用品。</w:t>
            </w:r>
          </w:p>
        </w:tc>
      </w:tr>
      <w:tr w14:paraId="5421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FB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4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4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5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19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D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F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4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E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59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EAA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2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8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B2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D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1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C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85AA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7FE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5C5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3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9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5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AA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1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7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2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0612">
            <w:pPr>
              <w:rPr>
                <w:rFonts w:hint="eastAsia" w:ascii="黑体" w:hAnsi="黑体" w:eastAsia="黑体" w:cs="黑体"/>
                <w:i/>
                <w:iCs/>
                <w:color w:val="000000"/>
                <w:sz w:val="18"/>
                <w:szCs w:val="18"/>
                <w:u w:val="none"/>
              </w:rPr>
            </w:pPr>
          </w:p>
        </w:tc>
      </w:tr>
      <w:tr w14:paraId="2E14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2C6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0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F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7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A1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4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4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B464">
            <w:pPr>
              <w:rPr>
                <w:rFonts w:hint="eastAsia" w:ascii="黑体" w:hAnsi="黑体" w:eastAsia="黑体" w:cs="黑体"/>
                <w:i/>
                <w:iCs/>
                <w:color w:val="000000"/>
                <w:sz w:val="18"/>
                <w:szCs w:val="18"/>
                <w:u w:val="none"/>
              </w:rPr>
            </w:pPr>
          </w:p>
        </w:tc>
      </w:tr>
      <w:tr w14:paraId="1643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403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2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F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B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60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E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6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5890">
            <w:pPr>
              <w:rPr>
                <w:rFonts w:hint="eastAsia" w:ascii="黑体" w:hAnsi="黑体" w:eastAsia="黑体" w:cs="黑体"/>
                <w:i/>
                <w:iCs/>
                <w:color w:val="000000"/>
                <w:sz w:val="18"/>
                <w:szCs w:val="18"/>
                <w:u w:val="none"/>
              </w:rPr>
            </w:pPr>
          </w:p>
        </w:tc>
      </w:tr>
      <w:tr w14:paraId="1764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F53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1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9D7C">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3E0E">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C09DB">
            <w:pPr>
              <w:jc w:val="center"/>
              <w:rPr>
                <w:rFonts w:hint="eastAsia" w:ascii="微软雅黑" w:hAnsi="微软雅黑" w:eastAsia="微软雅黑" w:cs="微软雅黑"/>
                <w:i/>
                <w:iCs/>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DE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6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2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A90DF">
            <w:pPr>
              <w:rPr>
                <w:rFonts w:hint="eastAsia" w:ascii="黑体" w:hAnsi="黑体" w:eastAsia="黑体" w:cs="黑体"/>
                <w:i/>
                <w:iCs/>
                <w:color w:val="000000"/>
                <w:sz w:val="18"/>
                <w:szCs w:val="18"/>
                <w:u w:val="none"/>
              </w:rPr>
            </w:pPr>
          </w:p>
        </w:tc>
      </w:tr>
      <w:tr w14:paraId="1AE9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B6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B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3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8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3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8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F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9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4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A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2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D6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3A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B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9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8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全县生态环境监测覆盖率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E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5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4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D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AC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C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245B">
            <w:pPr>
              <w:jc w:val="center"/>
              <w:rPr>
                <w:rFonts w:hint="eastAsia" w:ascii="宋体" w:hAnsi="宋体" w:eastAsia="宋体" w:cs="宋体"/>
                <w:i w:val="0"/>
                <w:iCs w:val="0"/>
                <w:color w:val="000000"/>
                <w:sz w:val="18"/>
                <w:szCs w:val="18"/>
                <w:u w:val="none"/>
              </w:rPr>
            </w:pPr>
          </w:p>
        </w:tc>
      </w:tr>
      <w:tr w14:paraId="2307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A75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2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2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8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应急监测能力建设完成时间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E9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4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3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A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C2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5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473">
            <w:pPr>
              <w:jc w:val="center"/>
              <w:rPr>
                <w:rFonts w:hint="eastAsia" w:ascii="宋体" w:hAnsi="宋体" w:eastAsia="宋体" w:cs="宋体"/>
                <w:i w:val="0"/>
                <w:iCs w:val="0"/>
                <w:color w:val="000000"/>
                <w:sz w:val="18"/>
                <w:szCs w:val="18"/>
                <w:u w:val="none"/>
              </w:rPr>
            </w:pPr>
          </w:p>
        </w:tc>
      </w:tr>
      <w:tr w14:paraId="0841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AFA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6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1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A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应急监测次数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7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1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E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D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02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A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8296">
            <w:pPr>
              <w:jc w:val="center"/>
              <w:rPr>
                <w:rFonts w:hint="eastAsia" w:ascii="宋体" w:hAnsi="宋体" w:eastAsia="宋体" w:cs="宋体"/>
                <w:i w:val="0"/>
                <w:iCs w:val="0"/>
                <w:color w:val="000000"/>
                <w:sz w:val="18"/>
                <w:szCs w:val="18"/>
                <w:u w:val="none"/>
              </w:rPr>
            </w:pPr>
          </w:p>
        </w:tc>
      </w:tr>
      <w:tr w14:paraId="4B74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9D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3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7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D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应急监测能力建设成本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C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B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0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3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96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4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1DC6">
            <w:pPr>
              <w:jc w:val="center"/>
              <w:rPr>
                <w:rFonts w:hint="eastAsia" w:ascii="宋体" w:hAnsi="宋体" w:eastAsia="宋体" w:cs="宋体"/>
                <w:i w:val="0"/>
                <w:iCs w:val="0"/>
                <w:color w:val="000000"/>
                <w:sz w:val="18"/>
                <w:szCs w:val="18"/>
                <w:u w:val="none"/>
              </w:rPr>
            </w:pPr>
          </w:p>
        </w:tc>
      </w:tr>
      <w:tr w14:paraId="536D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AF6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9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E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0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监测数据达标率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7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F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A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A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E5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4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C735">
            <w:pPr>
              <w:jc w:val="center"/>
              <w:rPr>
                <w:rFonts w:hint="eastAsia" w:ascii="宋体" w:hAnsi="宋体" w:eastAsia="宋体" w:cs="宋体"/>
                <w:i w:val="0"/>
                <w:iCs w:val="0"/>
                <w:color w:val="000000"/>
                <w:sz w:val="18"/>
                <w:szCs w:val="18"/>
                <w:u w:val="none"/>
              </w:rPr>
            </w:pPr>
          </w:p>
        </w:tc>
      </w:tr>
      <w:tr w14:paraId="581F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76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2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E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A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E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4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B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A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61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1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E663">
            <w:pPr>
              <w:jc w:val="center"/>
              <w:rPr>
                <w:rFonts w:hint="eastAsia" w:ascii="微软雅黑" w:hAnsi="微软雅黑" w:eastAsia="微软雅黑" w:cs="微软雅黑"/>
                <w:i/>
                <w:iCs/>
                <w:color w:val="000000"/>
                <w:sz w:val="16"/>
                <w:szCs w:val="16"/>
                <w:u w:val="none"/>
              </w:rPr>
            </w:pPr>
          </w:p>
        </w:tc>
      </w:tr>
      <w:tr w14:paraId="66F0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3A0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15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DDB9">
            <w:pPr>
              <w:rPr>
                <w:rFonts w:hint="eastAsia" w:ascii="宋体" w:hAnsi="宋体" w:eastAsia="宋体" w:cs="宋体"/>
                <w:i w:val="0"/>
                <w:iCs w:val="0"/>
                <w:color w:val="000000"/>
                <w:sz w:val="18"/>
                <w:szCs w:val="18"/>
                <w:u w:val="none"/>
              </w:rPr>
            </w:pPr>
          </w:p>
        </w:tc>
      </w:tr>
      <w:tr w14:paraId="1922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2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227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该项目自评得分100分，2023年提高应对突发环境事件的效率和协同性，推动企业主动开展环境风险评估和隐患排查，提升行业的环境安全水平。</w:t>
            </w:r>
          </w:p>
        </w:tc>
      </w:tr>
      <w:tr w14:paraId="63B9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D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3A5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与周边地区在应急监测方面的区域合作还需进一步加强。</w:t>
            </w:r>
          </w:p>
        </w:tc>
      </w:tr>
      <w:tr w14:paraId="3CF3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B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A60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积极与周边地区开展应急监测交流与合作，建立跨区域应急监测联动机制。</w:t>
            </w:r>
          </w:p>
        </w:tc>
      </w:tr>
      <w:tr w14:paraId="0A63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53D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项目负责人：范建川</w:t>
            </w:r>
          </w:p>
        </w:tc>
        <w:tc>
          <w:tcPr>
            <w:tcW w:w="7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90FA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财务负责人：文维川</w:t>
            </w:r>
          </w:p>
        </w:tc>
      </w:tr>
      <w:tr w14:paraId="2554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A867D87">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263D9F17">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04235AE9">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2F7F489F">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CD70188">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527C129E">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2F9DE22">
            <w:pPr>
              <w:rPr>
                <w:rFonts w:hint="eastAsia" w:ascii="宋体" w:hAnsi="宋体" w:eastAsia="宋体" w:cs="宋体"/>
                <w:i w:val="0"/>
                <w:iCs w:val="0"/>
                <w:color w:val="000000"/>
                <w:sz w:val="18"/>
                <w:szCs w:val="18"/>
                <w:u w:val="none"/>
              </w:rPr>
            </w:pPr>
          </w:p>
        </w:tc>
        <w:tc>
          <w:tcPr>
            <w:tcW w:w="1185" w:type="dxa"/>
            <w:tcBorders>
              <w:top w:val="nil"/>
              <w:left w:val="nil"/>
              <w:bottom w:val="nil"/>
              <w:right w:val="nil"/>
            </w:tcBorders>
            <w:shd w:val="clear" w:color="auto" w:fill="auto"/>
            <w:vAlign w:val="center"/>
          </w:tcPr>
          <w:p w14:paraId="7C11068F">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AB9972C">
            <w:pPr>
              <w:rPr>
                <w:rFonts w:hint="eastAsia" w:ascii="宋体" w:hAnsi="宋体" w:eastAsia="宋体" w:cs="宋体"/>
                <w:i w:val="0"/>
                <w:iCs w:val="0"/>
                <w:color w:val="000000"/>
                <w:sz w:val="18"/>
                <w:szCs w:val="18"/>
                <w:u w:val="none"/>
              </w:rPr>
            </w:pPr>
          </w:p>
        </w:tc>
        <w:tc>
          <w:tcPr>
            <w:tcW w:w="565" w:type="dxa"/>
            <w:tcBorders>
              <w:top w:val="nil"/>
              <w:left w:val="nil"/>
              <w:bottom w:val="nil"/>
              <w:right w:val="nil"/>
            </w:tcBorders>
            <w:shd w:val="clear" w:color="auto" w:fill="auto"/>
            <w:vAlign w:val="center"/>
          </w:tcPr>
          <w:p w14:paraId="790BD0B9">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3FF356D8">
            <w:pPr>
              <w:rPr>
                <w:rFonts w:hint="eastAsia" w:ascii="宋体" w:hAnsi="宋体" w:eastAsia="宋体" w:cs="宋体"/>
                <w:i w:val="0"/>
                <w:iCs w:val="0"/>
                <w:color w:val="000000"/>
                <w:sz w:val="18"/>
                <w:szCs w:val="18"/>
                <w:u w:val="none"/>
              </w:rPr>
            </w:pPr>
          </w:p>
        </w:tc>
      </w:tr>
    </w:tbl>
    <w:p w14:paraId="38A2D872">
      <w:pPr>
        <w:pStyle w:val="10"/>
        <w:numPr>
          <w:ilvl w:val="0"/>
          <w:numId w:val="0"/>
        </w:numPr>
        <w:rPr>
          <w:rFonts w:hint="eastAsia"/>
          <w:lang w:val="en-US" w:eastAsia="zh-CN"/>
        </w:rPr>
      </w:pPr>
    </w:p>
    <w:p w14:paraId="315B1C0E">
      <w:pPr>
        <w:pStyle w:val="6"/>
        <w:rPr>
          <w:rFonts w:hint="eastAsia"/>
          <w:lang w:val="en-US" w:eastAsia="zh-CN"/>
        </w:rPr>
      </w:pPr>
    </w:p>
    <w:p w14:paraId="7C3F3322">
      <w:pPr>
        <w:pStyle w:val="6"/>
        <w:rPr>
          <w:rFonts w:hint="eastAsia"/>
          <w:lang w:val="en-US" w:eastAsia="zh-CN"/>
        </w:rPr>
      </w:pPr>
    </w:p>
    <w:p w14:paraId="1C6CD315">
      <w:pPr>
        <w:pStyle w:val="6"/>
        <w:rPr>
          <w:rFonts w:hint="eastAsia"/>
          <w:lang w:val="en-US" w:eastAsia="zh-CN"/>
        </w:rPr>
      </w:pPr>
    </w:p>
    <w:p w14:paraId="427E1CE4">
      <w:pPr>
        <w:pStyle w:val="6"/>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0A93C510">
      <w:pPr>
        <w:pStyle w:val="6"/>
        <w:rPr>
          <w:rFonts w:hint="eastAsia"/>
          <w:lang w:val="en-US" w:eastAsia="zh-CN"/>
        </w:rPr>
      </w:pPr>
    </w:p>
    <w:p w14:paraId="3C535C8F">
      <w:pPr>
        <w:pStyle w:val="6"/>
        <w:ind w:left="0" w:leftChars="0" w:firstLine="0" w:firstLineChars="0"/>
        <w:rPr>
          <w:rFonts w:hint="eastAsia"/>
          <w:lang w:val="en-US" w:eastAsia="zh-CN"/>
        </w:rPr>
      </w:pPr>
    </w:p>
    <w:p w14:paraId="5C05CACC">
      <w:pPr>
        <w:spacing w:line="600" w:lineRule="exact"/>
        <w:jc w:val="center"/>
        <w:outlineLvl w:val="0"/>
        <w:rPr>
          <w:rFonts w:hint="eastAsia" w:ascii="仿宋" w:hAnsi="仿宋" w:eastAsia="仿宋"/>
          <w:b w:val="0"/>
          <w:color w:val="auto"/>
          <w:highlight w:val="none"/>
        </w:rPr>
      </w:pPr>
      <w:bookmarkStart w:id="31" w:name="_Toc8869"/>
      <w:r>
        <w:rPr>
          <w:rFonts w:hint="eastAsia" w:ascii="黑体" w:hAnsi="黑体" w:eastAsia="黑体"/>
          <w:color w:val="auto"/>
          <w:sz w:val="44"/>
          <w:szCs w:val="44"/>
          <w:highlight w:val="none"/>
        </w:rPr>
        <w:t>第</w:t>
      </w:r>
      <w:r>
        <w:rPr>
          <w:rStyle w:val="15"/>
          <w:rFonts w:hint="eastAsia" w:ascii="黑体" w:hAnsi="黑体" w:eastAsia="黑体"/>
          <w:b w:val="0"/>
          <w:color w:val="auto"/>
          <w:highlight w:val="none"/>
        </w:rPr>
        <w:t>五部分</w:t>
      </w:r>
      <w:r>
        <w:rPr>
          <w:rStyle w:val="15"/>
          <w:rFonts w:hint="eastAsia" w:ascii="黑体" w:hAnsi="黑体" w:eastAsia="黑体"/>
          <w:b w:val="0"/>
          <w:color w:val="auto"/>
          <w:highlight w:val="none"/>
          <w:lang w:val="en-US" w:eastAsia="zh-CN"/>
        </w:rPr>
        <w:t xml:space="preserve"> </w:t>
      </w:r>
      <w:r>
        <w:rPr>
          <w:rStyle w:val="15"/>
          <w:rFonts w:hint="eastAsia" w:ascii="黑体" w:hAnsi="黑体" w:eastAsia="黑体"/>
          <w:b w:val="0"/>
          <w:color w:val="auto"/>
          <w:highlight w:val="none"/>
        </w:rPr>
        <w:t xml:space="preserve"> 附表</w:t>
      </w:r>
      <w:bookmarkEnd w:id="31"/>
    </w:p>
    <w:p w14:paraId="16935169">
      <w:pPr>
        <w:pStyle w:val="4"/>
        <w:rPr>
          <w:rFonts w:ascii="仿宋" w:hAnsi="仿宋" w:eastAsia="仿宋"/>
          <w:color w:val="auto"/>
          <w:highlight w:val="none"/>
        </w:rPr>
      </w:pPr>
      <w:bookmarkStart w:id="32" w:name="_Toc11501"/>
      <w:r>
        <w:rPr>
          <w:rFonts w:hint="eastAsia" w:ascii="仿宋" w:hAnsi="仿宋" w:eastAsia="仿宋"/>
          <w:b w:val="0"/>
          <w:color w:val="auto"/>
          <w:highlight w:val="none"/>
        </w:rPr>
        <w:t>一、收</w:t>
      </w:r>
      <w:r>
        <w:rPr>
          <w:rStyle w:val="16"/>
          <w:rFonts w:hint="eastAsia" w:ascii="仿宋" w:hAnsi="仿宋" w:eastAsia="仿宋"/>
          <w:b w:val="0"/>
          <w:bCs w:val="0"/>
          <w:color w:val="auto"/>
          <w:highlight w:val="none"/>
        </w:rPr>
        <w:t>入支出决算总表</w:t>
      </w:r>
      <w:bookmarkEnd w:id="32"/>
    </w:p>
    <w:p w14:paraId="0D039613">
      <w:pPr>
        <w:pStyle w:val="4"/>
        <w:rPr>
          <w:rFonts w:ascii="仿宋" w:hAnsi="仿宋" w:eastAsia="仿宋"/>
          <w:color w:val="auto"/>
          <w:highlight w:val="none"/>
        </w:rPr>
      </w:pPr>
      <w:bookmarkStart w:id="33" w:name="_Toc24766"/>
      <w:r>
        <w:rPr>
          <w:rFonts w:hint="eastAsia" w:ascii="仿宋" w:hAnsi="仿宋" w:eastAsia="仿宋"/>
          <w:b w:val="0"/>
          <w:color w:val="auto"/>
          <w:highlight w:val="none"/>
        </w:rPr>
        <w:t>二、收</w:t>
      </w:r>
      <w:r>
        <w:rPr>
          <w:rStyle w:val="16"/>
          <w:rFonts w:hint="eastAsia" w:ascii="仿宋" w:hAnsi="仿宋" w:eastAsia="仿宋"/>
          <w:b w:val="0"/>
          <w:bCs w:val="0"/>
          <w:color w:val="auto"/>
          <w:highlight w:val="none"/>
        </w:rPr>
        <w:t>入决算表</w:t>
      </w:r>
      <w:bookmarkEnd w:id="33"/>
    </w:p>
    <w:p w14:paraId="0C095002">
      <w:pPr>
        <w:pStyle w:val="4"/>
        <w:rPr>
          <w:rFonts w:ascii="仿宋" w:hAnsi="仿宋" w:eastAsia="仿宋"/>
          <w:color w:val="auto"/>
          <w:highlight w:val="none"/>
        </w:rPr>
      </w:pPr>
      <w:bookmarkStart w:id="34" w:name="_Toc23357"/>
      <w:r>
        <w:rPr>
          <w:rStyle w:val="1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6"/>
          <w:rFonts w:hint="eastAsia" w:ascii="仿宋" w:hAnsi="仿宋" w:eastAsia="仿宋"/>
          <w:b w:val="0"/>
          <w:bCs w:val="0"/>
          <w:color w:val="auto"/>
          <w:highlight w:val="none"/>
        </w:rPr>
        <w:t>出决算表</w:t>
      </w:r>
      <w:bookmarkEnd w:id="34"/>
    </w:p>
    <w:p w14:paraId="6BDD1904">
      <w:pPr>
        <w:pStyle w:val="4"/>
        <w:rPr>
          <w:rFonts w:ascii="仿宋" w:hAnsi="仿宋" w:eastAsia="仿宋"/>
          <w:b w:val="0"/>
          <w:color w:val="auto"/>
          <w:highlight w:val="none"/>
        </w:rPr>
      </w:pPr>
      <w:bookmarkStart w:id="35" w:name="_Toc16416"/>
      <w:r>
        <w:rPr>
          <w:rStyle w:val="1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6"/>
          <w:rFonts w:hint="eastAsia" w:ascii="仿宋" w:hAnsi="仿宋" w:eastAsia="仿宋"/>
          <w:b w:val="0"/>
          <w:bCs w:val="0"/>
          <w:color w:val="auto"/>
          <w:highlight w:val="none"/>
        </w:rPr>
        <w:t>政拨款收入支出决算总表</w:t>
      </w:r>
      <w:bookmarkEnd w:id="35"/>
    </w:p>
    <w:p w14:paraId="1F540A53">
      <w:pPr>
        <w:pStyle w:val="4"/>
        <w:rPr>
          <w:rStyle w:val="16"/>
          <w:rFonts w:ascii="仿宋" w:hAnsi="仿宋" w:eastAsia="仿宋"/>
          <w:b w:val="0"/>
          <w:bCs w:val="0"/>
          <w:color w:val="auto"/>
          <w:highlight w:val="none"/>
        </w:rPr>
      </w:pPr>
      <w:bookmarkStart w:id="36" w:name="_Toc4548"/>
      <w:r>
        <w:rPr>
          <w:rStyle w:val="1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6"/>
          <w:rFonts w:hint="eastAsia" w:ascii="仿宋" w:hAnsi="仿宋" w:eastAsia="仿宋"/>
          <w:b w:val="0"/>
          <w:bCs w:val="0"/>
          <w:color w:val="auto"/>
          <w:highlight w:val="none"/>
        </w:rPr>
        <w:t>政拨款支出决算明细表</w:t>
      </w:r>
      <w:bookmarkEnd w:id="36"/>
    </w:p>
    <w:p w14:paraId="67CA3266">
      <w:pPr>
        <w:pStyle w:val="4"/>
        <w:rPr>
          <w:rFonts w:ascii="仿宋" w:hAnsi="仿宋" w:eastAsia="仿宋"/>
          <w:color w:val="auto"/>
          <w:highlight w:val="none"/>
        </w:rPr>
      </w:pPr>
      <w:bookmarkStart w:id="37" w:name="_Toc25502"/>
      <w:r>
        <w:rPr>
          <w:rStyle w:val="1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6"/>
          <w:rFonts w:hint="eastAsia" w:ascii="仿宋" w:hAnsi="仿宋" w:eastAsia="仿宋"/>
          <w:b w:val="0"/>
          <w:bCs w:val="0"/>
          <w:color w:val="auto"/>
          <w:highlight w:val="none"/>
        </w:rPr>
        <w:t>般公共预算财政拨款支出决算表</w:t>
      </w:r>
      <w:bookmarkEnd w:id="37"/>
    </w:p>
    <w:p w14:paraId="45B9628A">
      <w:pPr>
        <w:pStyle w:val="4"/>
        <w:rPr>
          <w:rFonts w:ascii="仿宋" w:hAnsi="仿宋" w:eastAsia="仿宋"/>
          <w:color w:val="auto"/>
          <w:highlight w:val="none"/>
        </w:rPr>
      </w:pPr>
      <w:bookmarkStart w:id="38" w:name="_Toc686"/>
      <w:r>
        <w:rPr>
          <w:rStyle w:val="1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6"/>
          <w:rFonts w:hint="eastAsia" w:ascii="仿宋" w:hAnsi="仿宋" w:eastAsia="仿宋"/>
          <w:b w:val="0"/>
          <w:bCs w:val="0"/>
          <w:color w:val="auto"/>
          <w:highlight w:val="none"/>
        </w:rPr>
        <w:t>般公共预算财政拨款支出决算明细表</w:t>
      </w:r>
      <w:bookmarkEnd w:id="38"/>
    </w:p>
    <w:p w14:paraId="0E80615B">
      <w:pPr>
        <w:pStyle w:val="4"/>
        <w:rPr>
          <w:rFonts w:ascii="仿宋" w:hAnsi="仿宋" w:eastAsia="仿宋"/>
          <w:color w:val="auto"/>
          <w:highlight w:val="none"/>
        </w:rPr>
      </w:pPr>
      <w:bookmarkStart w:id="39" w:name="_Toc27857"/>
      <w:r>
        <w:rPr>
          <w:rStyle w:val="1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6"/>
          <w:rFonts w:hint="eastAsia" w:ascii="仿宋" w:hAnsi="仿宋" w:eastAsia="仿宋"/>
          <w:b w:val="0"/>
          <w:bCs w:val="0"/>
          <w:color w:val="auto"/>
          <w:highlight w:val="none"/>
        </w:rPr>
        <w:t>般公共预算财政拨款基本支出决算表</w:t>
      </w:r>
      <w:bookmarkEnd w:id="39"/>
    </w:p>
    <w:p w14:paraId="222FB985">
      <w:pPr>
        <w:pStyle w:val="4"/>
        <w:rPr>
          <w:rFonts w:ascii="仿宋" w:hAnsi="仿宋" w:eastAsia="仿宋"/>
          <w:color w:val="auto"/>
          <w:highlight w:val="none"/>
        </w:rPr>
      </w:pPr>
      <w:bookmarkStart w:id="40" w:name="_Toc2277"/>
      <w:r>
        <w:rPr>
          <w:rStyle w:val="1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6"/>
          <w:rFonts w:hint="eastAsia" w:ascii="仿宋" w:hAnsi="仿宋" w:eastAsia="仿宋"/>
          <w:b w:val="0"/>
          <w:bCs w:val="0"/>
          <w:color w:val="auto"/>
          <w:highlight w:val="none"/>
        </w:rPr>
        <w:t>般公共预算财政拨款项目支出决算表</w:t>
      </w:r>
      <w:bookmarkEnd w:id="40"/>
    </w:p>
    <w:p w14:paraId="1B628169">
      <w:pPr>
        <w:pStyle w:val="4"/>
        <w:rPr>
          <w:rFonts w:ascii="仿宋" w:hAnsi="仿宋" w:eastAsia="仿宋"/>
          <w:color w:val="auto"/>
          <w:highlight w:val="none"/>
        </w:rPr>
      </w:pPr>
      <w:bookmarkStart w:id="41" w:name="_Toc21477"/>
      <w:r>
        <w:rPr>
          <w:rStyle w:val="16"/>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16"/>
          <w:rFonts w:hint="eastAsia" w:ascii="仿宋" w:hAnsi="仿宋" w:eastAsia="仿宋"/>
          <w:b w:val="0"/>
          <w:bCs w:val="0"/>
          <w:color w:val="auto"/>
          <w:highlight w:val="none"/>
        </w:rPr>
        <w:t>府性基金预算财政拨款收入支出决算表</w:t>
      </w:r>
      <w:bookmarkEnd w:id="41"/>
    </w:p>
    <w:p w14:paraId="49A26EC1">
      <w:pPr>
        <w:pStyle w:val="4"/>
        <w:rPr>
          <w:rFonts w:ascii="仿宋" w:hAnsi="仿宋" w:eastAsia="仿宋"/>
          <w:color w:val="auto"/>
          <w:highlight w:val="none"/>
        </w:rPr>
      </w:pPr>
      <w:bookmarkStart w:id="42" w:name="_Toc18718"/>
      <w:r>
        <w:rPr>
          <w:rStyle w:val="16"/>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16"/>
          <w:rFonts w:hint="eastAsia" w:ascii="仿宋" w:hAnsi="仿宋" w:eastAsia="仿宋"/>
          <w:b w:val="0"/>
          <w:bCs w:val="0"/>
          <w:color w:val="auto"/>
          <w:highlight w:val="none"/>
        </w:rPr>
        <w:t>有资本经营预算</w:t>
      </w:r>
      <w:r>
        <w:rPr>
          <w:rStyle w:val="16"/>
          <w:rFonts w:hint="eastAsia" w:ascii="仿宋" w:hAnsi="仿宋" w:eastAsia="仿宋"/>
          <w:b w:val="0"/>
          <w:bCs w:val="0"/>
          <w:color w:val="auto"/>
          <w:highlight w:val="none"/>
          <w:lang w:eastAsia="zh-CN"/>
        </w:rPr>
        <w:t>财政拨款收入</w:t>
      </w:r>
      <w:r>
        <w:rPr>
          <w:rStyle w:val="16"/>
          <w:rFonts w:hint="eastAsia" w:ascii="仿宋" w:hAnsi="仿宋" w:eastAsia="仿宋"/>
          <w:b w:val="0"/>
          <w:bCs w:val="0"/>
          <w:color w:val="auto"/>
          <w:highlight w:val="none"/>
        </w:rPr>
        <w:t>支出决算表</w:t>
      </w:r>
      <w:bookmarkEnd w:id="42"/>
    </w:p>
    <w:p w14:paraId="5E20CCFA">
      <w:pPr>
        <w:pStyle w:val="4"/>
        <w:rPr>
          <w:rFonts w:ascii="仿宋" w:hAnsi="仿宋" w:eastAsia="仿宋"/>
          <w:color w:val="auto"/>
          <w:highlight w:val="none"/>
        </w:rPr>
      </w:pPr>
      <w:bookmarkStart w:id="43" w:name="_Toc2802"/>
      <w:r>
        <w:rPr>
          <w:rStyle w:val="16"/>
          <w:rFonts w:hint="eastAsia" w:ascii="仿宋" w:hAnsi="仿宋" w:eastAsia="仿宋"/>
          <w:b w:val="0"/>
          <w:bCs w:val="0"/>
          <w:color w:val="auto"/>
          <w:highlight w:val="none"/>
        </w:rPr>
        <w:t>十二、</w:t>
      </w:r>
      <w:r>
        <w:rPr>
          <w:rStyle w:val="16"/>
          <w:rFonts w:hint="eastAsia" w:ascii="仿宋" w:hAnsi="仿宋" w:eastAsia="仿宋"/>
          <w:b w:val="0"/>
          <w:bCs w:val="0"/>
          <w:color w:val="auto"/>
          <w:highlight w:val="none"/>
          <w:lang w:eastAsia="zh-CN"/>
        </w:rPr>
        <w:t>国有资本经营预算财政拨款支出决算表</w:t>
      </w:r>
      <w:bookmarkEnd w:id="43"/>
    </w:p>
    <w:p w14:paraId="50E96551">
      <w:pPr>
        <w:pStyle w:val="4"/>
        <w:rPr>
          <w:rFonts w:hint="eastAsia" w:eastAsia="仿宋"/>
          <w:color w:val="auto"/>
          <w:highlight w:val="none"/>
          <w:lang w:eastAsia="zh-CN"/>
        </w:rPr>
      </w:pPr>
      <w:bookmarkStart w:id="44" w:name="_Toc13420"/>
      <w:r>
        <w:rPr>
          <w:rStyle w:val="16"/>
          <w:rFonts w:hint="eastAsia" w:ascii="仿宋" w:hAnsi="仿宋" w:eastAsia="仿宋"/>
          <w:b w:val="0"/>
          <w:bCs w:val="0"/>
          <w:color w:val="auto"/>
          <w:highlight w:val="none"/>
        </w:rPr>
        <w:t>十三、</w:t>
      </w:r>
      <w:r>
        <w:rPr>
          <w:rStyle w:val="16"/>
          <w:rFonts w:hint="eastAsia" w:ascii="仿宋" w:hAnsi="仿宋" w:eastAsia="仿宋"/>
          <w:b w:val="0"/>
          <w:bCs w:val="0"/>
          <w:color w:val="auto"/>
          <w:highlight w:val="none"/>
          <w:lang w:eastAsia="zh-CN"/>
        </w:rPr>
        <w:t>财政拨款“三公”经费支出决算表</w:t>
      </w:r>
      <w:bookmarkEnd w:id="44"/>
    </w:p>
    <w:p w14:paraId="22BA98D5">
      <w:pPr>
        <w:pStyle w:val="6"/>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89C20A-2310-49C1-A40F-40BD09A567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76B4075-4BE4-417E-9EBF-54281C807D23}"/>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6A5826F-2B19-4227-ABFD-CD3F8C73CE0C}"/>
  </w:font>
  <w:font w:name="仿宋">
    <w:panose1 w:val="02010609060101010101"/>
    <w:charset w:val="86"/>
    <w:family w:val="modern"/>
    <w:pitch w:val="default"/>
    <w:sig w:usb0="800002BF" w:usb1="38CF7CFA" w:usb2="00000016" w:usb3="00000000" w:csb0="00040001" w:csb1="00000000"/>
    <w:embedRegular r:id="rId4" w:fontKey="{854787D3-D24C-4B7F-82F4-3B43D96FE6C3}"/>
  </w:font>
  <w:font w:name="方正小标宋简体">
    <w:panose1 w:val="02000000000000000000"/>
    <w:charset w:val="86"/>
    <w:family w:val="script"/>
    <w:pitch w:val="default"/>
    <w:sig w:usb0="00000001" w:usb1="08000000" w:usb2="00000000" w:usb3="00000000" w:csb0="00040000" w:csb1="00000000"/>
    <w:embedRegular r:id="rId5" w:fontKey="{3A6A7913-5EAA-44DA-A267-38106F1BFDB7}"/>
  </w:font>
  <w:font w:name="微软雅黑">
    <w:panose1 w:val="020B0503020204020204"/>
    <w:charset w:val="86"/>
    <w:family w:val="auto"/>
    <w:pitch w:val="default"/>
    <w:sig w:usb0="80000287" w:usb1="280F3C52" w:usb2="00000016" w:usb3="00000000" w:csb0="0004001F" w:csb1="00000000"/>
    <w:embedRegular r:id="rId6" w:fontKey="{A67F1B99-E720-435D-B2C4-D14DABEBBB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A4D1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022B1">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A022B1">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1B3C7"/>
    <w:multiLevelType w:val="singleLevel"/>
    <w:tmpl w:val="92E1B3C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ZmY5ZWJlMzA4ZmYxOWMzM2U4MDk1MzhhOGMxN2YifQ=="/>
  </w:docVars>
  <w:rsids>
    <w:rsidRoot w:val="00000000"/>
    <w:rsid w:val="01E16E78"/>
    <w:rsid w:val="027A6166"/>
    <w:rsid w:val="02A20E4E"/>
    <w:rsid w:val="03B24C65"/>
    <w:rsid w:val="04864E29"/>
    <w:rsid w:val="08966904"/>
    <w:rsid w:val="08B66FA6"/>
    <w:rsid w:val="09093859"/>
    <w:rsid w:val="096B4234"/>
    <w:rsid w:val="0A187F18"/>
    <w:rsid w:val="0A7B2255"/>
    <w:rsid w:val="0AA95419"/>
    <w:rsid w:val="0C6311F3"/>
    <w:rsid w:val="0DC8760A"/>
    <w:rsid w:val="0E8F75E8"/>
    <w:rsid w:val="0E9E03B7"/>
    <w:rsid w:val="10B43302"/>
    <w:rsid w:val="11034D52"/>
    <w:rsid w:val="110F36F7"/>
    <w:rsid w:val="14AA3E63"/>
    <w:rsid w:val="14BB6914"/>
    <w:rsid w:val="15DA2525"/>
    <w:rsid w:val="178C784F"/>
    <w:rsid w:val="19947D65"/>
    <w:rsid w:val="1A3A17E5"/>
    <w:rsid w:val="1C3D55BC"/>
    <w:rsid w:val="1F89225F"/>
    <w:rsid w:val="2140044F"/>
    <w:rsid w:val="21B422D8"/>
    <w:rsid w:val="227C4964"/>
    <w:rsid w:val="22853819"/>
    <w:rsid w:val="231F5A1C"/>
    <w:rsid w:val="241E3F25"/>
    <w:rsid w:val="2500362B"/>
    <w:rsid w:val="26FD42C6"/>
    <w:rsid w:val="28445AE8"/>
    <w:rsid w:val="288D1679"/>
    <w:rsid w:val="29AC08FD"/>
    <w:rsid w:val="2CC875CF"/>
    <w:rsid w:val="2D765371"/>
    <w:rsid w:val="2EBB6E67"/>
    <w:rsid w:val="30403475"/>
    <w:rsid w:val="31E87920"/>
    <w:rsid w:val="32674CE9"/>
    <w:rsid w:val="35C12962"/>
    <w:rsid w:val="384A6C3F"/>
    <w:rsid w:val="399F2FBB"/>
    <w:rsid w:val="3B4B164C"/>
    <w:rsid w:val="409E221E"/>
    <w:rsid w:val="412F10C8"/>
    <w:rsid w:val="426D2097"/>
    <w:rsid w:val="427C658F"/>
    <w:rsid w:val="45594965"/>
    <w:rsid w:val="45BC4EF4"/>
    <w:rsid w:val="465F5FAB"/>
    <w:rsid w:val="46D2630B"/>
    <w:rsid w:val="47F81380"/>
    <w:rsid w:val="4BB71E02"/>
    <w:rsid w:val="4C3752D5"/>
    <w:rsid w:val="51126AE7"/>
    <w:rsid w:val="55067F3A"/>
    <w:rsid w:val="55CC2F32"/>
    <w:rsid w:val="56336B0D"/>
    <w:rsid w:val="580249E9"/>
    <w:rsid w:val="584B2834"/>
    <w:rsid w:val="58F76517"/>
    <w:rsid w:val="59287B69"/>
    <w:rsid w:val="5C423F4D"/>
    <w:rsid w:val="5D5201C0"/>
    <w:rsid w:val="5DD40BD5"/>
    <w:rsid w:val="5E8C670C"/>
    <w:rsid w:val="5F6D308F"/>
    <w:rsid w:val="60842BA5"/>
    <w:rsid w:val="629E5C56"/>
    <w:rsid w:val="630A4F0D"/>
    <w:rsid w:val="657442F1"/>
    <w:rsid w:val="66AD46B9"/>
    <w:rsid w:val="67332E10"/>
    <w:rsid w:val="6A4175F2"/>
    <w:rsid w:val="6AF428B7"/>
    <w:rsid w:val="6BB12556"/>
    <w:rsid w:val="6E0E1EE1"/>
    <w:rsid w:val="6FAF14A2"/>
    <w:rsid w:val="702C2AF3"/>
    <w:rsid w:val="712D6B22"/>
    <w:rsid w:val="71CC00E9"/>
    <w:rsid w:val="74C4392F"/>
    <w:rsid w:val="74CD5484"/>
    <w:rsid w:val="75023A41"/>
    <w:rsid w:val="757271FA"/>
    <w:rsid w:val="78E75809"/>
    <w:rsid w:val="7B477C43"/>
    <w:rsid w:val="7BE44282"/>
    <w:rsid w:val="7C8F3808"/>
    <w:rsid w:val="7D893333"/>
    <w:rsid w:val="7E9C52E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5">
    <w:name w:val="Body Text Indent"/>
    <w:basedOn w:val="1"/>
    <w:next w:val="6"/>
    <w:qFormat/>
    <w:uiPriority w:val="0"/>
    <w:pPr>
      <w:spacing w:after="120"/>
      <w:ind w:leftChars="200"/>
    </w:pPr>
    <w:rPr>
      <w:rFonts w:ascii="仿宋_GB2312"/>
      <w:szCs w:val="32"/>
    </w:rPr>
  </w:style>
  <w:style w:type="paragraph" w:styleId="6">
    <w:name w:val="Body Text First Indent 2"/>
    <w:basedOn w:val="5"/>
    <w:unhideWhenUsed/>
    <w:qFormat/>
    <w:uiPriority w:val="99"/>
    <w:pPr>
      <w:ind w:firstLine="420" w:firstLineChars="2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99"/>
    <w:rPr>
      <w:b/>
    </w:rPr>
  </w:style>
  <w:style w:type="character" w:customStyle="1" w:styleId="15">
    <w:name w:val="标题 1 Char"/>
    <w:basedOn w:val="13"/>
    <w:link w:val="3"/>
    <w:qFormat/>
    <w:uiPriority w:val="9"/>
    <w:rPr>
      <w:b/>
      <w:bCs/>
      <w:kern w:val="44"/>
      <w:sz w:val="44"/>
      <w:szCs w:val="44"/>
    </w:rPr>
  </w:style>
  <w:style w:type="character" w:customStyle="1" w:styleId="16">
    <w:name w:val="标题 2 Char"/>
    <w:basedOn w:val="13"/>
    <w:link w:val="4"/>
    <w:qFormat/>
    <w:uiPriority w:val="9"/>
    <w:rPr>
      <w:rFonts w:ascii="Cambria" w:hAnsi="Cambria" w:eastAsia="宋体" w:cs="Times New Roman"/>
      <w:b/>
      <w:bCs/>
      <w:sz w:val="32"/>
      <w:szCs w:val="32"/>
    </w:rPr>
  </w:style>
  <w:style w:type="paragraph" w:styleId="17">
    <w:name w:val="List Paragraph"/>
    <w:basedOn w:val="1"/>
    <w:qFormat/>
    <w:uiPriority w:val="34"/>
    <w:pPr>
      <w:ind w:firstLine="420" w:firstLineChars="200"/>
    </w:p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Administrator\Desktop\&#33609;&#31295;&#3244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3609;&#31295;&#3244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3609;&#31295;&#3244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2.xml"/><Relationship Id="rId1" Type="http://schemas.openxmlformats.org/officeDocument/2006/relationships/oleObject" Target="file:///C:\Users\Administrator\Desktop\&#33609;&#31295;&#3244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3609;&#31295;&#3244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3609;&#31295;&#3244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3609;&#31295;&#324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收入支出决算总计变动情况</a:t>
            </a:r>
            <a:endParaRPr b="0"/>
          </a:p>
        </c:rich>
      </c:tx>
      <c:layout/>
      <c:overlay val="0"/>
      <c:spPr>
        <a:noFill/>
        <a:ln>
          <a:noFill/>
        </a:ln>
        <a:effectLst/>
      </c:spPr>
    </c:title>
    <c:autoTitleDeleted val="0"/>
    <c:plotArea>
      <c:layout/>
      <c:barChart>
        <c:barDir val="col"/>
        <c:grouping val="clustered"/>
        <c:varyColors val="0"/>
        <c:ser>
          <c:idx val="0"/>
          <c:order val="0"/>
          <c:spPr>
            <a:gradFill>
              <a:gsLst>
                <a:gs pos="50000">
                  <a:schemeClr val="accent1"/>
                </a:gs>
                <a:gs pos="0">
                  <a:schemeClr val="accent1">
                    <a:lumMod val="25000"/>
                    <a:lumOff val="75000"/>
                  </a:schemeClr>
                </a:gs>
                <a:gs pos="100000">
                  <a:schemeClr val="accent1">
                    <a:lumMod val="85000"/>
                  </a:schemeClr>
                </a:gs>
              </a:gsLst>
              <a:lin ang="5400000" scaled="1"/>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'[草稿纸.xlsx]2023年决算变动情况图'!$A$1:$D$1</c:f>
              <c:strCache>
                <c:ptCount val="4"/>
                <c:pt idx="0">
                  <c:v>2022年收入</c:v>
                </c:pt>
                <c:pt idx="1">
                  <c:v>2023年收入</c:v>
                </c:pt>
                <c:pt idx="2">
                  <c:v>2022年支出</c:v>
                </c:pt>
                <c:pt idx="3">
                  <c:v>2023年支出</c:v>
                </c:pt>
              </c:strCache>
            </c:strRef>
          </c:cat>
          <c:val>
            <c:numRef>
              <c:f>'[草稿纸.xlsx]2023年决算变动情况图'!$A$2:$D$2</c:f>
              <c:numCache>
                <c:formatCode>General</c:formatCode>
                <c:ptCount val="4"/>
                <c:pt idx="0">
                  <c:v>3969.37</c:v>
                </c:pt>
                <c:pt idx="1">
                  <c:v>2016.89</c:v>
                </c:pt>
                <c:pt idx="2">
                  <c:v>4036.45</c:v>
                </c:pt>
                <c:pt idx="3">
                  <c:v>2016.89</c:v>
                </c:pt>
              </c:numCache>
            </c:numRef>
          </c:val>
        </c:ser>
        <c:dLbls>
          <c:showLegendKey val="0"/>
          <c:showVal val="1"/>
          <c:showCatName val="0"/>
          <c:showSerName val="0"/>
          <c:showPercent val="0"/>
          <c:showBubbleSize val="0"/>
        </c:dLbls>
        <c:gapWidth val="246"/>
        <c:overlap val="-28"/>
        <c:axId val="346871605"/>
        <c:axId val="695904900"/>
      </c:barChart>
      <c:catAx>
        <c:axId val="3468716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5904900"/>
        <c:crosses val="autoZero"/>
        <c:auto val="1"/>
        <c:lblAlgn val="ctr"/>
        <c:lblOffset val="100"/>
        <c:noMultiLvlLbl val="0"/>
      </c:catAx>
      <c:valAx>
        <c:axId val="69590490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68716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1"/>
              <a:t>收入决算结构图</a:t>
            </a:r>
            <a:endParaRPr b="1"/>
          </a:p>
        </c:rich>
      </c:tx>
      <c:layout/>
      <c:overlay val="0"/>
      <c:spPr>
        <a:noFill/>
        <a:ln>
          <a:noFill/>
        </a:ln>
        <a:effectLst/>
      </c:spPr>
    </c:title>
    <c:autoTitleDeleted val="0"/>
    <c:plotArea>
      <c:layout/>
      <c:pieChart>
        <c:varyColors val="1"/>
        <c:ser>
          <c:idx val="0"/>
          <c:order val="0"/>
          <c:spPr>
            <a:solidFill>
              <a:schemeClr val="accent1">
                <a:lumMod val="75000"/>
              </a:schemeClr>
            </a:solidFill>
          </c:spPr>
          <c:explosion val="0"/>
          <c:dPt>
            <c:idx val="0"/>
            <c:bubble3D val="0"/>
            <c:spPr>
              <a:gradFill>
                <a:gsLst>
                  <a:gs pos="50000">
                    <a:schemeClr val="accent1"/>
                  </a:gs>
                  <a:gs pos="0">
                    <a:schemeClr val="accent1">
                      <a:lumMod val="25000"/>
                      <a:lumOff val="75000"/>
                    </a:schemeClr>
                  </a:gs>
                  <a:gs pos="100000">
                    <a:schemeClr val="accent1">
                      <a:lumMod val="85000"/>
                    </a:schemeClr>
                  </a:gs>
                </a:gsLst>
                <a:lin ang="5400000" scaled="1"/>
              </a:gradFill>
              <a:ln>
                <a:solidFill>
                  <a:schemeClr val="bg1"/>
                </a:solidFill>
              </a:ln>
              <a:effectLst/>
            </c:spPr>
          </c:dPt>
          <c:dPt>
            <c:idx val="1"/>
            <c:bubble3D val="0"/>
            <c:spPr>
              <a:gradFill>
                <a:gsLst>
                  <a:gs pos="50000">
                    <a:schemeClr val="accent6"/>
                  </a:gs>
                  <a:gs pos="0">
                    <a:schemeClr val="accent6">
                      <a:lumMod val="25000"/>
                      <a:lumOff val="75000"/>
                    </a:schemeClr>
                  </a:gs>
                  <a:gs pos="100000">
                    <a:schemeClr val="accent6">
                      <a:lumMod val="85000"/>
                    </a:schemeClr>
                  </a:gs>
                </a:gsLst>
                <a:lin ang="5400000" scaled="1"/>
              </a:gradFill>
              <a:ln>
                <a:solidFill>
                  <a:schemeClr val="bg1"/>
                </a:solidFill>
              </a:ln>
              <a:effectLst/>
            </c:spPr>
          </c:dPt>
          <c:dLbls>
            <c:dLbl>
              <c:idx val="0"/>
              <c:layout>
                <c:manualLayout>
                  <c:x val="-0.131729264705058"/>
                  <c:y val="0.03669350747168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5156983927186"/>
                  <c:y val="-0.10447474601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'[草稿纸.xlsx]2023年决算变动情况图'!$H$1:$I$1</c:f>
              <c:strCache>
                <c:ptCount val="2"/>
                <c:pt idx="0">
                  <c:v>一般公共预算财政拨款收入</c:v>
                </c:pt>
                <c:pt idx="1">
                  <c:v>其他收入</c:v>
                </c:pt>
              </c:strCache>
            </c:strRef>
          </c:cat>
          <c:val>
            <c:numRef>
              <c:f>'[草稿纸.xlsx]2023年决算变动情况图'!$H$2:$I$2</c:f>
              <c:numCache>
                <c:formatCode>0.0%</c:formatCode>
                <c:ptCount val="2"/>
                <c:pt idx="0">
                  <c:v>0.378483705110343</c:v>
                </c:pt>
                <c:pt idx="1">
                  <c:v>0.621511336761053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a:gradFill>
              <a:gsLst>
                <a:gs pos="42000">
                  <a:srgbClr val="EC5763"/>
                </a:gs>
                <a:gs pos="0">
                  <a:srgbClr val="F28F97"/>
                </a:gs>
                <a:gs pos="100000">
                  <a:srgbClr val="E51E2E"/>
                </a:gs>
              </a:gsLst>
              <a:lin ang="5400000" scaled="1"/>
            </a:gradFill>
          </c:spPr>
          <c:explosion val="0"/>
          <c:dPt>
            <c:idx val="0"/>
            <c:bubble3D val="0"/>
            <c:spPr>
              <a:gradFill>
                <a:gsLst>
                  <a:gs pos="50000">
                    <a:srgbClr val="425FDF"/>
                  </a:gs>
                  <a:gs pos="0">
                    <a:srgbClr val="2835B6"/>
                  </a:gs>
                  <a:gs pos="99000">
                    <a:srgbClr val="7490FE"/>
                  </a:gs>
                </a:gsLst>
                <a:lin ang="16200000" scaled="0"/>
              </a:gradFill>
              <a:ln>
                <a:gradFill>
                  <a:gsLst>
                    <a:gs pos="50000">
                      <a:srgbClr val="425FDF"/>
                    </a:gs>
                    <a:gs pos="0">
                      <a:srgbClr val="2835B6"/>
                    </a:gs>
                    <a:gs pos="99000">
                      <a:srgbClr val="7490FE"/>
                    </a:gs>
                  </a:gsLst>
                  <a:lin ang="16200000" scaled="0"/>
                </a:gradFill>
              </a:ln>
              <a:effectLst/>
            </c:spPr>
          </c:dPt>
          <c:dPt>
            <c:idx val="1"/>
            <c:bubble3D val="0"/>
            <c:spPr>
              <a:gradFill>
                <a:gsLst>
                  <a:gs pos="42000">
                    <a:srgbClr val="EC5763"/>
                  </a:gs>
                  <a:gs pos="0">
                    <a:srgbClr val="F28F97"/>
                  </a:gs>
                  <a:gs pos="100000">
                    <a:srgbClr val="E51E2E"/>
                  </a:gs>
                </a:gsLst>
                <a:lin ang="5400000" scaled="1"/>
              </a:gra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'[草稿纸.xlsx]2023年决算变动情况图'!$K$1:$L$1</c:f>
              <c:strCache>
                <c:ptCount val="2"/>
                <c:pt idx="0">
                  <c:v>基本支出</c:v>
                </c:pt>
                <c:pt idx="1">
                  <c:v>项目支出</c:v>
                </c:pt>
              </c:strCache>
            </c:strRef>
          </c:cat>
          <c:val>
            <c:numRef>
              <c:f>'[草稿纸.xlsx]2023年决算变动情况图'!$K$2:$L$2</c:f>
              <c:numCache>
                <c:formatCode>0.0%</c:formatCode>
                <c:ptCount val="2"/>
                <c:pt idx="0">
                  <c:v>0.481439245571152</c:v>
                </c:pt>
                <c:pt idx="1">
                  <c:v>0.518560754428848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财政拨款收、支决算总计变动情况</a:t>
            </a:r>
            <a:endParaRPr b="0"/>
          </a:p>
        </c:rich>
      </c:tx>
      <c:layout/>
      <c:overlay val="0"/>
      <c:spPr>
        <a:noFill/>
        <a:ln>
          <a:noFill/>
        </a:ln>
        <a:effectLst/>
      </c:spPr>
    </c:title>
    <c:autoTitleDeleted val="0"/>
    <c:plotArea>
      <c:layout/>
      <c:barChart>
        <c:barDir val="col"/>
        <c:grouping val="clustered"/>
        <c:varyColors val="0"/>
        <c:ser>
          <c:idx val="0"/>
          <c:order val="0"/>
          <c:spPr>
            <a:gradFill>
              <a:gsLst>
                <a:gs pos="50000">
                  <a:schemeClr val="accent1"/>
                </a:gs>
                <a:gs pos="0">
                  <a:schemeClr val="accent1">
                    <a:lumMod val="25000"/>
                    <a:lumOff val="75000"/>
                  </a:schemeClr>
                </a:gs>
                <a:gs pos="100000">
                  <a:schemeClr val="accent1">
                    <a:lumMod val="85000"/>
                  </a:schemeClr>
                </a:gs>
              </a:gsLst>
              <a:lin ang="5400000" scaled="1"/>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'[草稿纸.xlsx]2023年决算变动情况图'!$A$22:$D$22</c:f>
              <c:strCache>
                <c:ptCount val="4"/>
                <c:pt idx="0">
                  <c:v>2022年财政拨款收入</c:v>
                </c:pt>
                <c:pt idx="1">
                  <c:v>2023年财政拨款收入</c:v>
                </c:pt>
                <c:pt idx="2">
                  <c:v>2022年财政拨款支出</c:v>
                </c:pt>
                <c:pt idx="3">
                  <c:v>2023年财政拨款支出</c:v>
                </c:pt>
              </c:strCache>
            </c:strRef>
          </c:cat>
          <c:val>
            <c:numRef>
              <c:f>'[草稿纸.xlsx]2023年决算变动情况图'!$A$23:$D$23</c:f>
              <c:numCache>
                <c:formatCode>General</c:formatCode>
                <c:ptCount val="4"/>
                <c:pt idx="0">
                  <c:v>805.49</c:v>
                </c:pt>
                <c:pt idx="1">
                  <c:v>763.36</c:v>
                </c:pt>
                <c:pt idx="2">
                  <c:v>805.49</c:v>
                </c:pt>
                <c:pt idx="3">
                  <c:v>763.36</c:v>
                </c:pt>
              </c:numCache>
            </c:numRef>
          </c:val>
        </c:ser>
        <c:dLbls>
          <c:showLegendKey val="0"/>
          <c:showVal val="1"/>
          <c:showCatName val="0"/>
          <c:showSerName val="0"/>
          <c:showPercent val="0"/>
          <c:showBubbleSize val="0"/>
        </c:dLbls>
        <c:gapWidth val="246"/>
        <c:overlap val="-28"/>
        <c:axId val="237984946"/>
        <c:axId val="575298420"/>
      </c:barChart>
      <c:catAx>
        <c:axId val="2379849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298420"/>
        <c:crosses val="autoZero"/>
        <c:auto val="1"/>
        <c:lblAlgn val="ctr"/>
        <c:lblOffset val="100"/>
        <c:noMultiLvlLbl val="0"/>
      </c:catAx>
      <c:valAx>
        <c:axId val="57529842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9849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一般公共预算财政拨款支出决算变动情况</a:t>
            </a:r>
            <a:endParaRPr b="0"/>
          </a:p>
        </c:rich>
      </c:tx>
      <c:layout/>
      <c:overlay val="0"/>
      <c:spPr>
        <a:noFill/>
        <a:ln>
          <a:noFill/>
        </a:ln>
        <a:effectLst/>
      </c:spPr>
    </c:title>
    <c:autoTitleDeleted val="0"/>
    <c:plotArea>
      <c:layout/>
      <c:barChart>
        <c:barDir val="col"/>
        <c:grouping val="clustered"/>
        <c:varyColors val="0"/>
        <c:ser>
          <c:idx val="0"/>
          <c:order val="0"/>
          <c:spPr>
            <a:gradFill>
              <a:gsLst>
                <a:gs pos="50000">
                  <a:schemeClr val="accent1"/>
                </a:gs>
                <a:gs pos="0">
                  <a:schemeClr val="accent1">
                    <a:lumMod val="25000"/>
                    <a:lumOff val="75000"/>
                  </a:schemeClr>
                </a:gs>
                <a:gs pos="100000">
                  <a:schemeClr val="accent1">
                    <a:lumMod val="85000"/>
                  </a:schemeClr>
                </a:gs>
              </a:gsLst>
              <a:lin ang="5400000" scaled="1"/>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'[草稿纸.xlsx]2023年决算变动情况图'!$H$22:$I$22</c:f>
              <c:strCache>
                <c:ptCount val="2"/>
                <c:pt idx="0">
                  <c:v>2022年一般公共预算财政拨款支出</c:v>
                </c:pt>
                <c:pt idx="1">
                  <c:v>2023年一般公共预算财政拨款支出</c:v>
                </c:pt>
              </c:strCache>
            </c:strRef>
          </c:cat>
          <c:val>
            <c:numRef>
              <c:f>'[草稿纸.xlsx]2023年决算变动情况图'!$H$23:$I$23</c:f>
              <c:numCache>
                <c:formatCode>General</c:formatCode>
                <c:ptCount val="2"/>
                <c:pt idx="0">
                  <c:v>805.49</c:v>
                </c:pt>
                <c:pt idx="1">
                  <c:v>763.36</c:v>
                </c:pt>
              </c:numCache>
            </c:numRef>
          </c:val>
        </c:ser>
        <c:dLbls>
          <c:showLegendKey val="0"/>
          <c:showVal val="1"/>
          <c:showCatName val="0"/>
          <c:showSerName val="0"/>
          <c:showPercent val="0"/>
          <c:showBubbleSize val="0"/>
        </c:dLbls>
        <c:gapWidth val="246"/>
        <c:overlap val="-28"/>
        <c:axId val="386211119"/>
        <c:axId val="505328297"/>
      </c:barChart>
      <c:catAx>
        <c:axId val="3862111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328297"/>
        <c:crosses val="autoZero"/>
        <c:auto val="1"/>
        <c:lblAlgn val="ctr"/>
        <c:lblOffset val="100"/>
        <c:noMultiLvlLbl val="0"/>
      </c:catAx>
      <c:valAx>
        <c:axId val="50532829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211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一般公共预算财政拨款支出决算结构</a:t>
            </a:r>
            <a:endParaRPr b="0"/>
          </a:p>
        </c:rich>
      </c:tx>
      <c:layout/>
      <c:overlay val="0"/>
      <c:spPr>
        <a:noFill/>
        <a:ln>
          <a:noFill/>
        </a:ln>
        <a:effectLst/>
      </c:spPr>
    </c:title>
    <c:autoTitleDeleted val="0"/>
    <c:plotArea>
      <c:layout/>
      <c:pieChart>
        <c:varyColors val="1"/>
        <c:ser>
          <c:idx val="0"/>
          <c:order val="0"/>
          <c:spPr>
            <a:gradFill>
              <a:gsLst>
                <a:gs pos="50000">
                  <a:schemeClr val="accent1"/>
                </a:gs>
                <a:gs pos="0">
                  <a:schemeClr val="accent1">
                    <a:lumMod val="25000"/>
                    <a:lumOff val="75000"/>
                  </a:schemeClr>
                </a:gs>
                <a:gs pos="100000">
                  <a:schemeClr val="accent1">
                    <a:lumMod val="85000"/>
                  </a:schemeClr>
                </a:gs>
              </a:gsLst>
              <a:lin ang="5400000" scaled="1"/>
            </a:gradFill>
          </c:spPr>
          <c:explosion val="0"/>
          <c:dPt>
            <c:idx val="0"/>
            <c:bubble3D val="0"/>
            <c:spPr>
              <a:gradFill>
                <a:gsLst>
                  <a:gs pos="50000">
                    <a:schemeClr val="accent1"/>
                  </a:gs>
                  <a:gs pos="0">
                    <a:schemeClr val="accent1">
                      <a:lumMod val="25000"/>
                      <a:lumOff val="75000"/>
                    </a:schemeClr>
                  </a:gs>
                  <a:gs pos="100000">
                    <a:schemeClr val="accent1">
                      <a:lumMod val="85000"/>
                    </a:schemeClr>
                  </a:gs>
                </a:gsLst>
                <a:lin ang="5400000" scaled="1"/>
              </a:gradFill>
              <a:ln>
                <a:solidFill>
                  <a:schemeClr val="bg1"/>
                </a:solidFill>
              </a:ln>
              <a:effectLst/>
            </c:spPr>
          </c:dPt>
          <c:dPt>
            <c:idx val="1"/>
            <c:bubble3D val="0"/>
            <c:spPr>
              <a:gradFill>
                <a:gsLst>
                  <a:gs pos="50000">
                    <a:schemeClr val="accent2"/>
                  </a:gs>
                  <a:gs pos="0">
                    <a:schemeClr val="accent2">
                      <a:lumMod val="25000"/>
                      <a:lumOff val="75000"/>
                    </a:schemeClr>
                  </a:gs>
                  <a:gs pos="100000">
                    <a:schemeClr val="accent2">
                      <a:lumMod val="85000"/>
                    </a:schemeClr>
                  </a:gs>
                </a:gsLst>
                <a:lin ang="5400000" scaled="1"/>
              </a:gradFill>
              <a:ln>
                <a:solidFill>
                  <a:schemeClr val="bg1"/>
                </a:solidFill>
              </a:ln>
              <a:effectLst/>
            </c:spPr>
          </c:dPt>
          <c:dPt>
            <c:idx val="2"/>
            <c:bubble3D val="0"/>
            <c:spPr>
              <a:gradFill>
                <a:gsLst>
                  <a:gs pos="50000">
                    <a:schemeClr val="accent6"/>
                  </a:gs>
                  <a:gs pos="0">
                    <a:schemeClr val="accent6">
                      <a:lumMod val="25000"/>
                      <a:lumOff val="75000"/>
                    </a:schemeClr>
                  </a:gs>
                  <a:gs pos="100000">
                    <a:schemeClr val="accent6">
                      <a:lumMod val="85000"/>
                    </a:schemeClr>
                  </a:gs>
                </a:gsLst>
                <a:lin ang="5400000" scaled="1"/>
              </a:gra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'[草稿纸.xlsx]2023年决算变动情况图'!$K$22:$M$22</c:f>
              <c:strCache>
                <c:ptCount val="3"/>
                <c:pt idx="0">
                  <c:v>社会保障和就业支出</c:v>
                </c:pt>
                <c:pt idx="1">
                  <c:v>卫生健康支出</c:v>
                </c:pt>
                <c:pt idx="2">
                  <c:v>节能环保支出</c:v>
                </c:pt>
              </c:strCache>
            </c:strRef>
          </c:cat>
          <c:val>
            <c:numRef>
              <c:f>'[草稿纸.xlsx]2023年决算变动情况图'!$K$23:$M$23</c:f>
              <c:numCache>
                <c:formatCode>0.0%</c:formatCode>
                <c:ptCount val="3"/>
                <c:pt idx="0">
                  <c:v>0.101118738210019</c:v>
                </c:pt>
                <c:pt idx="1">
                  <c:v>0.0388676378117795</c:v>
                </c:pt>
                <c:pt idx="2" c:formatCode="0%">
                  <c:v>0.860026723957242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“三公”经费财政拨款支出结构</a:t>
            </a:r>
            <a:endParaRPr b="0"/>
          </a:p>
        </c:rich>
      </c:tx>
      <c:layout/>
      <c:overlay val="0"/>
      <c:spPr>
        <a:noFill/>
        <a:ln>
          <a:noFill/>
        </a:ln>
        <a:effectLst/>
      </c:spPr>
    </c:title>
    <c:autoTitleDeleted val="0"/>
    <c:plotArea>
      <c:layout/>
      <c:pieChart>
        <c:varyColors val="1"/>
        <c:ser>
          <c:idx val="0"/>
          <c:order val="0"/>
          <c:spPr>
            <a:gradFill>
              <a:gsLst>
                <a:gs pos="50000">
                  <a:schemeClr val="accent2"/>
                </a:gs>
                <a:gs pos="0">
                  <a:schemeClr val="accent2">
                    <a:lumMod val="25000"/>
                    <a:lumOff val="75000"/>
                  </a:schemeClr>
                </a:gs>
                <a:gs pos="100000">
                  <a:schemeClr val="accent2">
                    <a:lumMod val="85000"/>
                  </a:schemeClr>
                </a:gs>
              </a:gsLst>
              <a:lin ang="5400000" scaled="1"/>
            </a:gradFill>
          </c:spPr>
          <c:explosion val="0"/>
          <c:dPt>
            <c:idx val="0"/>
            <c:bubble3D val="0"/>
            <c:spPr>
              <a:gradFill>
                <a:gsLst>
                  <a:gs pos="50000">
                    <a:schemeClr val="accent2"/>
                  </a:gs>
                  <a:gs pos="0">
                    <a:schemeClr val="accent2">
                      <a:lumMod val="25000"/>
                      <a:lumOff val="75000"/>
                    </a:schemeClr>
                  </a:gs>
                  <a:gs pos="100000">
                    <a:schemeClr val="accent2">
                      <a:lumMod val="85000"/>
                    </a:schemeClr>
                  </a:gs>
                </a:gsLst>
                <a:lin ang="5400000" scaled="1"/>
              </a:gradFill>
              <a:ln>
                <a:solidFill>
                  <a:schemeClr val="bg1"/>
                </a:solidFill>
              </a:ln>
              <a:effectLst/>
            </c:spPr>
          </c:dPt>
          <c:dPt>
            <c:idx val="1"/>
            <c:bubble3D val="0"/>
            <c:spPr>
              <a:gradFill>
                <a:gsLst>
                  <a:gs pos="50000">
                    <a:schemeClr val="accent6"/>
                  </a:gs>
                  <a:gs pos="0">
                    <a:schemeClr val="accent6">
                      <a:lumMod val="25000"/>
                      <a:lumOff val="75000"/>
                    </a:schemeClr>
                  </a:gs>
                  <a:gs pos="100000">
                    <a:schemeClr val="accent6">
                      <a:lumMod val="85000"/>
                    </a:schemeClr>
                  </a:gs>
                </a:gsLst>
                <a:lin ang="5400000" scaled="1"/>
              </a:gradFill>
              <a:ln>
                <a:solidFill>
                  <a:schemeClr val="bg1"/>
                </a:solidFill>
              </a:ln>
              <a:effectLst/>
            </c:spPr>
          </c:dPt>
          <c:dPt>
            <c:idx val="2"/>
            <c:bubble3D val="0"/>
            <c:spPr>
              <a:gradFill>
                <a:gsLst>
                  <a:gs pos="50000">
                    <a:schemeClr val="accent1"/>
                  </a:gs>
                  <a:gs pos="0">
                    <a:schemeClr val="accent1">
                      <a:lumMod val="25000"/>
                      <a:lumOff val="75000"/>
                    </a:schemeClr>
                  </a:gs>
                  <a:gs pos="100000">
                    <a:schemeClr val="accent1">
                      <a:lumMod val="85000"/>
                    </a:schemeClr>
                  </a:gs>
                </a:gsLst>
                <a:lin ang="5400000" scaled="1"/>
              </a:gra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'[草稿纸.xlsx]2023年决算变动情况图'!$A$42:$C$42</c:f>
              <c:strCache>
                <c:ptCount val="3"/>
                <c:pt idx="0">
                  <c:v>因公出国（境）费支出决算</c:v>
                </c:pt>
                <c:pt idx="1">
                  <c:v>公务用车购置及运行维护费支出决算</c:v>
                </c:pt>
                <c:pt idx="2">
                  <c:v>公务接待费支出决算</c:v>
                </c:pt>
              </c:strCache>
            </c:strRef>
          </c:cat>
          <c:val>
            <c:numRef>
              <c:f>'[草稿纸.xlsx]2023年决算变动情况图'!$A$43:$C$43</c:f>
              <c:numCache>
                <c:formatCode>0%</c:formatCode>
                <c:ptCount val="3"/>
                <c:pt idx="0">
                  <c:v>0</c:v>
                </c:pt>
                <c:pt idx="1" c:formatCode="0.0%">
                  <c:v>0.851063829787234</c:v>
                </c:pt>
                <c:pt idx="2" c:formatCode="0.0%">
                  <c:v>0.148936170212766</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'[草稿纸.xlsx]2023年决算变动情况图'!$A$42:$C$42</c:f>
              <c:strCache>
                <c:ptCount val="3"/>
                <c:pt idx="0">
                  <c:v>因公出国（境）费支出决算</c:v>
                </c:pt>
                <c:pt idx="1">
                  <c:v>公务用车购置及运行维护费支出决算</c:v>
                </c:pt>
                <c:pt idx="2">
                  <c:v>公务接待费支出决算</c:v>
                </c:pt>
              </c:strCache>
            </c:strRef>
          </c:cat>
          <c:val>
            <c:numRef>
              <c:f>'[草稿纸.xlsx]2023年决算变动情况图'!$A$44:$C$44</c:f>
              <c:numCache>
                <c:formatCode>General</c:formatCode>
                <c:ptCount val="3"/>
                <c:pt idx="0">
                  <c:v>0</c:v>
                </c:pt>
                <c:pt idx="1">
                  <c:v>16</c:v>
                </c:pt>
                <c:pt idx="2">
                  <c:v>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568232662192394"/>
          <c:y val="0.113425925925926"/>
          <c:w val="0.427819449927622"/>
          <c:h val="0.17361111111111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0.801315789473684</cdr:x>
      <cdr:y>0.025462962962963</cdr:y>
    </cdr:from>
    <cdr:to>
      <cdr:x>0.967105263157895</cdr:x>
      <cdr:y>0.122685185185185</cdr:y>
    </cdr:to>
    <cdr:sp>
      <cdr:nvSpPr>
        <cdr:cNvPr id="2" name="矩形 1"/>
        <cdr:cNvSpPr/>
      </cdr:nvSpPr>
      <cdr:spPr xmlns:a="http://schemas.openxmlformats.org/drawingml/2006/main">
        <a:xfrm xmlns:a="http://schemas.openxmlformats.org/drawingml/2006/main">
          <a:off x="3867150" y="69850"/>
          <a:ext cx="800100" cy="26670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0.764210526315789</cdr:x>
      <cdr:y>0.0222222222222222</cdr:y>
    </cdr:from>
    <cdr:to>
      <cdr:x>1</cdr:x>
      <cdr:y>0.146801346801347</cdr:y>
    </cdr:to>
    <cdr:sp>
      <cdr:nvSpPr>
        <cdr:cNvPr id="3" name="矩形 2"/>
        <cdr:cNvSpPr/>
      </cdr:nvSpPr>
      <cdr:spPr xmlns:a="http://schemas.openxmlformats.org/drawingml/2006/main">
        <a:xfrm xmlns:a="http://schemas.openxmlformats.org/drawingml/2006/main">
          <a:off x="3688080" y="62865"/>
          <a:ext cx="1137920" cy="35242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1200" b="1"/>
            <a:t>       </a:t>
          </a:r>
          <a:r>
            <a:rPr lang="zh-CN" altLang="en-US" sz="1000" b="1"/>
            <a:t>单位：万元</a:t>
          </a:r>
          <a:endParaRPr lang="zh-CN" altLang="en-US" sz="1000" b="1"/>
        </a:p>
      </cdr:txBody>
    </cdr:sp>
  </cdr:relSizeAnchor>
</c:userShapes>
</file>

<file path=word/drawings/drawing2.xml><?xml version="1.0" encoding="utf-8"?>
<c:userShapes xmlns:c="http://schemas.openxmlformats.org/drawingml/2006/chart">
  <cdr:relSizeAnchor xmlns:cdr="http://schemas.openxmlformats.org/drawingml/2006/chartDrawing">
    <cdr:from>
      <cdr:x>0.821029082774049</cdr:x>
      <cdr:y>0.0256944444444444</cdr:y>
    </cdr:from>
    <cdr:to>
      <cdr:x>0.994604553230688</cdr:x>
      <cdr:y>0.122685185185185</cdr:y>
    </cdr:to>
    <cdr:sp>
      <cdr:nvSpPr>
        <cdr:cNvPr id="2" name="矩形 1"/>
        <cdr:cNvSpPr/>
      </cdr:nvSpPr>
      <cdr:spPr xmlns:a="http://schemas.openxmlformats.org/drawingml/2006/main">
        <a:xfrm xmlns:a="http://schemas.openxmlformats.org/drawingml/2006/main">
          <a:off x="3961765" y="70485"/>
          <a:ext cx="837565" cy="26606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1000" b="1"/>
            <a:t>单位：万元</a:t>
          </a:r>
          <a:endParaRPr lang="zh-CN" altLang="en-US" sz="1000" b="1"/>
        </a:p>
      </cdr:txBody>
    </cdr:sp>
  </cdr:relSizeAnchor>
</c:userShap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10705</Words>
  <Characters>11677</Characters>
  <Lines>0</Lines>
  <Paragraphs>0</Paragraphs>
  <TotalTime>4</TotalTime>
  <ScaleCrop>false</ScaleCrop>
  <LinksUpToDate>false</LinksUpToDate>
  <CharactersWithSpaces>11823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2024-09-05T08:25:00Z</dcterms:created>
  <dc:creator>Administrator</dc:creator>
  <cp:lastModifiedBy>jessan</cp:lastModifiedBy>
  <dcterms:modified xsi:type="dcterms:W3CDTF">2024-10-11T09:03:07Z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24272D44A3344DB3B54D3332CE76F6AE_13</vt:lpwstr>
  </property>
</Properties>
</file>