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38203">
      <w:pPr>
        <w:keepNext w:val="0"/>
        <w:keepLines w:val="0"/>
        <w:pageBreakBefore w:val="0"/>
        <w:widowControl w:val="0"/>
        <w:suppressLineNumbers w:val="0"/>
        <w:tabs>
          <w:tab w:val="left" w:pos="495"/>
          <w:tab w:val="left" w:pos="4230"/>
          <w:tab w:val="left" w:pos="6330"/>
          <w:tab w:val="left" w:pos="7170"/>
          <w:tab w:val="left" w:pos="8025"/>
          <w:tab w:val="left" w:pos="8940"/>
          <w:tab w:val="left" w:pos="9990"/>
          <w:tab w:val="left" w:pos="11070"/>
          <w:tab w:val="left" w:pos="12390"/>
          <w:tab w:val="left" w:pos="13425"/>
          <w:tab w:val="left" w:pos="15090"/>
        </w:tabs>
        <w:kinsoku/>
        <w:wordWrap/>
        <w:overflowPunct/>
        <w:topLinePunct w:val="0"/>
        <w:autoSpaceDE/>
        <w:autoSpaceDN w:val="0"/>
        <w:bidi w:val="0"/>
        <w:adjustRightInd/>
        <w:snapToGrid/>
        <w:jc w:val="center"/>
        <w:textAlignment w:val="center"/>
        <w:rPr>
          <w:rFonts w:hint="default" w:ascii="Times New Roman" w:hAnsi="Times New Roman" w:eastAsia="方正小标宋_GBK" w:cs="Times New Roman"/>
          <w:b w:val="0"/>
          <w:bCs w:val="0"/>
          <w:i w:val="0"/>
          <w:color w:val="000000"/>
          <w:kern w:val="0"/>
          <w:sz w:val="44"/>
          <w:szCs w:val="44"/>
          <w:u w:val="none"/>
          <w:lang w:val="en-US" w:eastAsia="zh-CN" w:bidi="ar"/>
        </w:rPr>
      </w:pPr>
      <w:bookmarkStart w:id="0" w:name="_GoBack"/>
      <w:bookmarkEnd w:id="0"/>
    </w:p>
    <w:p w14:paraId="364C2A75">
      <w:pPr>
        <w:keepNext w:val="0"/>
        <w:keepLines w:val="0"/>
        <w:pageBreakBefore w:val="0"/>
        <w:widowControl w:val="0"/>
        <w:suppressLineNumbers w:val="0"/>
        <w:tabs>
          <w:tab w:val="left" w:pos="495"/>
          <w:tab w:val="left" w:pos="4230"/>
          <w:tab w:val="left" w:pos="6330"/>
          <w:tab w:val="left" w:pos="7170"/>
          <w:tab w:val="left" w:pos="8025"/>
          <w:tab w:val="left" w:pos="8940"/>
          <w:tab w:val="left" w:pos="9990"/>
          <w:tab w:val="left" w:pos="11070"/>
          <w:tab w:val="left" w:pos="12390"/>
          <w:tab w:val="left" w:pos="13425"/>
          <w:tab w:val="left" w:pos="15090"/>
        </w:tabs>
        <w:kinsoku/>
        <w:wordWrap/>
        <w:overflowPunct/>
        <w:topLinePunct w:val="0"/>
        <w:autoSpaceDE/>
        <w:autoSpaceDN w:val="0"/>
        <w:bidi w:val="0"/>
        <w:adjustRightInd/>
        <w:snapToGrid/>
        <w:jc w:val="center"/>
        <w:textAlignment w:val="center"/>
        <w:rPr>
          <w:rFonts w:hint="default" w:ascii="Times New Roman" w:hAnsi="Times New Roman" w:eastAsia="方正小标宋_GBK" w:cs="Times New Roman"/>
          <w:b w:val="0"/>
          <w:bCs w:val="0"/>
          <w:i w:val="0"/>
          <w:color w:val="000000"/>
          <w:kern w:val="0"/>
          <w:sz w:val="44"/>
          <w:szCs w:val="44"/>
          <w:u w:val="none"/>
          <w:lang w:val="en-US" w:eastAsia="zh-CN" w:bidi="ar"/>
        </w:rPr>
      </w:pPr>
    </w:p>
    <w:p w14:paraId="3A6F7259">
      <w:pPr>
        <w:keepNext w:val="0"/>
        <w:keepLines w:val="0"/>
        <w:pageBreakBefore w:val="0"/>
        <w:widowControl w:val="0"/>
        <w:suppressLineNumbers w:val="0"/>
        <w:tabs>
          <w:tab w:val="left" w:pos="495"/>
          <w:tab w:val="left" w:pos="4230"/>
          <w:tab w:val="left" w:pos="6330"/>
          <w:tab w:val="left" w:pos="7170"/>
          <w:tab w:val="left" w:pos="8025"/>
          <w:tab w:val="left" w:pos="8940"/>
          <w:tab w:val="left" w:pos="9990"/>
          <w:tab w:val="left" w:pos="11070"/>
          <w:tab w:val="left" w:pos="12390"/>
          <w:tab w:val="left" w:pos="13425"/>
          <w:tab w:val="left" w:pos="15090"/>
        </w:tabs>
        <w:kinsoku/>
        <w:wordWrap/>
        <w:overflowPunct/>
        <w:topLinePunct w:val="0"/>
        <w:autoSpaceDE/>
        <w:autoSpaceDN w:val="0"/>
        <w:bidi w:val="0"/>
        <w:adjustRightInd/>
        <w:snapToGrid/>
        <w:jc w:val="center"/>
        <w:textAlignment w:val="center"/>
        <w:rPr>
          <w:rFonts w:hint="default" w:ascii="Times New Roman" w:hAnsi="Times New Roman" w:eastAsia="方正小标宋_GBK" w:cs="Times New Roman"/>
          <w:b w:val="0"/>
          <w:bCs w:val="0"/>
          <w:i w:val="0"/>
          <w:color w:val="000000"/>
          <w:kern w:val="0"/>
          <w:sz w:val="44"/>
          <w:szCs w:val="44"/>
          <w:u w:val="none"/>
          <w:lang w:val="en-US" w:eastAsia="zh-CN" w:bidi="ar"/>
        </w:rPr>
      </w:pPr>
    </w:p>
    <w:p w14:paraId="3E9ABFF0">
      <w:pPr>
        <w:keepNext w:val="0"/>
        <w:keepLines w:val="0"/>
        <w:pageBreakBefore w:val="0"/>
        <w:widowControl w:val="0"/>
        <w:suppressLineNumbers w:val="0"/>
        <w:tabs>
          <w:tab w:val="left" w:pos="495"/>
          <w:tab w:val="left" w:pos="4230"/>
          <w:tab w:val="left" w:pos="6330"/>
          <w:tab w:val="left" w:pos="7170"/>
          <w:tab w:val="left" w:pos="8025"/>
          <w:tab w:val="left" w:pos="8940"/>
          <w:tab w:val="left" w:pos="9990"/>
          <w:tab w:val="left" w:pos="11070"/>
          <w:tab w:val="left" w:pos="12390"/>
          <w:tab w:val="left" w:pos="13425"/>
          <w:tab w:val="left" w:pos="15090"/>
        </w:tabs>
        <w:kinsoku/>
        <w:wordWrap/>
        <w:overflowPunct/>
        <w:topLinePunct w:val="0"/>
        <w:autoSpaceDE/>
        <w:autoSpaceDN w:val="0"/>
        <w:bidi w:val="0"/>
        <w:adjustRightInd/>
        <w:snapToGrid/>
        <w:jc w:val="center"/>
        <w:textAlignment w:val="center"/>
        <w:rPr>
          <w:rFonts w:hint="default" w:ascii="Times New Roman" w:hAnsi="Times New Roman" w:eastAsia="方正小标宋_GBK" w:cs="Times New Roman"/>
          <w:b w:val="0"/>
          <w:bCs w:val="0"/>
          <w:i w:val="0"/>
          <w:color w:val="000000"/>
          <w:kern w:val="0"/>
          <w:sz w:val="44"/>
          <w:szCs w:val="44"/>
          <w:u w:val="none"/>
          <w:lang w:val="en-US" w:eastAsia="zh-CN" w:bidi="ar"/>
        </w:rPr>
      </w:pPr>
    </w:p>
    <w:p w14:paraId="6ADCB294">
      <w:pPr>
        <w:keepNext w:val="0"/>
        <w:keepLines w:val="0"/>
        <w:pageBreakBefore w:val="0"/>
        <w:widowControl w:val="0"/>
        <w:suppressLineNumbers w:val="0"/>
        <w:tabs>
          <w:tab w:val="left" w:pos="495"/>
          <w:tab w:val="left" w:pos="4230"/>
          <w:tab w:val="left" w:pos="6330"/>
          <w:tab w:val="left" w:pos="7170"/>
          <w:tab w:val="left" w:pos="8025"/>
          <w:tab w:val="left" w:pos="8940"/>
          <w:tab w:val="left" w:pos="9990"/>
          <w:tab w:val="left" w:pos="11070"/>
          <w:tab w:val="left" w:pos="12390"/>
          <w:tab w:val="left" w:pos="13425"/>
          <w:tab w:val="left" w:pos="15090"/>
        </w:tabs>
        <w:kinsoku/>
        <w:wordWrap/>
        <w:overflowPunct/>
        <w:topLinePunct w:val="0"/>
        <w:autoSpaceDE/>
        <w:autoSpaceDN w:val="0"/>
        <w:bidi w:val="0"/>
        <w:adjustRightInd/>
        <w:snapToGrid/>
        <w:jc w:val="both"/>
        <w:textAlignment w:val="center"/>
        <w:rPr>
          <w:rFonts w:hint="default" w:ascii="Times New Roman" w:hAnsi="Times New Roman" w:eastAsia="方正小标宋_GBK" w:cs="Times New Roman"/>
          <w:b w:val="0"/>
          <w:bCs w:val="0"/>
          <w:i w:val="0"/>
          <w:color w:val="000000"/>
          <w:kern w:val="0"/>
          <w:sz w:val="44"/>
          <w:szCs w:val="44"/>
          <w:u w:val="none"/>
          <w:lang w:val="en-US" w:eastAsia="zh-CN" w:bidi="ar"/>
        </w:rPr>
      </w:pPr>
    </w:p>
    <w:p w14:paraId="537608A0">
      <w:pPr>
        <w:keepNext w:val="0"/>
        <w:keepLines w:val="0"/>
        <w:pageBreakBefore w:val="0"/>
        <w:widowControl w:val="0"/>
        <w:suppressLineNumbers w:val="0"/>
        <w:tabs>
          <w:tab w:val="left" w:pos="495"/>
          <w:tab w:val="left" w:pos="4230"/>
          <w:tab w:val="left" w:pos="6330"/>
          <w:tab w:val="left" w:pos="7170"/>
          <w:tab w:val="left" w:pos="8025"/>
          <w:tab w:val="left" w:pos="8940"/>
          <w:tab w:val="left" w:pos="9990"/>
          <w:tab w:val="left" w:pos="11070"/>
          <w:tab w:val="left" w:pos="12390"/>
          <w:tab w:val="left" w:pos="13425"/>
          <w:tab w:val="left" w:pos="15090"/>
        </w:tabs>
        <w:kinsoku/>
        <w:wordWrap/>
        <w:overflowPunct/>
        <w:topLinePunct w:val="0"/>
        <w:autoSpaceDE/>
        <w:autoSpaceDN w:val="0"/>
        <w:bidi w:val="0"/>
        <w:adjustRightInd/>
        <w:snapToGrid/>
        <w:jc w:val="center"/>
        <w:textAlignment w:val="center"/>
        <w:rPr>
          <w:rFonts w:hint="eastAsia" w:ascii="Times New Roman" w:hAnsi="Times New Roman" w:eastAsia="方正小标宋_GBK" w:cs="Times New Roman"/>
          <w:b w:val="0"/>
          <w:bCs w:val="0"/>
          <w:i w:val="0"/>
          <w:color w:val="000000"/>
          <w:kern w:val="0"/>
          <w:sz w:val="72"/>
          <w:szCs w:val="72"/>
          <w:u w:val="none"/>
          <w:lang w:val="en-US" w:eastAsia="zh-CN" w:bidi="ar"/>
        </w:rPr>
      </w:pPr>
      <w:r>
        <w:rPr>
          <w:rFonts w:hint="default" w:ascii="Times New Roman" w:hAnsi="Times New Roman" w:eastAsia="方正小标宋_GBK" w:cs="Times New Roman"/>
          <w:b w:val="0"/>
          <w:bCs w:val="0"/>
          <w:i w:val="0"/>
          <w:color w:val="000000"/>
          <w:kern w:val="0"/>
          <w:sz w:val="72"/>
          <w:szCs w:val="72"/>
          <w:u w:val="none"/>
          <w:lang w:val="en-US" w:eastAsia="zh-CN" w:bidi="ar"/>
        </w:rPr>
        <w:t>广安市</w:t>
      </w:r>
      <w:r>
        <w:rPr>
          <w:rFonts w:hint="eastAsia" w:ascii="Times New Roman" w:hAnsi="Times New Roman" w:eastAsia="方正小标宋_GBK" w:cs="Times New Roman"/>
          <w:b w:val="0"/>
          <w:bCs w:val="0"/>
          <w:i w:val="0"/>
          <w:color w:val="000000"/>
          <w:kern w:val="0"/>
          <w:sz w:val="72"/>
          <w:szCs w:val="72"/>
          <w:u w:val="none"/>
          <w:lang w:val="en-US" w:eastAsia="zh-CN" w:bidi="ar"/>
        </w:rPr>
        <w:t>本级</w:t>
      </w:r>
      <w:r>
        <w:rPr>
          <w:rFonts w:hint="default" w:ascii="Times New Roman" w:hAnsi="Times New Roman" w:eastAsia="方正小标宋_GBK" w:cs="Times New Roman"/>
          <w:b w:val="0"/>
          <w:bCs w:val="0"/>
          <w:i w:val="0"/>
          <w:color w:val="000000"/>
          <w:kern w:val="0"/>
          <w:sz w:val="72"/>
          <w:szCs w:val="72"/>
          <w:u w:val="none"/>
          <w:lang w:val="en-US" w:eastAsia="zh-CN" w:bidi="ar"/>
        </w:rPr>
        <w:t>惠企政策事项清单</w:t>
      </w:r>
      <w:r>
        <w:rPr>
          <w:rFonts w:hint="eastAsia" w:ascii="Times New Roman" w:hAnsi="Times New Roman" w:eastAsia="方正小标宋_GBK" w:cs="Times New Roman"/>
          <w:b w:val="0"/>
          <w:bCs w:val="0"/>
          <w:i w:val="0"/>
          <w:color w:val="000000"/>
          <w:kern w:val="0"/>
          <w:sz w:val="72"/>
          <w:szCs w:val="72"/>
          <w:u w:val="none"/>
          <w:lang w:val="en-US" w:eastAsia="zh-CN" w:bidi="ar"/>
        </w:rPr>
        <w:t>（2025年版）</w:t>
      </w:r>
    </w:p>
    <w:p w14:paraId="2A099FB1">
      <w:pPr>
        <w:keepNext w:val="0"/>
        <w:keepLines w:val="0"/>
        <w:pageBreakBefore w:val="0"/>
        <w:widowControl w:val="0"/>
        <w:suppressLineNumbers w:val="0"/>
        <w:tabs>
          <w:tab w:val="left" w:pos="495"/>
          <w:tab w:val="left" w:pos="4230"/>
          <w:tab w:val="left" w:pos="6330"/>
          <w:tab w:val="left" w:pos="7170"/>
          <w:tab w:val="left" w:pos="8025"/>
          <w:tab w:val="left" w:pos="8940"/>
          <w:tab w:val="left" w:pos="9990"/>
          <w:tab w:val="left" w:pos="11070"/>
          <w:tab w:val="left" w:pos="12390"/>
          <w:tab w:val="left" w:pos="13425"/>
          <w:tab w:val="left" w:pos="15090"/>
        </w:tabs>
        <w:kinsoku/>
        <w:wordWrap/>
        <w:overflowPunct/>
        <w:topLinePunct w:val="0"/>
        <w:autoSpaceDE/>
        <w:autoSpaceDN w:val="0"/>
        <w:bidi w:val="0"/>
        <w:adjustRightInd/>
        <w:snapToGrid/>
        <w:jc w:val="center"/>
        <w:textAlignment w:val="center"/>
        <w:rPr>
          <w:rFonts w:hint="default" w:ascii="Times New Roman" w:hAnsi="Times New Roman" w:eastAsia="方正小标宋_GBK" w:cs="Times New Roman"/>
          <w:b w:val="0"/>
          <w:bCs w:val="0"/>
          <w:i w:val="0"/>
          <w:color w:val="000000"/>
          <w:kern w:val="0"/>
          <w:sz w:val="44"/>
          <w:szCs w:val="44"/>
          <w:u w:val="none"/>
          <w:lang w:val="en-US" w:eastAsia="zh-CN" w:bidi="ar"/>
        </w:rPr>
      </w:pPr>
    </w:p>
    <w:p w14:paraId="3EB6DFB4">
      <w:pPr>
        <w:keepNext w:val="0"/>
        <w:keepLines w:val="0"/>
        <w:pageBreakBefore w:val="0"/>
        <w:widowControl w:val="0"/>
        <w:suppressLineNumbers w:val="0"/>
        <w:tabs>
          <w:tab w:val="left" w:pos="495"/>
          <w:tab w:val="left" w:pos="4230"/>
          <w:tab w:val="left" w:pos="6330"/>
          <w:tab w:val="left" w:pos="7170"/>
          <w:tab w:val="left" w:pos="8025"/>
          <w:tab w:val="left" w:pos="8940"/>
          <w:tab w:val="left" w:pos="9990"/>
          <w:tab w:val="left" w:pos="11070"/>
          <w:tab w:val="left" w:pos="12390"/>
          <w:tab w:val="left" w:pos="13425"/>
          <w:tab w:val="left" w:pos="15090"/>
        </w:tabs>
        <w:kinsoku/>
        <w:wordWrap/>
        <w:overflowPunct/>
        <w:topLinePunct w:val="0"/>
        <w:autoSpaceDE/>
        <w:autoSpaceDN w:val="0"/>
        <w:bidi w:val="0"/>
        <w:adjustRightInd/>
        <w:snapToGrid/>
        <w:jc w:val="center"/>
        <w:textAlignment w:val="center"/>
        <w:rPr>
          <w:rFonts w:hint="default" w:ascii="Times New Roman" w:hAnsi="Times New Roman" w:eastAsia="方正小标宋_GBK" w:cs="Times New Roman"/>
          <w:b w:val="0"/>
          <w:bCs w:val="0"/>
          <w:i w:val="0"/>
          <w:color w:val="000000"/>
          <w:kern w:val="0"/>
          <w:sz w:val="44"/>
          <w:szCs w:val="44"/>
          <w:u w:val="none"/>
          <w:lang w:val="en-US" w:eastAsia="zh-CN" w:bidi="ar"/>
        </w:rPr>
      </w:pPr>
    </w:p>
    <w:p w14:paraId="7AB02C71">
      <w:pPr>
        <w:pStyle w:val="2"/>
        <w:rPr>
          <w:rFonts w:hint="default" w:ascii="Times New Roman" w:hAnsi="Times New Roman" w:eastAsia="方正小标宋_GBK" w:cs="Times New Roman"/>
          <w:b w:val="0"/>
          <w:bCs w:val="0"/>
          <w:i w:val="0"/>
          <w:color w:val="000000"/>
          <w:kern w:val="0"/>
          <w:sz w:val="44"/>
          <w:szCs w:val="44"/>
          <w:u w:val="none"/>
          <w:lang w:val="en-US" w:eastAsia="zh-CN" w:bidi="ar"/>
        </w:rPr>
      </w:pPr>
    </w:p>
    <w:p w14:paraId="646F8F4B">
      <w:pPr>
        <w:pStyle w:val="2"/>
        <w:rPr>
          <w:rFonts w:hint="default"/>
          <w:lang w:val="en-US" w:eastAsia="zh-CN"/>
        </w:rPr>
      </w:pPr>
    </w:p>
    <w:p w14:paraId="242198B5">
      <w:pPr>
        <w:pStyle w:val="2"/>
        <w:rPr>
          <w:rFonts w:hint="default"/>
          <w:lang w:val="en-US" w:eastAsia="zh-CN"/>
        </w:rPr>
      </w:pPr>
    </w:p>
    <w:p w14:paraId="2CFAC633">
      <w:pPr>
        <w:pStyle w:val="2"/>
        <w:rPr>
          <w:rFonts w:hint="default"/>
          <w:lang w:val="en-US" w:eastAsia="zh-CN"/>
        </w:rPr>
      </w:pPr>
    </w:p>
    <w:p w14:paraId="4868DBAD">
      <w:pPr>
        <w:pStyle w:val="2"/>
        <w:rPr>
          <w:rFonts w:hint="default" w:ascii="Times New Roman" w:hAnsi="Times New Roman" w:eastAsia="方正小标宋_GBK" w:cs="Times New Roman"/>
          <w:b w:val="0"/>
          <w:bCs w:val="0"/>
          <w:i w:val="0"/>
          <w:color w:val="000000"/>
          <w:kern w:val="0"/>
          <w:sz w:val="44"/>
          <w:szCs w:val="44"/>
          <w:u w:val="none"/>
          <w:lang w:val="en-US" w:eastAsia="zh-CN" w:bidi="ar"/>
        </w:rPr>
      </w:pPr>
    </w:p>
    <w:p w14:paraId="0CAC15A3">
      <w:pPr>
        <w:pStyle w:val="2"/>
        <w:jc w:val="cente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广安市营商环境局  编印</w:t>
      </w:r>
    </w:p>
    <w:p w14:paraId="317D9902">
      <w:pPr>
        <w:pStyle w:val="2"/>
        <w:jc w:val="center"/>
        <w:rPr>
          <w:rFonts w:hint="eastAsia" w:ascii="方正小标宋_GBK" w:hAnsi="方正小标宋_GBK" w:eastAsia="方正小标宋_GBK" w:cs="方正小标宋_GBK"/>
          <w:color w:val="000000"/>
          <w:spacing w:val="0"/>
          <w:w w:val="100"/>
          <w:kern w:val="2"/>
          <w:position w:val="0"/>
          <w:sz w:val="36"/>
          <w:szCs w:val="36"/>
          <w:lang w:val="en-US" w:eastAsia="zh-CN" w:bidi="ar-SA"/>
        </w:rPr>
      </w:pPr>
      <w:r>
        <w:rPr>
          <w:rFonts w:hint="default" w:ascii="Times New Roman" w:hAnsi="Times New Roman" w:eastAsia="方正黑体_GBK" w:cs="Times New Roman"/>
          <w:sz w:val="32"/>
          <w:szCs w:val="32"/>
          <w:lang w:val="en-US" w:eastAsia="zh-CN"/>
        </w:rPr>
        <w:t>2025年</w:t>
      </w:r>
      <w:r>
        <w:rPr>
          <w:rFonts w:hint="eastAsia" w:ascii="Times New Roman" w:hAnsi="Times New Roman" w:eastAsia="方正黑体_GBK" w:cs="Times New Roman"/>
          <w:sz w:val="32"/>
          <w:szCs w:val="32"/>
          <w:lang w:val="en-US" w:eastAsia="zh-CN"/>
        </w:rPr>
        <w:t>10</w:t>
      </w:r>
      <w:r>
        <w:rPr>
          <w:rFonts w:hint="eastAsia" w:ascii="方正黑体_GBK" w:hAnsi="方正黑体_GBK" w:eastAsia="方正黑体_GBK" w:cs="方正黑体_GBK"/>
          <w:sz w:val="32"/>
          <w:szCs w:val="32"/>
          <w:lang w:val="en-US" w:eastAsia="zh-CN"/>
        </w:rPr>
        <w:t>月</w:t>
      </w:r>
    </w:p>
    <w:p w14:paraId="3C48F34E">
      <w:pPr>
        <w:keepNext w:val="0"/>
        <w:keepLines w:val="0"/>
        <w:pageBreakBefore w:val="0"/>
        <w:widowControl w:val="0"/>
        <w:suppressLineNumbers w:val="0"/>
        <w:tabs>
          <w:tab w:val="left" w:pos="495"/>
          <w:tab w:val="left" w:pos="4230"/>
          <w:tab w:val="left" w:pos="6330"/>
          <w:tab w:val="left" w:pos="7170"/>
          <w:tab w:val="left" w:pos="8025"/>
          <w:tab w:val="left" w:pos="8940"/>
          <w:tab w:val="left" w:pos="9990"/>
          <w:tab w:val="left" w:pos="11070"/>
          <w:tab w:val="left" w:pos="12390"/>
          <w:tab w:val="left" w:pos="13425"/>
          <w:tab w:val="left" w:pos="15090"/>
        </w:tabs>
        <w:kinsoku/>
        <w:wordWrap/>
        <w:overflowPunct/>
        <w:topLinePunct w:val="0"/>
        <w:autoSpaceDE/>
        <w:autoSpaceDN w:val="0"/>
        <w:bidi w:val="0"/>
        <w:adjustRightInd/>
        <w:snapToGrid/>
        <w:jc w:val="center"/>
        <w:textAlignment w:val="center"/>
        <w:rPr>
          <w:rFonts w:hint="default" w:ascii="Times New Roman" w:hAnsi="Times New Roman" w:eastAsia="方正小标宋_GBK" w:cs="Times New Roman"/>
          <w:b w:val="0"/>
          <w:bCs w:val="0"/>
          <w:i w:val="0"/>
          <w:color w:val="000000"/>
          <w:kern w:val="0"/>
          <w:sz w:val="44"/>
          <w:szCs w:val="44"/>
          <w:u w:val="none"/>
          <w:lang w:val="en-US" w:eastAsia="zh-CN" w:bidi="ar"/>
        </w:rPr>
        <w:sectPr>
          <w:footerReference r:id="rId3" w:type="default"/>
          <w:pgSz w:w="16838" w:h="11906" w:orient="landscape"/>
          <w:pgMar w:top="1531" w:right="1531" w:bottom="1531" w:left="1531" w:header="851" w:footer="992" w:gutter="0"/>
          <w:pgBorders w:offsetFrom="page">
            <w:top w:val="none" w:sz="0" w:space="0"/>
            <w:left w:val="none" w:sz="0" w:space="0"/>
            <w:bottom w:val="none" w:sz="0" w:space="0"/>
            <w:right w:val="none" w:sz="0" w:space="0"/>
          </w:pgBorders>
          <w:pgNumType w:fmt="decimal"/>
          <w:cols w:space="425" w:num="1"/>
          <w:docGrid w:type="lines" w:linePitch="312" w:charSpace="0"/>
        </w:sectPr>
      </w:pPr>
    </w:p>
    <w:p w14:paraId="0B8F4B54">
      <w:pPr>
        <w:keepNext w:val="0"/>
        <w:keepLines w:val="0"/>
        <w:pageBreakBefore w:val="0"/>
        <w:widowControl w:val="0"/>
        <w:suppressLineNumbers w:val="0"/>
        <w:tabs>
          <w:tab w:val="left" w:pos="495"/>
          <w:tab w:val="left" w:pos="4230"/>
          <w:tab w:val="left" w:pos="6330"/>
          <w:tab w:val="left" w:pos="7170"/>
          <w:tab w:val="left" w:pos="8025"/>
          <w:tab w:val="left" w:pos="8940"/>
          <w:tab w:val="left" w:pos="9990"/>
          <w:tab w:val="left" w:pos="11070"/>
          <w:tab w:val="left" w:pos="12390"/>
          <w:tab w:val="left" w:pos="13425"/>
          <w:tab w:val="left" w:pos="15090"/>
        </w:tabs>
        <w:kinsoku/>
        <w:wordWrap/>
        <w:overflowPunct/>
        <w:topLinePunct w:val="0"/>
        <w:autoSpaceDE/>
        <w:autoSpaceDN w:val="0"/>
        <w:bidi w:val="0"/>
        <w:adjustRightInd/>
        <w:snapToGrid/>
        <w:jc w:val="center"/>
        <w:textAlignment w:val="center"/>
        <w:rPr>
          <w:rFonts w:hint="default" w:ascii="Times New Roman" w:hAnsi="Times New Roman" w:eastAsia="方正黑体_GBK" w:cs="Times New Roman"/>
          <w:b w:val="0"/>
          <w:bCs w:val="0"/>
          <w:i w:val="0"/>
          <w:color w:val="000000"/>
          <w:kern w:val="0"/>
          <w:sz w:val="20"/>
          <w:szCs w:val="20"/>
          <w:u w:val="none"/>
          <w:lang w:val="en-US" w:eastAsia="zh-CN" w:bidi="ar"/>
        </w:rPr>
      </w:pPr>
      <w:r>
        <w:rPr>
          <w:rFonts w:hint="default" w:ascii="Times New Roman" w:hAnsi="Times New Roman" w:eastAsia="方正小标宋_GBK" w:cs="Times New Roman"/>
          <w:b w:val="0"/>
          <w:bCs w:val="0"/>
          <w:i w:val="0"/>
          <w:color w:val="000000"/>
          <w:kern w:val="0"/>
          <w:sz w:val="44"/>
          <w:szCs w:val="44"/>
          <w:u w:val="none"/>
          <w:lang w:val="en-US" w:eastAsia="zh-CN" w:bidi="ar"/>
        </w:rPr>
        <w:t>广安市</w:t>
      </w:r>
      <w:r>
        <w:rPr>
          <w:rFonts w:hint="eastAsia" w:ascii="Times New Roman" w:hAnsi="Times New Roman" w:eastAsia="方正小标宋_GBK" w:cs="Times New Roman"/>
          <w:b w:val="0"/>
          <w:bCs w:val="0"/>
          <w:i w:val="0"/>
          <w:color w:val="000000"/>
          <w:kern w:val="0"/>
          <w:sz w:val="44"/>
          <w:szCs w:val="44"/>
          <w:u w:val="none"/>
          <w:lang w:val="en-US" w:eastAsia="zh-CN" w:bidi="ar"/>
        </w:rPr>
        <w:t>本级</w:t>
      </w:r>
      <w:r>
        <w:rPr>
          <w:rFonts w:hint="default" w:ascii="Times New Roman" w:hAnsi="Times New Roman" w:eastAsia="方正小标宋_GBK" w:cs="Times New Roman"/>
          <w:b w:val="0"/>
          <w:bCs w:val="0"/>
          <w:i w:val="0"/>
          <w:color w:val="000000"/>
          <w:kern w:val="0"/>
          <w:sz w:val="44"/>
          <w:szCs w:val="44"/>
          <w:u w:val="none"/>
          <w:lang w:val="en-US" w:eastAsia="zh-CN" w:bidi="ar"/>
        </w:rPr>
        <w:t>惠企政策事项清单</w:t>
      </w:r>
    </w:p>
    <w:tbl>
      <w:tblPr>
        <w:tblStyle w:val="10"/>
        <w:tblW w:w="151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500"/>
        <w:gridCol w:w="906"/>
        <w:gridCol w:w="3227"/>
        <w:gridCol w:w="2334"/>
        <w:gridCol w:w="770"/>
        <w:gridCol w:w="770"/>
        <w:gridCol w:w="770"/>
        <w:gridCol w:w="888"/>
        <w:gridCol w:w="942"/>
        <w:gridCol w:w="1085"/>
        <w:gridCol w:w="705"/>
        <w:gridCol w:w="1171"/>
        <w:gridCol w:w="1095"/>
      </w:tblGrid>
      <w:tr w14:paraId="4E954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jc w:val="center"/>
        </w:trPr>
        <w:tc>
          <w:tcPr>
            <w:tcW w:w="500" w:type="dxa"/>
            <w:vMerge w:val="restart"/>
            <w:tcBorders>
              <w:tl2br w:val="nil"/>
              <w:tr2bl w:val="nil"/>
            </w:tcBorders>
            <w:shd w:val="clear" w:color="auto" w:fill="auto"/>
            <w:tcMar>
              <w:top w:w="15" w:type="dxa"/>
              <w:left w:w="15" w:type="dxa"/>
              <w:right w:w="15" w:type="dxa"/>
            </w:tcMar>
            <w:vAlign w:val="center"/>
          </w:tcPr>
          <w:p w14:paraId="321DC32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方正黑体_GBK"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方正黑体_GBK" w:cs="Times New Roman"/>
                <w:b w:val="0"/>
                <w:bCs w:val="0"/>
                <w:i w:val="0"/>
                <w:color w:val="000000" w:themeColor="text1"/>
                <w:kern w:val="0"/>
                <w:sz w:val="20"/>
                <w:szCs w:val="20"/>
                <w:u w:val="none"/>
                <w:lang w:val="en-US" w:eastAsia="zh-CN" w:bidi="ar"/>
                <w14:textFill>
                  <w14:solidFill>
                    <w14:schemeClr w14:val="tx1"/>
                  </w14:solidFill>
                </w14:textFill>
              </w:rPr>
              <w:t>序号</w:t>
            </w:r>
          </w:p>
        </w:tc>
        <w:tc>
          <w:tcPr>
            <w:tcW w:w="4133" w:type="dxa"/>
            <w:gridSpan w:val="2"/>
            <w:tcBorders>
              <w:tl2br w:val="nil"/>
              <w:tr2bl w:val="nil"/>
            </w:tcBorders>
            <w:shd w:val="clear" w:color="auto" w:fill="auto"/>
            <w:tcMar>
              <w:top w:w="15" w:type="dxa"/>
              <w:left w:w="15" w:type="dxa"/>
              <w:right w:w="15" w:type="dxa"/>
            </w:tcMar>
            <w:vAlign w:val="center"/>
          </w:tcPr>
          <w:p w14:paraId="49D63B3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方正黑体_GBK"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方正黑体_GBK" w:cs="Times New Roman"/>
                <w:b w:val="0"/>
                <w:bCs w:val="0"/>
                <w:i w:val="0"/>
                <w:color w:val="000000" w:themeColor="text1"/>
                <w:kern w:val="0"/>
                <w:sz w:val="20"/>
                <w:szCs w:val="20"/>
                <w:u w:val="none"/>
                <w:lang w:val="en-US" w:eastAsia="zh-CN" w:bidi="ar"/>
                <w14:textFill>
                  <w14:solidFill>
                    <w14:schemeClr w14:val="tx1"/>
                  </w14:solidFill>
                </w14:textFill>
              </w:rPr>
              <w:t>事项名称</w:t>
            </w:r>
          </w:p>
        </w:tc>
        <w:tc>
          <w:tcPr>
            <w:tcW w:w="2334" w:type="dxa"/>
            <w:tcBorders>
              <w:tl2br w:val="nil"/>
              <w:tr2bl w:val="nil"/>
            </w:tcBorders>
            <w:shd w:val="clear" w:color="auto" w:fill="auto"/>
            <w:tcMar>
              <w:top w:w="15" w:type="dxa"/>
              <w:left w:w="15" w:type="dxa"/>
              <w:right w:w="15" w:type="dxa"/>
            </w:tcMar>
            <w:vAlign w:val="center"/>
          </w:tcPr>
          <w:p w14:paraId="25E5B56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方正黑体_GBK"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方正黑体_GBK" w:cs="Times New Roman"/>
                <w:b w:val="0"/>
                <w:bCs w:val="0"/>
                <w:i w:val="0"/>
                <w:color w:val="000000" w:themeColor="text1"/>
                <w:kern w:val="0"/>
                <w:sz w:val="20"/>
                <w:szCs w:val="20"/>
                <w:u w:val="none"/>
                <w:lang w:val="en-US" w:eastAsia="zh-CN" w:bidi="ar"/>
                <w14:textFill>
                  <w14:solidFill>
                    <w14:schemeClr w14:val="tx1"/>
                  </w14:solidFill>
                </w14:textFill>
              </w:rPr>
              <w:t>政策依据</w:t>
            </w:r>
          </w:p>
        </w:tc>
        <w:tc>
          <w:tcPr>
            <w:tcW w:w="770" w:type="dxa"/>
            <w:tcBorders>
              <w:tl2br w:val="nil"/>
              <w:tr2bl w:val="nil"/>
            </w:tcBorders>
            <w:shd w:val="clear" w:color="auto" w:fill="auto"/>
            <w:tcMar>
              <w:top w:w="15" w:type="dxa"/>
              <w:left w:w="15" w:type="dxa"/>
              <w:right w:w="15" w:type="dxa"/>
            </w:tcMar>
            <w:vAlign w:val="center"/>
          </w:tcPr>
          <w:p w14:paraId="2C357D2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方正黑体_GBK"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方正黑体_GBK" w:cs="Times New Roman"/>
                <w:b w:val="0"/>
                <w:bCs w:val="0"/>
                <w:i w:val="0"/>
                <w:color w:val="000000" w:themeColor="text1"/>
                <w:kern w:val="0"/>
                <w:sz w:val="20"/>
                <w:szCs w:val="20"/>
                <w:u w:val="none"/>
                <w:lang w:val="en-US" w:eastAsia="zh-CN" w:bidi="ar"/>
                <w14:textFill>
                  <w14:solidFill>
                    <w14:schemeClr w14:val="tx1"/>
                  </w14:solidFill>
                </w14:textFill>
              </w:rPr>
              <w:t>政策            类别</w:t>
            </w:r>
          </w:p>
        </w:tc>
        <w:tc>
          <w:tcPr>
            <w:tcW w:w="770" w:type="dxa"/>
            <w:tcBorders>
              <w:tl2br w:val="nil"/>
              <w:tr2bl w:val="nil"/>
            </w:tcBorders>
            <w:shd w:val="clear" w:color="auto" w:fill="auto"/>
            <w:tcMar>
              <w:top w:w="15" w:type="dxa"/>
              <w:left w:w="15" w:type="dxa"/>
              <w:right w:w="15" w:type="dxa"/>
            </w:tcMar>
            <w:vAlign w:val="center"/>
          </w:tcPr>
          <w:p w14:paraId="307497F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方正黑体_GBK"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方正黑体_GBK" w:cs="Times New Roman"/>
                <w:b w:val="0"/>
                <w:bCs w:val="0"/>
                <w:i w:val="0"/>
                <w:color w:val="000000" w:themeColor="text1"/>
                <w:kern w:val="0"/>
                <w:sz w:val="20"/>
                <w:szCs w:val="20"/>
                <w:u w:val="none"/>
                <w:lang w:val="en-US" w:eastAsia="zh-CN" w:bidi="ar"/>
                <w14:textFill>
                  <w14:solidFill>
                    <w14:schemeClr w14:val="tx1"/>
                  </w14:solidFill>
                </w14:textFill>
              </w:rPr>
              <w:t>发布            层级</w:t>
            </w:r>
          </w:p>
        </w:tc>
        <w:tc>
          <w:tcPr>
            <w:tcW w:w="770" w:type="dxa"/>
            <w:tcBorders>
              <w:tl2br w:val="nil"/>
              <w:tr2bl w:val="nil"/>
            </w:tcBorders>
            <w:shd w:val="clear" w:color="auto" w:fill="auto"/>
            <w:tcMar>
              <w:top w:w="15" w:type="dxa"/>
              <w:left w:w="15" w:type="dxa"/>
              <w:right w:w="15" w:type="dxa"/>
            </w:tcMar>
            <w:vAlign w:val="center"/>
          </w:tcPr>
          <w:p w14:paraId="60F54BC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方正黑体_GBK"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方正黑体_GBK" w:cs="Times New Roman"/>
                <w:b w:val="0"/>
                <w:bCs w:val="0"/>
                <w:i w:val="0"/>
                <w:color w:val="000000" w:themeColor="text1"/>
                <w:kern w:val="0"/>
                <w:sz w:val="20"/>
                <w:szCs w:val="20"/>
                <w:u w:val="none"/>
                <w:lang w:val="en-US" w:eastAsia="zh-CN" w:bidi="ar"/>
                <w14:textFill>
                  <w14:solidFill>
                    <w14:schemeClr w14:val="tx1"/>
                  </w14:solidFill>
                </w14:textFill>
              </w:rPr>
              <w:t>执行       层级</w:t>
            </w:r>
          </w:p>
        </w:tc>
        <w:tc>
          <w:tcPr>
            <w:tcW w:w="888" w:type="dxa"/>
            <w:tcBorders>
              <w:tl2br w:val="nil"/>
              <w:tr2bl w:val="nil"/>
            </w:tcBorders>
            <w:shd w:val="clear" w:color="auto" w:fill="auto"/>
            <w:tcMar>
              <w:top w:w="15" w:type="dxa"/>
              <w:left w:w="15" w:type="dxa"/>
              <w:right w:w="15" w:type="dxa"/>
            </w:tcMar>
            <w:vAlign w:val="center"/>
          </w:tcPr>
          <w:p w14:paraId="33CA620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方正黑体_GBK"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黑体_GBK" w:cs="Times New Roman"/>
                <w:b w:val="0"/>
                <w:bCs w:val="0"/>
                <w:i w:val="0"/>
                <w:color w:val="000000" w:themeColor="text1"/>
                <w:kern w:val="0"/>
                <w:sz w:val="20"/>
                <w:szCs w:val="20"/>
                <w:u w:val="none"/>
                <w:lang w:val="en-US" w:eastAsia="zh-CN" w:bidi="ar"/>
                <w14:textFill>
                  <w14:solidFill>
                    <w14:schemeClr w14:val="tx1"/>
                  </w14:solidFill>
                </w14:textFill>
              </w:rPr>
              <w:t>受理</w:t>
            </w:r>
          </w:p>
          <w:p w14:paraId="229E69E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方正黑体_GBK"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黑体_GBK" w:cs="Times New Roman"/>
                <w:b w:val="0"/>
                <w:bCs w:val="0"/>
                <w:i w:val="0"/>
                <w:color w:val="000000" w:themeColor="text1"/>
                <w:kern w:val="0"/>
                <w:sz w:val="20"/>
                <w:szCs w:val="20"/>
                <w:u w:val="none"/>
                <w:lang w:val="en-US" w:eastAsia="zh-CN" w:bidi="ar"/>
                <w14:textFill>
                  <w14:solidFill>
                    <w14:schemeClr w14:val="tx1"/>
                  </w14:solidFill>
                </w14:textFill>
              </w:rPr>
              <w:t>部门</w:t>
            </w:r>
          </w:p>
          <w:p w14:paraId="13D7B7C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方正黑体_GBK"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方正黑体_GBK" w:cs="Times New Roman"/>
                <w:b w:val="0"/>
                <w:bCs w:val="0"/>
                <w:i w:val="0"/>
                <w:color w:val="000000" w:themeColor="text1"/>
                <w:kern w:val="0"/>
                <w:sz w:val="20"/>
                <w:szCs w:val="20"/>
                <w:u w:val="none"/>
                <w:lang w:val="en-US" w:eastAsia="zh-CN" w:bidi="ar"/>
                <w14:textFill>
                  <w14:solidFill>
                    <w14:schemeClr w14:val="tx1"/>
                  </w14:solidFill>
                </w14:textFill>
              </w:rPr>
              <w:t>（单位）</w:t>
            </w:r>
          </w:p>
        </w:tc>
        <w:tc>
          <w:tcPr>
            <w:tcW w:w="942" w:type="dxa"/>
            <w:tcBorders>
              <w:tl2br w:val="nil"/>
              <w:tr2bl w:val="nil"/>
            </w:tcBorders>
            <w:shd w:val="clear" w:color="auto" w:fill="auto"/>
            <w:tcMar>
              <w:top w:w="15" w:type="dxa"/>
              <w:left w:w="15" w:type="dxa"/>
              <w:right w:w="15" w:type="dxa"/>
            </w:tcMar>
            <w:vAlign w:val="center"/>
          </w:tcPr>
          <w:p w14:paraId="38EE0FD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方正黑体_GBK"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黑体_GBK" w:cs="Times New Roman"/>
                <w:b w:val="0"/>
                <w:bCs w:val="0"/>
                <w:i w:val="0"/>
                <w:color w:val="000000" w:themeColor="text1"/>
                <w:kern w:val="0"/>
                <w:sz w:val="20"/>
                <w:szCs w:val="20"/>
                <w:u w:val="none"/>
                <w:lang w:val="en-US" w:eastAsia="zh-CN" w:bidi="ar"/>
                <w14:textFill>
                  <w14:solidFill>
                    <w14:schemeClr w14:val="tx1"/>
                  </w14:solidFill>
                </w14:textFill>
              </w:rPr>
              <w:t>办理部门</w:t>
            </w:r>
          </w:p>
          <w:p w14:paraId="2D81F7C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方正黑体_GBK"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方正黑体_GBK" w:cs="Times New Roman"/>
                <w:b w:val="0"/>
                <w:bCs w:val="0"/>
                <w:i w:val="0"/>
                <w:color w:val="000000" w:themeColor="text1"/>
                <w:kern w:val="0"/>
                <w:sz w:val="20"/>
                <w:szCs w:val="20"/>
                <w:u w:val="none"/>
                <w:lang w:val="en-US" w:eastAsia="zh-CN" w:bidi="ar"/>
                <w14:textFill>
                  <w14:solidFill>
                    <w14:schemeClr w14:val="tx1"/>
                  </w14:solidFill>
                </w14:textFill>
              </w:rPr>
              <w:t>（单位）</w:t>
            </w:r>
          </w:p>
        </w:tc>
        <w:tc>
          <w:tcPr>
            <w:tcW w:w="1085" w:type="dxa"/>
            <w:tcBorders>
              <w:tl2br w:val="nil"/>
              <w:tr2bl w:val="nil"/>
            </w:tcBorders>
            <w:shd w:val="clear" w:color="auto" w:fill="auto"/>
            <w:tcMar>
              <w:top w:w="15" w:type="dxa"/>
              <w:left w:w="15" w:type="dxa"/>
              <w:right w:w="15" w:type="dxa"/>
            </w:tcMar>
            <w:vAlign w:val="center"/>
          </w:tcPr>
          <w:p w14:paraId="35AC898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方正黑体_GBK"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方正黑体_GBK" w:cs="Times New Roman"/>
                <w:b w:val="0"/>
                <w:bCs w:val="0"/>
                <w:i w:val="0"/>
                <w:color w:val="000000" w:themeColor="text1"/>
                <w:kern w:val="0"/>
                <w:sz w:val="20"/>
                <w:szCs w:val="20"/>
                <w:u w:val="none"/>
                <w:lang w:val="en-US" w:eastAsia="zh-CN" w:bidi="ar"/>
                <w14:textFill>
                  <w14:solidFill>
                    <w14:schemeClr w14:val="tx1"/>
                  </w14:solidFill>
                </w14:textFill>
              </w:rPr>
              <w:t>申请对象</w:t>
            </w:r>
          </w:p>
        </w:tc>
        <w:tc>
          <w:tcPr>
            <w:tcW w:w="705" w:type="dxa"/>
            <w:tcBorders>
              <w:tl2br w:val="nil"/>
              <w:tr2bl w:val="nil"/>
            </w:tcBorders>
            <w:shd w:val="clear" w:color="auto" w:fill="auto"/>
            <w:tcMar>
              <w:top w:w="15" w:type="dxa"/>
              <w:left w:w="15" w:type="dxa"/>
              <w:right w:w="15" w:type="dxa"/>
            </w:tcMar>
            <w:vAlign w:val="center"/>
          </w:tcPr>
          <w:p w14:paraId="43230E0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方正黑体_GBK"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方正黑体_GBK" w:cs="Times New Roman"/>
                <w:b w:val="0"/>
                <w:bCs w:val="0"/>
                <w:i w:val="0"/>
                <w:color w:val="000000" w:themeColor="text1"/>
                <w:kern w:val="0"/>
                <w:sz w:val="20"/>
                <w:szCs w:val="20"/>
                <w:u w:val="none"/>
                <w:lang w:val="en-US" w:eastAsia="zh-CN" w:bidi="ar"/>
                <w14:textFill>
                  <w14:solidFill>
                    <w14:schemeClr w14:val="tx1"/>
                  </w14:solidFill>
                </w14:textFill>
              </w:rPr>
              <w:t>兑现                方式</w:t>
            </w:r>
          </w:p>
        </w:tc>
        <w:tc>
          <w:tcPr>
            <w:tcW w:w="1171" w:type="dxa"/>
            <w:tcBorders>
              <w:tl2br w:val="nil"/>
              <w:tr2bl w:val="nil"/>
            </w:tcBorders>
            <w:shd w:val="clear" w:color="auto" w:fill="auto"/>
            <w:tcMar>
              <w:top w:w="15" w:type="dxa"/>
              <w:left w:w="15" w:type="dxa"/>
              <w:right w:w="15" w:type="dxa"/>
            </w:tcMar>
            <w:vAlign w:val="center"/>
          </w:tcPr>
          <w:p w14:paraId="13F86FF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方正黑体_GBK"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方正黑体_GBK" w:cs="Times New Roman"/>
                <w:b w:val="0"/>
                <w:bCs w:val="0"/>
                <w:i w:val="0"/>
                <w:color w:val="000000" w:themeColor="text1"/>
                <w:kern w:val="0"/>
                <w:sz w:val="20"/>
                <w:szCs w:val="20"/>
                <w:u w:val="none"/>
                <w:lang w:val="en-US" w:eastAsia="zh-CN" w:bidi="ar"/>
                <w14:textFill>
                  <w14:solidFill>
                    <w14:schemeClr w14:val="tx1"/>
                  </w14:solidFill>
                </w14:textFill>
              </w:rPr>
              <w:t>兑现时限                     （工作日）</w:t>
            </w:r>
          </w:p>
        </w:tc>
        <w:tc>
          <w:tcPr>
            <w:tcW w:w="1095" w:type="dxa"/>
            <w:tcBorders>
              <w:tl2br w:val="nil"/>
              <w:tr2bl w:val="nil"/>
            </w:tcBorders>
            <w:shd w:val="clear" w:color="auto" w:fill="auto"/>
            <w:tcMar>
              <w:top w:w="15" w:type="dxa"/>
              <w:left w:w="15" w:type="dxa"/>
              <w:right w:w="15" w:type="dxa"/>
            </w:tcMar>
            <w:vAlign w:val="center"/>
          </w:tcPr>
          <w:p w14:paraId="0982901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方正黑体_GBK"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方正黑体_GBK" w:cs="Times New Roman"/>
                <w:b w:val="0"/>
                <w:bCs w:val="0"/>
                <w:i w:val="0"/>
                <w:color w:val="000000" w:themeColor="text1"/>
                <w:kern w:val="0"/>
                <w:sz w:val="20"/>
                <w:szCs w:val="20"/>
                <w:u w:val="none"/>
                <w:lang w:val="en-US" w:eastAsia="zh-CN" w:bidi="ar"/>
                <w14:textFill>
                  <w14:solidFill>
                    <w14:schemeClr w14:val="tx1"/>
                  </w14:solidFill>
                </w14:textFill>
              </w:rPr>
              <w:t>有效期</w:t>
            </w:r>
          </w:p>
        </w:tc>
      </w:tr>
      <w:tr w14:paraId="59BF7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jc w:val="center"/>
        </w:trPr>
        <w:tc>
          <w:tcPr>
            <w:tcW w:w="500" w:type="dxa"/>
            <w:vMerge w:val="continue"/>
            <w:tcBorders>
              <w:tl2br w:val="nil"/>
              <w:tr2bl w:val="nil"/>
            </w:tcBorders>
            <w:shd w:val="clear" w:color="auto" w:fill="auto"/>
            <w:tcMar>
              <w:top w:w="15" w:type="dxa"/>
              <w:left w:w="15" w:type="dxa"/>
              <w:right w:w="15" w:type="dxa"/>
            </w:tcMar>
            <w:vAlign w:val="center"/>
          </w:tcPr>
          <w:p w14:paraId="079F9839">
            <w:pPr>
              <w:keepNext w:val="0"/>
              <w:keepLines w:val="0"/>
              <w:pageBreakBefore w:val="0"/>
              <w:widowControl w:val="0"/>
              <w:kinsoku/>
              <w:wordWrap/>
              <w:overflowPunct/>
              <w:topLinePunct w:val="0"/>
              <w:autoSpaceDE/>
              <w:autoSpaceDN w:val="0"/>
              <w:bidi w:val="0"/>
              <w:adjustRightInd/>
              <w:snapToGrid/>
              <w:spacing w:beforeAutospacing="0" w:afterAutospacing="0" w:line="270" w:lineRule="exact"/>
              <w:ind w:left="42" w:leftChars="20" w:right="42" w:rightChars="20"/>
              <w:jc w:val="center"/>
              <w:rPr>
                <w:rFonts w:hint="default" w:ascii="Times New Roman" w:hAnsi="Times New Roman" w:eastAsia="方正黑体_GBK" w:cs="Times New Roman"/>
                <w:b w:val="0"/>
                <w:bCs w:val="0"/>
                <w:i w:val="0"/>
                <w:color w:val="000000" w:themeColor="text1"/>
                <w:sz w:val="20"/>
                <w:szCs w:val="20"/>
                <w:u w:val="none"/>
                <w14:textFill>
                  <w14:solidFill>
                    <w14:schemeClr w14:val="tx1"/>
                  </w14:solidFill>
                </w14:textFill>
              </w:rPr>
            </w:pPr>
          </w:p>
        </w:tc>
        <w:tc>
          <w:tcPr>
            <w:tcW w:w="906" w:type="dxa"/>
            <w:tcBorders>
              <w:tl2br w:val="nil"/>
              <w:tr2bl w:val="nil"/>
            </w:tcBorders>
            <w:shd w:val="clear" w:color="auto" w:fill="auto"/>
            <w:tcMar>
              <w:top w:w="15" w:type="dxa"/>
              <w:left w:w="15" w:type="dxa"/>
              <w:right w:w="15" w:type="dxa"/>
            </w:tcMar>
            <w:vAlign w:val="center"/>
          </w:tcPr>
          <w:p w14:paraId="407BB18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方正黑体_GBK"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方正黑体_GBK" w:cs="Times New Roman"/>
                <w:b w:val="0"/>
                <w:bCs w:val="0"/>
                <w:i w:val="0"/>
                <w:color w:val="000000" w:themeColor="text1"/>
                <w:kern w:val="0"/>
                <w:sz w:val="20"/>
                <w:szCs w:val="20"/>
                <w:u w:val="none"/>
                <w:lang w:val="en-US" w:eastAsia="zh-CN" w:bidi="ar"/>
                <w14:textFill>
                  <w14:solidFill>
                    <w14:schemeClr w14:val="tx1"/>
                  </w14:solidFill>
                </w14:textFill>
              </w:rPr>
              <w:t>主项</w:t>
            </w:r>
          </w:p>
        </w:tc>
        <w:tc>
          <w:tcPr>
            <w:tcW w:w="3227" w:type="dxa"/>
            <w:tcBorders>
              <w:tl2br w:val="nil"/>
              <w:tr2bl w:val="nil"/>
            </w:tcBorders>
            <w:shd w:val="clear" w:color="auto" w:fill="auto"/>
            <w:tcMar>
              <w:top w:w="15" w:type="dxa"/>
              <w:left w:w="15" w:type="dxa"/>
              <w:right w:w="15" w:type="dxa"/>
            </w:tcMar>
            <w:vAlign w:val="center"/>
          </w:tcPr>
          <w:p w14:paraId="105DD44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方正黑体_GBK"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方正黑体_GBK" w:cs="Times New Roman"/>
                <w:b w:val="0"/>
                <w:bCs w:val="0"/>
                <w:i w:val="0"/>
                <w:color w:val="000000" w:themeColor="text1"/>
                <w:kern w:val="0"/>
                <w:sz w:val="20"/>
                <w:szCs w:val="20"/>
                <w:u w:val="none"/>
                <w:lang w:val="en-US" w:eastAsia="zh-CN" w:bidi="ar"/>
                <w14:textFill>
                  <w14:solidFill>
                    <w14:schemeClr w14:val="tx1"/>
                  </w14:solidFill>
                </w14:textFill>
              </w:rPr>
              <w:t>情形项</w:t>
            </w:r>
          </w:p>
        </w:tc>
        <w:tc>
          <w:tcPr>
            <w:tcW w:w="2334" w:type="dxa"/>
            <w:tcBorders>
              <w:tl2br w:val="nil"/>
              <w:tr2bl w:val="nil"/>
            </w:tcBorders>
            <w:shd w:val="clear" w:color="auto" w:fill="auto"/>
            <w:tcMar>
              <w:top w:w="15" w:type="dxa"/>
              <w:left w:w="15" w:type="dxa"/>
              <w:right w:w="15" w:type="dxa"/>
            </w:tcMar>
            <w:vAlign w:val="center"/>
          </w:tcPr>
          <w:p w14:paraId="5657D813">
            <w:pPr>
              <w:keepNext w:val="0"/>
              <w:keepLines w:val="0"/>
              <w:pageBreakBefore w:val="0"/>
              <w:widowControl w:val="0"/>
              <w:kinsoku/>
              <w:wordWrap/>
              <w:overflowPunct/>
              <w:topLinePunct w:val="0"/>
              <w:autoSpaceDE/>
              <w:autoSpaceDN w:val="0"/>
              <w:bidi w:val="0"/>
              <w:adjustRightInd/>
              <w:snapToGrid/>
              <w:spacing w:beforeAutospacing="0" w:afterAutospacing="0" w:line="270" w:lineRule="exact"/>
              <w:ind w:left="42" w:leftChars="20" w:right="42" w:rightChars="20"/>
              <w:jc w:val="center"/>
              <w:rPr>
                <w:rFonts w:hint="default" w:ascii="Times New Roman" w:hAnsi="Times New Roman" w:eastAsia="方正黑体_GBK" w:cs="Times New Roman"/>
                <w:b w:val="0"/>
                <w:bCs w:val="0"/>
                <w:i w:val="0"/>
                <w:color w:val="000000" w:themeColor="text1"/>
                <w:sz w:val="20"/>
                <w:szCs w:val="20"/>
                <w:u w:val="none"/>
                <w14:textFill>
                  <w14:solidFill>
                    <w14:schemeClr w14:val="tx1"/>
                  </w14:solidFill>
                </w14:textFill>
              </w:rPr>
            </w:pPr>
          </w:p>
        </w:tc>
        <w:tc>
          <w:tcPr>
            <w:tcW w:w="770" w:type="dxa"/>
            <w:tcBorders>
              <w:tl2br w:val="nil"/>
              <w:tr2bl w:val="nil"/>
            </w:tcBorders>
            <w:shd w:val="clear" w:color="auto" w:fill="auto"/>
            <w:tcMar>
              <w:top w:w="15" w:type="dxa"/>
              <w:left w:w="15" w:type="dxa"/>
              <w:right w:w="15" w:type="dxa"/>
            </w:tcMar>
            <w:vAlign w:val="center"/>
          </w:tcPr>
          <w:p w14:paraId="416ADC8D">
            <w:pPr>
              <w:keepNext w:val="0"/>
              <w:keepLines w:val="0"/>
              <w:pageBreakBefore w:val="0"/>
              <w:widowControl w:val="0"/>
              <w:kinsoku/>
              <w:wordWrap/>
              <w:overflowPunct/>
              <w:topLinePunct w:val="0"/>
              <w:autoSpaceDE/>
              <w:autoSpaceDN w:val="0"/>
              <w:bidi w:val="0"/>
              <w:adjustRightInd/>
              <w:snapToGrid/>
              <w:spacing w:beforeAutospacing="0" w:afterAutospacing="0" w:line="270" w:lineRule="exact"/>
              <w:ind w:left="42" w:leftChars="20" w:right="42" w:rightChars="20"/>
              <w:jc w:val="center"/>
              <w:rPr>
                <w:rFonts w:hint="default" w:ascii="Times New Roman" w:hAnsi="Times New Roman" w:eastAsia="方正黑体_GBK" w:cs="Times New Roman"/>
                <w:b w:val="0"/>
                <w:bCs w:val="0"/>
                <w:i w:val="0"/>
                <w:color w:val="000000" w:themeColor="text1"/>
                <w:sz w:val="20"/>
                <w:szCs w:val="20"/>
                <w:u w:val="none"/>
                <w14:textFill>
                  <w14:solidFill>
                    <w14:schemeClr w14:val="tx1"/>
                  </w14:solidFill>
                </w14:textFill>
              </w:rPr>
            </w:pPr>
          </w:p>
        </w:tc>
        <w:tc>
          <w:tcPr>
            <w:tcW w:w="770" w:type="dxa"/>
            <w:tcBorders>
              <w:tl2br w:val="nil"/>
              <w:tr2bl w:val="nil"/>
            </w:tcBorders>
            <w:shd w:val="clear" w:color="auto" w:fill="auto"/>
            <w:tcMar>
              <w:top w:w="15" w:type="dxa"/>
              <w:left w:w="15" w:type="dxa"/>
              <w:right w:w="15" w:type="dxa"/>
            </w:tcMar>
            <w:vAlign w:val="center"/>
          </w:tcPr>
          <w:p w14:paraId="0E110E99">
            <w:pPr>
              <w:keepNext w:val="0"/>
              <w:keepLines w:val="0"/>
              <w:pageBreakBefore w:val="0"/>
              <w:widowControl w:val="0"/>
              <w:kinsoku/>
              <w:wordWrap/>
              <w:overflowPunct/>
              <w:topLinePunct w:val="0"/>
              <w:autoSpaceDE/>
              <w:autoSpaceDN w:val="0"/>
              <w:bidi w:val="0"/>
              <w:adjustRightInd/>
              <w:snapToGrid/>
              <w:spacing w:beforeAutospacing="0" w:afterAutospacing="0" w:line="270" w:lineRule="exact"/>
              <w:ind w:left="42" w:leftChars="20" w:right="42" w:rightChars="20"/>
              <w:jc w:val="center"/>
              <w:rPr>
                <w:rFonts w:hint="default" w:ascii="Times New Roman" w:hAnsi="Times New Roman" w:eastAsia="方正黑体_GBK" w:cs="Times New Roman"/>
                <w:b w:val="0"/>
                <w:bCs w:val="0"/>
                <w:i w:val="0"/>
                <w:color w:val="000000" w:themeColor="text1"/>
                <w:sz w:val="20"/>
                <w:szCs w:val="20"/>
                <w:u w:val="none"/>
                <w14:textFill>
                  <w14:solidFill>
                    <w14:schemeClr w14:val="tx1"/>
                  </w14:solidFill>
                </w14:textFill>
              </w:rPr>
            </w:pPr>
          </w:p>
        </w:tc>
        <w:tc>
          <w:tcPr>
            <w:tcW w:w="770" w:type="dxa"/>
            <w:tcBorders>
              <w:tl2br w:val="nil"/>
              <w:tr2bl w:val="nil"/>
            </w:tcBorders>
            <w:shd w:val="clear" w:color="auto" w:fill="auto"/>
            <w:tcMar>
              <w:top w:w="15" w:type="dxa"/>
              <w:left w:w="15" w:type="dxa"/>
              <w:right w:w="15" w:type="dxa"/>
            </w:tcMar>
            <w:vAlign w:val="center"/>
          </w:tcPr>
          <w:p w14:paraId="10193D7C">
            <w:pPr>
              <w:keepNext w:val="0"/>
              <w:keepLines w:val="0"/>
              <w:pageBreakBefore w:val="0"/>
              <w:widowControl w:val="0"/>
              <w:kinsoku/>
              <w:wordWrap/>
              <w:overflowPunct/>
              <w:topLinePunct w:val="0"/>
              <w:autoSpaceDE/>
              <w:autoSpaceDN w:val="0"/>
              <w:bidi w:val="0"/>
              <w:adjustRightInd/>
              <w:snapToGrid/>
              <w:spacing w:beforeAutospacing="0" w:afterAutospacing="0" w:line="270" w:lineRule="exact"/>
              <w:ind w:left="42" w:leftChars="20" w:right="42" w:rightChars="20"/>
              <w:jc w:val="center"/>
              <w:rPr>
                <w:rFonts w:hint="default" w:ascii="Times New Roman" w:hAnsi="Times New Roman" w:eastAsia="方正黑体_GBK" w:cs="Times New Roman"/>
                <w:b w:val="0"/>
                <w:bCs w:val="0"/>
                <w:i w:val="0"/>
                <w:color w:val="000000" w:themeColor="text1"/>
                <w:sz w:val="20"/>
                <w:szCs w:val="20"/>
                <w:u w:val="none"/>
                <w14:textFill>
                  <w14:solidFill>
                    <w14:schemeClr w14:val="tx1"/>
                  </w14:solidFill>
                </w14:textFill>
              </w:rPr>
            </w:pPr>
          </w:p>
        </w:tc>
        <w:tc>
          <w:tcPr>
            <w:tcW w:w="888" w:type="dxa"/>
            <w:tcBorders>
              <w:tl2br w:val="nil"/>
              <w:tr2bl w:val="nil"/>
            </w:tcBorders>
            <w:shd w:val="clear" w:color="auto" w:fill="auto"/>
            <w:tcMar>
              <w:top w:w="15" w:type="dxa"/>
              <w:left w:w="15" w:type="dxa"/>
              <w:right w:w="15" w:type="dxa"/>
            </w:tcMar>
            <w:vAlign w:val="center"/>
          </w:tcPr>
          <w:p w14:paraId="12E210B5">
            <w:pPr>
              <w:keepNext w:val="0"/>
              <w:keepLines w:val="0"/>
              <w:pageBreakBefore w:val="0"/>
              <w:widowControl w:val="0"/>
              <w:kinsoku/>
              <w:wordWrap/>
              <w:overflowPunct/>
              <w:topLinePunct w:val="0"/>
              <w:autoSpaceDE/>
              <w:autoSpaceDN w:val="0"/>
              <w:bidi w:val="0"/>
              <w:adjustRightInd/>
              <w:snapToGrid/>
              <w:spacing w:beforeAutospacing="0" w:afterAutospacing="0" w:line="270" w:lineRule="exact"/>
              <w:ind w:left="42" w:leftChars="20" w:right="42" w:rightChars="20"/>
              <w:jc w:val="center"/>
              <w:rPr>
                <w:rFonts w:hint="default" w:ascii="Times New Roman" w:hAnsi="Times New Roman" w:eastAsia="方正黑体_GBK" w:cs="Times New Roman"/>
                <w:b w:val="0"/>
                <w:bCs w:val="0"/>
                <w:i w:val="0"/>
                <w:color w:val="000000" w:themeColor="text1"/>
                <w:sz w:val="20"/>
                <w:szCs w:val="20"/>
                <w:u w:val="none"/>
                <w14:textFill>
                  <w14:solidFill>
                    <w14:schemeClr w14:val="tx1"/>
                  </w14:solidFill>
                </w14:textFill>
              </w:rPr>
            </w:pPr>
          </w:p>
        </w:tc>
        <w:tc>
          <w:tcPr>
            <w:tcW w:w="942" w:type="dxa"/>
            <w:tcBorders>
              <w:tl2br w:val="nil"/>
              <w:tr2bl w:val="nil"/>
            </w:tcBorders>
            <w:shd w:val="clear" w:color="auto" w:fill="auto"/>
            <w:tcMar>
              <w:top w:w="15" w:type="dxa"/>
              <w:left w:w="15" w:type="dxa"/>
              <w:right w:w="15" w:type="dxa"/>
            </w:tcMar>
            <w:vAlign w:val="center"/>
          </w:tcPr>
          <w:p w14:paraId="3BEB7E32">
            <w:pPr>
              <w:keepNext w:val="0"/>
              <w:keepLines w:val="0"/>
              <w:pageBreakBefore w:val="0"/>
              <w:widowControl w:val="0"/>
              <w:kinsoku/>
              <w:wordWrap/>
              <w:overflowPunct/>
              <w:topLinePunct w:val="0"/>
              <w:autoSpaceDE/>
              <w:autoSpaceDN w:val="0"/>
              <w:bidi w:val="0"/>
              <w:adjustRightInd/>
              <w:snapToGrid/>
              <w:spacing w:beforeAutospacing="0" w:afterAutospacing="0" w:line="270" w:lineRule="exact"/>
              <w:ind w:left="42" w:leftChars="20" w:right="42" w:rightChars="20"/>
              <w:jc w:val="center"/>
              <w:rPr>
                <w:rFonts w:hint="default" w:ascii="Times New Roman" w:hAnsi="Times New Roman" w:eastAsia="方正黑体_GBK" w:cs="Times New Roman"/>
                <w:b w:val="0"/>
                <w:bCs w:val="0"/>
                <w:i w:val="0"/>
                <w:color w:val="000000" w:themeColor="text1"/>
                <w:sz w:val="20"/>
                <w:szCs w:val="20"/>
                <w:u w:val="none"/>
                <w14:textFill>
                  <w14:solidFill>
                    <w14:schemeClr w14:val="tx1"/>
                  </w14:solidFill>
                </w14:textFill>
              </w:rPr>
            </w:pPr>
          </w:p>
        </w:tc>
        <w:tc>
          <w:tcPr>
            <w:tcW w:w="1085" w:type="dxa"/>
            <w:tcBorders>
              <w:tl2br w:val="nil"/>
              <w:tr2bl w:val="nil"/>
            </w:tcBorders>
            <w:shd w:val="clear" w:color="auto" w:fill="auto"/>
            <w:tcMar>
              <w:top w:w="15" w:type="dxa"/>
              <w:left w:w="15" w:type="dxa"/>
              <w:right w:w="15" w:type="dxa"/>
            </w:tcMar>
            <w:vAlign w:val="center"/>
          </w:tcPr>
          <w:p w14:paraId="39C2B9A3">
            <w:pPr>
              <w:keepNext w:val="0"/>
              <w:keepLines w:val="0"/>
              <w:pageBreakBefore w:val="0"/>
              <w:widowControl w:val="0"/>
              <w:kinsoku/>
              <w:wordWrap/>
              <w:overflowPunct/>
              <w:topLinePunct w:val="0"/>
              <w:autoSpaceDE/>
              <w:autoSpaceDN w:val="0"/>
              <w:bidi w:val="0"/>
              <w:adjustRightInd/>
              <w:snapToGrid/>
              <w:spacing w:beforeAutospacing="0" w:afterAutospacing="0" w:line="270" w:lineRule="exact"/>
              <w:ind w:left="42" w:leftChars="20" w:right="42" w:rightChars="20"/>
              <w:jc w:val="center"/>
              <w:rPr>
                <w:rFonts w:hint="default" w:ascii="Times New Roman" w:hAnsi="Times New Roman" w:eastAsia="方正黑体_GBK" w:cs="Times New Roman"/>
                <w:b w:val="0"/>
                <w:bCs w:val="0"/>
                <w:i w:val="0"/>
                <w:color w:val="000000" w:themeColor="text1"/>
                <w:sz w:val="20"/>
                <w:szCs w:val="20"/>
                <w:u w:val="none"/>
                <w14:textFill>
                  <w14:solidFill>
                    <w14:schemeClr w14:val="tx1"/>
                  </w14:solidFill>
                </w14:textFill>
              </w:rPr>
            </w:pPr>
          </w:p>
        </w:tc>
        <w:tc>
          <w:tcPr>
            <w:tcW w:w="705" w:type="dxa"/>
            <w:tcBorders>
              <w:tl2br w:val="nil"/>
              <w:tr2bl w:val="nil"/>
            </w:tcBorders>
            <w:shd w:val="clear" w:color="auto" w:fill="auto"/>
            <w:tcMar>
              <w:top w:w="15" w:type="dxa"/>
              <w:left w:w="15" w:type="dxa"/>
              <w:right w:w="15" w:type="dxa"/>
            </w:tcMar>
            <w:vAlign w:val="center"/>
          </w:tcPr>
          <w:p w14:paraId="1F39A6EC">
            <w:pPr>
              <w:keepNext w:val="0"/>
              <w:keepLines w:val="0"/>
              <w:pageBreakBefore w:val="0"/>
              <w:widowControl w:val="0"/>
              <w:kinsoku/>
              <w:wordWrap/>
              <w:overflowPunct/>
              <w:topLinePunct w:val="0"/>
              <w:autoSpaceDE/>
              <w:autoSpaceDN w:val="0"/>
              <w:bidi w:val="0"/>
              <w:adjustRightInd/>
              <w:snapToGrid/>
              <w:spacing w:beforeAutospacing="0" w:afterAutospacing="0" w:line="270" w:lineRule="exact"/>
              <w:ind w:left="42" w:leftChars="20" w:right="42" w:rightChars="20"/>
              <w:jc w:val="center"/>
              <w:rPr>
                <w:rFonts w:hint="default" w:ascii="Times New Roman" w:hAnsi="Times New Roman" w:eastAsia="方正黑体_GBK" w:cs="Times New Roman"/>
                <w:b w:val="0"/>
                <w:bCs w:val="0"/>
                <w:i w:val="0"/>
                <w:color w:val="000000" w:themeColor="text1"/>
                <w:sz w:val="20"/>
                <w:szCs w:val="20"/>
                <w:u w:val="none"/>
                <w14:textFill>
                  <w14:solidFill>
                    <w14:schemeClr w14:val="tx1"/>
                  </w14:solidFill>
                </w14:textFill>
              </w:rPr>
            </w:pPr>
          </w:p>
        </w:tc>
        <w:tc>
          <w:tcPr>
            <w:tcW w:w="1171" w:type="dxa"/>
            <w:tcBorders>
              <w:tl2br w:val="nil"/>
              <w:tr2bl w:val="nil"/>
            </w:tcBorders>
            <w:shd w:val="clear" w:color="auto" w:fill="auto"/>
            <w:tcMar>
              <w:top w:w="15" w:type="dxa"/>
              <w:left w:w="15" w:type="dxa"/>
              <w:right w:w="15" w:type="dxa"/>
            </w:tcMar>
            <w:vAlign w:val="center"/>
          </w:tcPr>
          <w:p w14:paraId="12504472">
            <w:pPr>
              <w:keepNext w:val="0"/>
              <w:keepLines w:val="0"/>
              <w:pageBreakBefore w:val="0"/>
              <w:widowControl w:val="0"/>
              <w:kinsoku/>
              <w:wordWrap/>
              <w:overflowPunct/>
              <w:topLinePunct w:val="0"/>
              <w:autoSpaceDE/>
              <w:autoSpaceDN w:val="0"/>
              <w:bidi w:val="0"/>
              <w:adjustRightInd/>
              <w:snapToGrid/>
              <w:spacing w:beforeAutospacing="0" w:afterAutospacing="0" w:line="270" w:lineRule="exact"/>
              <w:ind w:left="42" w:leftChars="20" w:right="42" w:rightChars="20"/>
              <w:jc w:val="center"/>
              <w:rPr>
                <w:rFonts w:hint="default" w:ascii="Times New Roman" w:hAnsi="Times New Roman" w:eastAsia="方正黑体_GBK" w:cs="Times New Roman"/>
                <w:b w:val="0"/>
                <w:bCs w:val="0"/>
                <w:i w:val="0"/>
                <w:color w:val="000000" w:themeColor="text1"/>
                <w:sz w:val="20"/>
                <w:szCs w:val="20"/>
                <w:u w:val="none"/>
                <w14:textFill>
                  <w14:solidFill>
                    <w14:schemeClr w14:val="tx1"/>
                  </w14:solidFill>
                </w14:textFill>
              </w:rPr>
            </w:pPr>
          </w:p>
        </w:tc>
        <w:tc>
          <w:tcPr>
            <w:tcW w:w="1095" w:type="dxa"/>
            <w:tcBorders>
              <w:tl2br w:val="nil"/>
              <w:tr2bl w:val="nil"/>
            </w:tcBorders>
            <w:shd w:val="clear" w:color="auto" w:fill="auto"/>
            <w:tcMar>
              <w:top w:w="15" w:type="dxa"/>
              <w:left w:w="15" w:type="dxa"/>
              <w:right w:w="15" w:type="dxa"/>
            </w:tcMar>
            <w:vAlign w:val="center"/>
          </w:tcPr>
          <w:p w14:paraId="1192E850">
            <w:pPr>
              <w:keepNext w:val="0"/>
              <w:keepLines w:val="0"/>
              <w:pageBreakBefore w:val="0"/>
              <w:widowControl w:val="0"/>
              <w:kinsoku/>
              <w:wordWrap/>
              <w:overflowPunct/>
              <w:topLinePunct w:val="0"/>
              <w:autoSpaceDE/>
              <w:autoSpaceDN w:val="0"/>
              <w:bidi w:val="0"/>
              <w:adjustRightInd/>
              <w:snapToGrid/>
              <w:spacing w:beforeAutospacing="0" w:afterAutospacing="0" w:line="270" w:lineRule="exact"/>
              <w:ind w:left="42" w:leftChars="20" w:right="42" w:rightChars="20"/>
              <w:jc w:val="center"/>
              <w:rPr>
                <w:rFonts w:hint="default" w:ascii="Times New Roman" w:hAnsi="Times New Roman" w:eastAsia="方正黑体_GBK" w:cs="Times New Roman"/>
                <w:b w:val="0"/>
                <w:bCs w:val="0"/>
                <w:i w:val="0"/>
                <w:color w:val="000000" w:themeColor="text1"/>
                <w:sz w:val="20"/>
                <w:szCs w:val="20"/>
                <w:u w:val="none"/>
                <w14:textFill>
                  <w14:solidFill>
                    <w14:schemeClr w14:val="tx1"/>
                  </w14:solidFill>
                </w14:textFill>
              </w:rPr>
            </w:pPr>
          </w:p>
        </w:tc>
      </w:tr>
      <w:tr w14:paraId="7A235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jc w:val="center"/>
        </w:trPr>
        <w:tc>
          <w:tcPr>
            <w:tcW w:w="500" w:type="dxa"/>
            <w:tcBorders>
              <w:tl2br w:val="nil"/>
              <w:tr2bl w:val="nil"/>
            </w:tcBorders>
            <w:shd w:val="clear" w:color="auto" w:fill="auto"/>
            <w:tcMar>
              <w:top w:w="15" w:type="dxa"/>
              <w:left w:w="15" w:type="dxa"/>
              <w:right w:w="15" w:type="dxa"/>
            </w:tcMar>
            <w:vAlign w:val="center"/>
          </w:tcPr>
          <w:p w14:paraId="51888AB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w:t>
            </w:r>
          </w:p>
        </w:tc>
        <w:tc>
          <w:tcPr>
            <w:tcW w:w="906" w:type="dxa"/>
            <w:tcBorders>
              <w:tl2br w:val="nil"/>
              <w:tr2bl w:val="nil"/>
            </w:tcBorders>
            <w:shd w:val="clear" w:color="auto" w:fill="auto"/>
            <w:tcMar>
              <w:top w:w="15" w:type="dxa"/>
              <w:left w:w="15" w:type="dxa"/>
              <w:right w:w="15" w:type="dxa"/>
            </w:tcMar>
            <w:vAlign w:val="center"/>
          </w:tcPr>
          <w:p w14:paraId="1FC775B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pPr>
            <w:r>
              <w:rPr>
                <w:rFonts w:hint="default"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t xml:space="preserve">企业研发投入奖补事项 </w:t>
            </w:r>
          </w:p>
        </w:tc>
        <w:tc>
          <w:tcPr>
            <w:tcW w:w="3227" w:type="dxa"/>
            <w:tcBorders>
              <w:tl2br w:val="nil"/>
              <w:tr2bl w:val="nil"/>
            </w:tcBorders>
            <w:shd w:val="clear" w:color="auto" w:fill="auto"/>
            <w:tcMar>
              <w:top w:w="15" w:type="dxa"/>
              <w:left w:w="15" w:type="dxa"/>
              <w:right w:w="15" w:type="dxa"/>
            </w:tcMar>
            <w:vAlign w:val="center"/>
          </w:tcPr>
          <w:p w14:paraId="4B4240B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对年度研发投入费用总额超过50万元（含）的企业给予研发投入补助，补助标准为高新技术企业不低于研发投入费用总额的4%，科技型中小企业不低于3.5%，其他企业不低于3%，单个企业补助最高不超过200万元。可以根据当年财政预算支出情况对补助标准适时进行调整，同一年度申报研发投入补助的同类型企业享受相同的补助标准。</w:t>
            </w:r>
          </w:p>
        </w:tc>
        <w:tc>
          <w:tcPr>
            <w:tcW w:w="2334" w:type="dxa"/>
            <w:tcBorders>
              <w:tl2br w:val="nil"/>
              <w:tr2bl w:val="nil"/>
            </w:tcBorders>
            <w:shd w:val="clear" w:color="auto" w:fill="auto"/>
            <w:tcMar>
              <w:top w:w="15" w:type="dxa"/>
              <w:left w:w="15" w:type="dxa"/>
              <w:right w:w="15" w:type="dxa"/>
            </w:tcMar>
            <w:vAlign w:val="center"/>
          </w:tcPr>
          <w:p w14:paraId="3F90247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广安市科学技术局、广安市财政局、国家税务总局广安市税务局、广安市统计局、广安市经济和信息化局关于印发《广安市激励企业加大研发投入后补助实施办法》的通知（广科技发〔2023〕4号）</w:t>
            </w:r>
          </w:p>
        </w:tc>
        <w:tc>
          <w:tcPr>
            <w:tcW w:w="770" w:type="dxa"/>
            <w:tcBorders>
              <w:tl2br w:val="nil"/>
              <w:tr2bl w:val="nil"/>
            </w:tcBorders>
            <w:shd w:val="clear" w:color="auto" w:fill="auto"/>
            <w:tcMar>
              <w:top w:w="15" w:type="dxa"/>
              <w:left w:w="15" w:type="dxa"/>
              <w:right w:w="15" w:type="dxa"/>
            </w:tcMar>
            <w:vAlign w:val="center"/>
          </w:tcPr>
          <w:p w14:paraId="48637D6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奖补类</w:t>
            </w:r>
          </w:p>
        </w:tc>
        <w:tc>
          <w:tcPr>
            <w:tcW w:w="770" w:type="dxa"/>
            <w:tcBorders>
              <w:tl2br w:val="nil"/>
              <w:tr2bl w:val="nil"/>
            </w:tcBorders>
            <w:shd w:val="clear" w:color="auto" w:fill="auto"/>
            <w:tcMar>
              <w:top w:w="15" w:type="dxa"/>
              <w:left w:w="15" w:type="dxa"/>
              <w:right w:w="15" w:type="dxa"/>
            </w:tcMar>
            <w:vAlign w:val="center"/>
          </w:tcPr>
          <w:p w14:paraId="561CB42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770" w:type="dxa"/>
            <w:tcBorders>
              <w:tl2br w:val="nil"/>
              <w:tr2bl w:val="nil"/>
            </w:tcBorders>
            <w:shd w:val="clear" w:color="auto" w:fill="auto"/>
            <w:tcMar>
              <w:top w:w="15" w:type="dxa"/>
              <w:left w:w="15" w:type="dxa"/>
              <w:right w:w="15" w:type="dxa"/>
            </w:tcMar>
            <w:vAlign w:val="center"/>
          </w:tcPr>
          <w:p w14:paraId="15282EF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888" w:type="dxa"/>
            <w:tcBorders>
              <w:tl2br w:val="nil"/>
              <w:tr2bl w:val="nil"/>
            </w:tcBorders>
            <w:shd w:val="clear" w:color="auto" w:fill="auto"/>
            <w:tcMar>
              <w:top w:w="15" w:type="dxa"/>
              <w:left w:w="15" w:type="dxa"/>
              <w:right w:w="15" w:type="dxa"/>
            </w:tcMar>
            <w:vAlign w:val="center"/>
          </w:tcPr>
          <w:p w14:paraId="4424F45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4423876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市科学</w:t>
            </w:r>
          </w:p>
          <w:p w14:paraId="56E895C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技术局</w:t>
            </w:r>
          </w:p>
        </w:tc>
        <w:tc>
          <w:tcPr>
            <w:tcW w:w="1085" w:type="dxa"/>
            <w:tcBorders>
              <w:tl2br w:val="nil"/>
              <w:tr2bl w:val="nil"/>
            </w:tcBorders>
            <w:shd w:val="clear" w:color="auto" w:fill="auto"/>
            <w:tcMar>
              <w:top w:w="15" w:type="dxa"/>
              <w:left w:w="15" w:type="dxa"/>
              <w:right w:w="15" w:type="dxa"/>
            </w:tcMar>
            <w:vAlign w:val="center"/>
          </w:tcPr>
          <w:p w14:paraId="0C2369E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sz w:val="20"/>
                <w:szCs w:val="20"/>
                <w:u w:val="none"/>
                <w:lang w:val="en-US" w:eastAsia="zh-CN"/>
                <w14:textFill>
                  <w14:solidFill>
                    <w14:schemeClr w14:val="tx1"/>
                  </w14:solidFill>
                </w14:textFill>
              </w:rPr>
              <w:t>企业</w:t>
            </w:r>
          </w:p>
        </w:tc>
        <w:tc>
          <w:tcPr>
            <w:tcW w:w="705" w:type="dxa"/>
            <w:tcBorders>
              <w:tl2br w:val="nil"/>
              <w:tr2bl w:val="nil"/>
            </w:tcBorders>
            <w:shd w:val="clear" w:color="auto" w:fill="auto"/>
            <w:tcMar>
              <w:top w:w="15" w:type="dxa"/>
              <w:left w:w="15" w:type="dxa"/>
              <w:right w:w="15" w:type="dxa"/>
            </w:tcMar>
            <w:vAlign w:val="center"/>
          </w:tcPr>
          <w:p w14:paraId="7B16CB7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kern w:val="0"/>
                <w:sz w:val="20"/>
                <w:szCs w:val="20"/>
                <w:u w:val="none"/>
                <w:lang w:val="en-US" w:eastAsia="zh-CN" w:bidi="ar"/>
              </w:rPr>
              <w:t>即申即享</w:t>
            </w:r>
          </w:p>
        </w:tc>
        <w:tc>
          <w:tcPr>
            <w:tcW w:w="1171" w:type="dxa"/>
            <w:tcBorders>
              <w:tl2br w:val="nil"/>
              <w:tr2bl w:val="nil"/>
            </w:tcBorders>
            <w:shd w:val="clear" w:color="auto" w:fill="auto"/>
            <w:tcMar>
              <w:top w:w="15" w:type="dxa"/>
              <w:left w:w="15" w:type="dxa"/>
              <w:right w:w="15" w:type="dxa"/>
            </w:tcMar>
            <w:vAlign w:val="center"/>
          </w:tcPr>
          <w:p w14:paraId="227AE52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eastAsia" w:ascii="Times New Roman" w:hAnsi="Times New Roman" w:eastAsia="宋体" w:cs="Times New Roman"/>
                <w:b w:val="0"/>
                <w:bCs w:val="0"/>
                <w:i w:val="0"/>
                <w:color w:val="000000"/>
                <w:kern w:val="0"/>
                <w:sz w:val="20"/>
                <w:szCs w:val="20"/>
                <w:u w:val="none"/>
                <w:lang w:val="en-US" w:eastAsia="zh-CN" w:bidi="ar"/>
              </w:rPr>
              <w:t>按程序执行</w:t>
            </w:r>
          </w:p>
        </w:tc>
        <w:tc>
          <w:tcPr>
            <w:tcW w:w="1095" w:type="dxa"/>
            <w:tcBorders>
              <w:tl2br w:val="nil"/>
              <w:tr2bl w:val="nil"/>
            </w:tcBorders>
            <w:shd w:val="clear" w:color="auto" w:fill="auto"/>
            <w:tcMar>
              <w:top w:w="15" w:type="dxa"/>
              <w:left w:w="15" w:type="dxa"/>
              <w:right w:w="15" w:type="dxa"/>
            </w:tcMar>
            <w:vAlign w:val="center"/>
          </w:tcPr>
          <w:p w14:paraId="416EE56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kern w:val="0"/>
                <w:sz w:val="20"/>
                <w:szCs w:val="20"/>
                <w:u w:val="none"/>
                <w:lang w:val="en-US" w:eastAsia="zh-CN" w:bidi="ar"/>
              </w:rPr>
              <w:t>2023年</w:t>
            </w:r>
            <w:r>
              <w:rPr>
                <w:rFonts w:hint="eastAsia" w:ascii="Times New Roman" w:hAnsi="Times New Roman" w:eastAsia="宋体" w:cs="Times New Roman"/>
                <w:b w:val="0"/>
                <w:bCs w:val="0"/>
                <w:i w:val="0"/>
                <w:color w:val="000000"/>
                <w:kern w:val="0"/>
                <w:sz w:val="20"/>
                <w:szCs w:val="20"/>
                <w:u w:val="none"/>
                <w:lang w:val="en-US" w:eastAsia="zh-CN" w:bidi="ar"/>
              </w:rPr>
              <w:t>4</w:t>
            </w:r>
            <w:r>
              <w:rPr>
                <w:rFonts w:hint="default" w:ascii="Times New Roman" w:hAnsi="Times New Roman" w:eastAsia="宋体" w:cs="Times New Roman"/>
                <w:b w:val="0"/>
                <w:bCs w:val="0"/>
                <w:i w:val="0"/>
                <w:color w:val="000000"/>
                <w:kern w:val="0"/>
                <w:sz w:val="20"/>
                <w:szCs w:val="20"/>
                <w:u w:val="none"/>
                <w:lang w:val="en-US" w:eastAsia="zh-CN" w:bidi="ar"/>
              </w:rPr>
              <w:t>月</w:t>
            </w:r>
            <w:r>
              <w:rPr>
                <w:rFonts w:hint="eastAsia" w:ascii="Times New Roman" w:hAnsi="Times New Roman" w:eastAsia="宋体" w:cs="Times New Roman"/>
                <w:b w:val="0"/>
                <w:bCs w:val="0"/>
                <w:i w:val="0"/>
                <w:color w:val="000000"/>
                <w:kern w:val="0"/>
                <w:sz w:val="20"/>
                <w:szCs w:val="20"/>
                <w:u w:val="none"/>
                <w:lang w:val="en-US" w:eastAsia="zh-CN" w:bidi="ar"/>
              </w:rPr>
              <w:t>2</w:t>
            </w:r>
            <w:r>
              <w:rPr>
                <w:rFonts w:hint="default" w:ascii="Times New Roman" w:hAnsi="Times New Roman" w:eastAsia="宋体" w:cs="Times New Roman"/>
                <w:b w:val="0"/>
                <w:bCs w:val="0"/>
                <w:i w:val="0"/>
                <w:color w:val="000000"/>
                <w:kern w:val="0"/>
                <w:sz w:val="20"/>
                <w:szCs w:val="20"/>
                <w:u w:val="none"/>
                <w:lang w:val="en-US" w:eastAsia="zh-CN" w:bidi="ar"/>
              </w:rPr>
              <w:t>日至202</w:t>
            </w:r>
            <w:r>
              <w:rPr>
                <w:rFonts w:hint="eastAsia" w:ascii="Times New Roman" w:hAnsi="Times New Roman" w:eastAsia="宋体" w:cs="Times New Roman"/>
                <w:b w:val="0"/>
                <w:bCs w:val="0"/>
                <w:i w:val="0"/>
                <w:color w:val="000000"/>
                <w:kern w:val="0"/>
                <w:sz w:val="20"/>
                <w:szCs w:val="20"/>
                <w:u w:val="none"/>
                <w:lang w:val="en-US" w:eastAsia="zh-CN" w:bidi="ar"/>
              </w:rPr>
              <w:t>8</w:t>
            </w:r>
            <w:r>
              <w:rPr>
                <w:rFonts w:hint="default" w:ascii="Times New Roman" w:hAnsi="Times New Roman" w:eastAsia="宋体" w:cs="Times New Roman"/>
                <w:b w:val="0"/>
                <w:bCs w:val="0"/>
                <w:i w:val="0"/>
                <w:color w:val="000000"/>
                <w:kern w:val="0"/>
                <w:sz w:val="20"/>
                <w:szCs w:val="20"/>
                <w:u w:val="none"/>
                <w:lang w:val="en-US" w:eastAsia="zh-CN" w:bidi="ar"/>
              </w:rPr>
              <w:t>年</w:t>
            </w:r>
            <w:r>
              <w:rPr>
                <w:rFonts w:hint="eastAsia" w:ascii="Times New Roman" w:hAnsi="Times New Roman" w:eastAsia="宋体" w:cs="Times New Roman"/>
                <w:b w:val="0"/>
                <w:bCs w:val="0"/>
                <w:i w:val="0"/>
                <w:color w:val="000000"/>
                <w:kern w:val="0"/>
                <w:sz w:val="20"/>
                <w:szCs w:val="20"/>
                <w:u w:val="none"/>
                <w:lang w:val="en-US" w:eastAsia="zh-CN" w:bidi="ar"/>
              </w:rPr>
              <w:t>4</w:t>
            </w:r>
            <w:r>
              <w:rPr>
                <w:rFonts w:hint="default" w:ascii="Times New Roman" w:hAnsi="Times New Roman" w:eastAsia="宋体" w:cs="Times New Roman"/>
                <w:b w:val="0"/>
                <w:bCs w:val="0"/>
                <w:i w:val="0"/>
                <w:color w:val="000000"/>
                <w:kern w:val="0"/>
                <w:sz w:val="20"/>
                <w:szCs w:val="20"/>
                <w:u w:val="none"/>
                <w:lang w:val="en-US" w:eastAsia="zh-CN" w:bidi="ar"/>
              </w:rPr>
              <w:t>月</w:t>
            </w:r>
            <w:r>
              <w:rPr>
                <w:rFonts w:hint="eastAsia" w:ascii="Times New Roman" w:hAnsi="Times New Roman" w:eastAsia="宋体" w:cs="Times New Roman"/>
                <w:b w:val="0"/>
                <w:bCs w:val="0"/>
                <w:i w:val="0"/>
                <w:color w:val="000000"/>
                <w:kern w:val="0"/>
                <w:sz w:val="20"/>
                <w:szCs w:val="20"/>
                <w:u w:val="none"/>
                <w:lang w:val="en-US" w:eastAsia="zh-CN" w:bidi="ar"/>
              </w:rPr>
              <w:t>1</w:t>
            </w:r>
            <w:r>
              <w:rPr>
                <w:rFonts w:hint="default" w:ascii="Times New Roman" w:hAnsi="Times New Roman" w:eastAsia="宋体" w:cs="Times New Roman"/>
                <w:b w:val="0"/>
                <w:bCs w:val="0"/>
                <w:i w:val="0"/>
                <w:color w:val="000000"/>
                <w:kern w:val="0"/>
                <w:sz w:val="20"/>
                <w:szCs w:val="20"/>
                <w:u w:val="none"/>
                <w:lang w:val="en-US" w:eastAsia="zh-CN" w:bidi="ar"/>
              </w:rPr>
              <w:t>日</w:t>
            </w:r>
          </w:p>
        </w:tc>
      </w:tr>
      <w:tr w14:paraId="4BC41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jc w:val="center"/>
        </w:trPr>
        <w:tc>
          <w:tcPr>
            <w:tcW w:w="500" w:type="dxa"/>
            <w:tcBorders>
              <w:tl2br w:val="nil"/>
              <w:tr2bl w:val="nil"/>
            </w:tcBorders>
            <w:shd w:val="clear" w:color="auto" w:fill="auto"/>
            <w:tcMar>
              <w:top w:w="15" w:type="dxa"/>
              <w:left w:w="15" w:type="dxa"/>
              <w:right w:w="15" w:type="dxa"/>
            </w:tcMar>
            <w:vAlign w:val="center"/>
          </w:tcPr>
          <w:p w14:paraId="7FD80A1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2</w:t>
            </w:r>
          </w:p>
        </w:tc>
        <w:tc>
          <w:tcPr>
            <w:tcW w:w="906" w:type="dxa"/>
            <w:tcBorders>
              <w:tl2br w:val="nil"/>
              <w:tr2bl w:val="nil"/>
            </w:tcBorders>
            <w:shd w:val="clear" w:color="auto" w:fill="auto"/>
            <w:tcMar>
              <w:top w:w="15" w:type="dxa"/>
              <w:left w:w="15" w:type="dxa"/>
              <w:right w:w="15" w:type="dxa"/>
            </w:tcMar>
            <w:vAlign w:val="center"/>
          </w:tcPr>
          <w:p w14:paraId="15D6815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t>支持工业科技创新平台发展</w:t>
            </w:r>
          </w:p>
        </w:tc>
        <w:tc>
          <w:tcPr>
            <w:tcW w:w="3227" w:type="dxa"/>
            <w:tcBorders>
              <w:tl2br w:val="nil"/>
              <w:tr2bl w:val="nil"/>
            </w:tcBorders>
            <w:shd w:val="clear" w:color="auto" w:fill="auto"/>
            <w:tcMar>
              <w:top w:w="15" w:type="dxa"/>
              <w:left w:w="15" w:type="dxa"/>
              <w:right w:w="15" w:type="dxa"/>
            </w:tcMar>
            <w:vAlign w:val="center"/>
          </w:tcPr>
          <w:p w14:paraId="5872C01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进</w:t>
            </w:r>
            <w:r>
              <w:rPr>
                <w:rFonts w:hint="eastAsia" w:asciiTheme="minorEastAsia" w:hAnsiTheme="minorEastAsia" w:eastAsiaTheme="minorEastAsia" w:cstheme="minorEastAsia"/>
                <w:b w:val="0"/>
                <w:bCs w:val="0"/>
                <w:i w:val="0"/>
                <w:color w:val="000000"/>
                <w:kern w:val="0"/>
                <w:sz w:val="20"/>
                <w:szCs w:val="20"/>
                <w:u w:val="none"/>
                <w:lang w:val="en-US" w:eastAsia="zh-CN" w:bidi="ar"/>
              </w:rPr>
              <w:t>入“省队”、“市队”行列的重点实验室、工</w:t>
            </w:r>
            <w:r>
              <w:rPr>
                <w:rFonts w:hint="default" w:ascii="Times New Roman" w:hAnsi="Times New Roman" w:eastAsia="宋体" w:cs="Times New Roman"/>
                <w:b w:val="0"/>
                <w:bCs w:val="0"/>
                <w:i w:val="0"/>
                <w:color w:val="000000"/>
                <w:kern w:val="0"/>
                <w:sz w:val="20"/>
                <w:szCs w:val="20"/>
                <w:u w:val="none"/>
                <w:lang w:val="en-US" w:eastAsia="zh-CN" w:bidi="ar"/>
              </w:rPr>
              <w:t>程技术研究中心</w:t>
            </w:r>
          </w:p>
        </w:tc>
        <w:tc>
          <w:tcPr>
            <w:tcW w:w="2334" w:type="dxa"/>
            <w:tcBorders>
              <w:tl2br w:val="nil"/>
              <w:tr2bl w:val="nil"/>
            </w:tcBorders>
            <w:shd w:val="clear" w:color="auto" w:fill="auto"/>
            <w:tcMar>
              <w:top w:w="15" w:type="dxa"/>
              <w:left w:w="15" w:type="dxa"/>
              <w:right w:w="15" w:type="dxa"/>
            </w:tcMar>
            <w:vAlign w:val="center"/>
          </w:tcPr>
          <w:p w14:paraId="057CFD1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广安市科学技术局 广安市经济和信息化局 广安市财政局关于印发《广安市支持工业科技创新平台发展若干措施》的通知（广科技发〔2024〕29号）</w:t>
            </w:r>
          </w:p>
        </w:tc>
        <w:tc>
          <w:tcPr>
            <w:tcW w:w="770" w:type="dxa"/>
            <w:tcBorders>
              <w:tl2br w:val="nil"/>
              <w:tr2bl w:val="nil"/>
            </w:tcBorders>
            <w:shd w:val="clear" w:color="auto" w:fill="auto"/>
            <w:tcMar>
              <w:top w:w="15" w:type="dxa"/>
              <w:left w:w="15" w:type="dxa"/>
              <w:right w:w="15" w:type="dxa"/>
            </w:tcMar>
            <w:vAlign w:val="center"/>
          </w:tcPr>
          <w:p w14:paraId="2EA4D74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奖补类</w:t>
            </w:r>
          </w:p>
        </w:tc>
        <w:tc>
          <w:tcPr>
            <w:tcW w:w="770" w:type="dxa"/>
            <w:tcBorders>
              <w:tl2br w:val="nil"/>
              <w:tr2bl w:val="nil"/>
            </w:tcBorders>
            <w:shd w:val="clear" w:color="auto" w:fill="auto"/>
            <w:tcMar>
              <w:top w:w="15" w:type="dxa"/>
              <w:left w:w="15" w:type="dxa"/>
              <w:right w:w="15" w:type="dxa"/>
            </w:tcMar>
            <w:vAlign w:val="center"/>
          </w:tcPr>
          <w:p w14:paraId="7D24226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770" w:type="dxa"/>
            <w:tcBorders>
              <w:tl2br w:val="nil"/>
              <w:tr2bl w:val="nil"/>
            </w:tcBorders>
            <w:shd w:val="clear" w:color="auto" w:fill="auto"/>
            <w:tcMar>
              <w:top w:w="15" w:type="dxa"/>
              <w:left w:w="15" w:type="dxa"/>
              <w:right w:w="15" w:type="dxa"/>
            </w:tcMar>
            <w:vAlign w:val="center"/>
          </w:tcPr>
          <w:p w14:paraId="402EF0D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888" w:type="dxa"/>
            <w:tcBorders>
              <w:tl2br w:val="nil"/>
              <w:tr2bl w:val="nil"/>
            </w:tcBorders>
            <w:shd w:val="clear" w:color="auto" w:fill="auto"/>
            <w:tcMar>
              <w:top w:w="15" w:type="dxa"/>
              <w:left w:w="15" w:type="dxa"/>
              <w:right w:w="15" w:type="dxa"/>
            </w:tcMar>
            <w:vAlign w:val="center"/>
          </w:tcPr>
          <w:p w14:paraId="5F11D9C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5C4A2B1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市科学</w:t>
            </w:r>
          </w:p>
          <w:p w14:paraId="1C4B043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技术局</w:t>
            </w:r>
          </w:p>
        </w:tc>
        <w:tc>
          <w:tcPr>
            <w:tcW w:w="1085" w:type="dxa"/>
            <w:tcBorders>
              <w:tl2br w:val="nil"/>
              <w:tr2bl w:val="nil"/>
            </w:tcBorders>
            <w:shd w:val="clear" w:color="auto" w:fill="auto"/>
            <w:tcMar>
              <w:top w:w="15" w:type="dxa"/>
              <w:left w:w="15" w:type="dxa"/>
              <w:right w:w="15" w:type="dxa"/>
            </w:tcMar>
            <w:vAlign w:val="center"/>
          </w:tcPr>
          <w:p w14:paraId="537A6A2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符合条件的</w:t>
            </w: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创新主体</w:t>
            </w:r>
          </w:p>
        </w:tc>
        <w:tc>
          <w:tcPr>
            <w:tcW w:w="705" w:type="dxa"/>
            <w:tcBorders>
              <w:tl2br w:val="nil"/>
              <w:tr2bl w:val="nil"/>
            </w:tcBorders>
            <w:shd w:val="clear" w:color="auto" w:fill="auto"/>
            <w:tcMar>
              <w:top w:w="15" w:type="dxa"/>
              <w:left w:w="15" w:type="dxa"/>
              <w:right w:w="15" w:type="dxa"/>
            </w:tcMar>
            <w:vAlign w:val="center"/>
          </w:tcPr>
          <w:p w14:paraId="7A7C293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免申</w:t>
            </w:r>
          </w:p>
          <w:p w14:paraId="4634407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即享</w:t>
            </w:r>
          </w:p>
        </w:tc>
        <w:tc>
          <w:tcPr>
            <w:tcW w:w="1171" w:type="dxa"/>
            <w:tcBorders>
              <w:tl2br w:val="nil"/>
              <w:tr2bl w:val="nil"/>
            </w:tcBorders>
            <w:shd w:val="clear" w:color="auto" w:fill="auto"/>
            <w:tcMar>
              <w:top w:w="15" w:type="dxa"/>
              <w:left w:w="15" w:type="dxa"/>
              <w:right w:w="15" w:type="dxa"/>
            </w:tcMar>
            <w:vAlign w:val="center"/>
          </w:tcPr>
          <w:p w14:paraId="601FD65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市财政资金到位后，20个工作日内拨付</w:t>
            </w:r>
          </w:p>
        </w:tc>
        <w:tc>
          <w:tcPr>
            <w:tcW w:w="1095" w:type="dxa"/>
            <w:tcBorders>
              <w:tl2br w:val="nil"/>
              <w:tr2bl w:val="nil"/>
            </w:tcBorders>
            <w:shd w:val="clear" w:color="auto" w:fill="auto"/>
            <w:tcMar>
              <w:top w:w="15" w:type="dxa"/>
              <w:left w:w="15" w:type="dxa"/>
              <w:right w:w="15" w:type="dxa"/>
            </w:tcMar>
            <w:vAlign w:val="center"/>
          </w:tcPr>
          <w:p w14:paraId="04BBF57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至2029年12月1日</w:t>
            </w:r>
          </w:p>
        </w:tc>
      </w:tr>
      <w:tr w14:paraId="6A100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00" w:type="dxa"/>
            <w:tcBorders>
              <w:tl2br w:val="nil"/>
              <w:tr2bl w:val="nil"/>
            </w:tcBorders>
            <w:shd w:val="clear" w:color="auto" w:fill="auto"/>
            <w:tcMar>
              <w:top w:w="15" w:type="dxa"/>
              <w:left w:w="15" w:type="dxa"/>
              <w:right w:w="15" w:type="dxa"/>
            </w:tcMar>
            <w:vAlign w:val="center"/>
          </w:tcPr>
          <w:p w14:paraId="6431CD2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3</w:t>
            </w:r>
          </w:p>
        </w:tc>
        <w:tc>
          <w:tcPr>
            <w:tcW w:w="906" w:type="dxa"/>
            <w:tcBorders>
              <w:tl2br w:val="nil"/>
              <w:tr2bl w:val="nil"/>
            </w:tcBorders>
            <w:shd w:val="clear" w:color="auto" w:fill="auto"/>
            <w:tcMar>
              <w:top w:w="15" w:type="dxa"/>
              <w:left w:w="15" w:type="dxa"/>
              <w:right w:w="15" w:type="dxa"/>
            </w:tcMar>
            <w:vAlign w:val="center"/>
          </w:tcPr>
          <w:p w14:paraId="2523B02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t>支持工业科技创新平台发展</w:t>
            </w:r>
          </w:p>
        </w:tc>
        <w:tc>
          <w:tcPr>
            <w:tcW w:w="3227" w:type="dxa"/>
            <w:tcBorders>
              <w:tl2br w:val="nil"/>
              <w:tr2bl w:val="nil"/>
            </w:tcBorders>
            <w:shd w:val="clear" w:color="auto" w:fill="auto"/>
            <w:tcMar>
              <w:top w:w="15" w:type="dxa"/>
              <w:left w:w="15" w:type="dxa"/>
              <w:right w:w="15" w:type="dxa"/>
            </w:tcMar>
            <w:vAlign w:val="center"/>
          </w:tcPr>
          <w:p w14:paraId="19CAD37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新认定的省级概念验证、中试熟化（研发）平台</w:t>
            </w:r>
          </w:p>
        </w:tc>
        <w:tc>
          <w:tcPr>
            <w:tcW w:w="2334" w:type="dxa"/>
            <w:tcBorders>
              <w:tl2br w:val="nil"/>
              <w:tr2bl w:val="nil"/>
            </w:tcBorders>
            <w:shd w:val="clear" w:color="auto" w:fill="auto"/>
            <w:tcMar>
              <w:top w:w="15" w:type="dxa"/>
              <w:left w:w="15" w:type="dxa"/>
              <w:right w:w="15" w:type="dxa"/>
            </w:tcMar>
            <w:vAlign w:val="center"/>
          </w:tcPr>
          <w:p w14:paraId="0D110AD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广安市科学技术局 广安市经济和信息化局 广安市财政局关于印发《广安市支持工业科技创新平台发展若干措施》的通知（广科技发〔2024〕29号）</w:t>
            </w:r>
          </w:p>
        </w:tc>
        <w:tc>
          <w:tcPr>
            <w:tcW w:w="770" w:type="dxa"/>
            <w:tcBorders>
              <w:tl2br w:val="nil"/>
              <w:tr2bl w:val="nil"/>
            </w:tcBorders>
            <w:shd w:val="clear" w:color="auto" w:fill="auto"/>
            <w:tcMar>
              <w:top w:w="15" w:type="dxa"/>
              <w:left w:w="15" w:type="dxa"/>
              <w:right w:w="15" w:type="dxa"/>
            </w:tcMar>
            <w:vAlign w:val="center"/>
          </w:tcPr>
          <w:p w14:paraId="4BAACC9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奖补类</w:t>
            </w:r>
          </w:p>
        </w:tc>
        <w:tc>
          <w:tcPr>
            <w:tcW w:w="770" w:type="dxa"/>
            <w:tcBorders>
              <w:tl2br w:val="nil"/>
              <w:tr2bl w:val="nil"/>
            </w:tcBorders>
            <w:shd w:val="clear" w:color="auto" w:fill="auto"/>
            <w:tcMar>
              <w:top w:w="15" w:type="dxa"/>
              <w:left w:w="15" w:type="dxa"/>
              <w:right w:w="15" w:type="dxa"/>
            </w:tcMar>
            <w:vAlign w:val="center"/>
          </w:tcPr>
          <w:p w14:paraId="74281A1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770" w:type="dxa"/>
            <w:tcBorders>
              <w:tl2br w:val="nil"/>
              <w:tr2bl w:val="nil"/>
            </w:tcBorders>
            <w:shd w:val="clear" w:color="auto" w:fill="auto"/>
            <w:tcMar>
              <w:top w:w="15" w:type="dxa"/>
              <w:left w:w="15" w:type="dxa"/>
              <w:right w:w="15" w:type="dxa"/>
            </w:tcMar>
            <w:vAlign w:val="center"/>
          </w:tcPr>
          <w:p w14:paraId="141FDE1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888" w:type="dxa"/>
            <w:tcBorders>
              <w:tl2br w:val="nil"/>
              <w:tr2bl w:val="nil"/>
            </w:tcBorders>
            <w:shd w:val="clear" w:color="auto" w:fill="auto"/>
            <w:tcMar>
              <w:top w:w="15" w:type="dxa"/>
              <w:left w:w="15" w:type="dxa"/>
              <w:right w:w="15" w:type="dxa"/>
            </w:tcMar>
            <w:vAlign w:val="center"/>
          </w:tcPr>
          <w:p w14:paraId="4D301CF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5698628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市科学</w:t>
            </w:r>
          </w:p>
          <w:p w14:paraId="0B285F5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技术局</w:t>
            </w:r>
          </w:p>
        </w:tc>
        <w:tc>
          <w:tcPr>
            <w:tcW w:w="1085" w:type="dxa"/>
            <w:tcBorders>
              <w:tl2br w:val="nil"/>
              <w:tr2bl w:val="nil"/>
            </w:tcBorders>
            <w:shd w:val="clear" w:color="auto" w:fill="auto"/>
            <w:tcMar>
              <w:top w:w="15" w:type="dxa"/>
              <w:left w:w="15" w:type="dxa"/>
              <w:right w:w="15" w:type="dxa"/>
            </w:tcMar>
            <w:vAlign w:val="center"/>
          </w:tcPr>
          <w:p w14:paraId="32EC514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符合条件的</w:t>
            </w: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创新主体</w:t>
            </w:r>
          </w:p>
        </w:tc>
        <w:tc>
          <w:tcPr>
            <w:tcW w:w="705" w:type="dxa"/>
            <w:tcBorders>
              <w:tl2br w:val="nil"/>
              <w:tr2bl w:val="nil"/>
            </w:tcBorders>
            <w:shd w:val="clear" w:color="auto" w:fill="auto"/>
            <w:tcMar>
              <w:top w:w="15" w:type="dxa"/>
              <w:left w:w="15" w:type="dxa"/>
              <w:right w:w="15" w:type="dxa"/>
            </w:tcMar>
            <w:vAlign w:val="center"/>
          </w:tcPr>
          <w:p w14:paraId="7BCF902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免申</w:t>
            </w:r>
          </w:p>
          <w:p w14:paraId="3133E95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即享</w:t>
            </w:r>
          </w:p>
        </w:tc>
        <w:tc>
          <w:tcPr>
            <w:tcW w:w="1171" w:type="dxa"/>
            <w:tcBorders>
              <w:tl2br w:val="nil"/>
              <w:tr2bl w:val="nil"/>
            </w:tcBorders>
            <w:shd w:val="clear" w:color="auto" w:fill="auto"/>
            <w:tcMar>
              <w:top w:w="15" w:type="dxa"/>
              <w:left w:w="15" w:type="dxa"/>
              <w:right w:w="15" w:type="dxa"/>
            </w:tcMar>
            <w:vAlign w:val="center"/>
          </w:tcPr>
          <w:p w14:paraId="66E0993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市财政资金到位后，20个工作日内拨付</w:t>
            </w:r>
          </w:p>
        </w:tc>
        <w:tc>
          <w:tcPr>
            <w:tcW w:w="1095" w:type="dxa"/>
            <w:tcBorders>
              <w:tl2br w:val="nil"/>
              <w:tr2bl w:val="nil"/>
            </w:tcBorders>
            <w:shd w:val="clear" w:color="auto" w:fill="auto"/>
            <w:tcMar>
              <w:top w:w="15" w:type="dxa"/>
              <w:left w:w="15" w:type="dxa"/>
              <w:right w:w="15" w:type="dxa"/>
            </w:tcMar>
            <w:vAlign w:val="center"/>
          </w:tcPr>
          <w:p w14:paraId="32DC466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至2029年12月1日</w:t>
            </w:r>
          </w:p>
        </w:tc>
      </w:tr>
      <w:tr w14:paraId="78FF1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00" w:type="dxa"/>
            <w:tcBorders>
              <w:tl2br w:val="nil"/>
              <w:tr2bl w:val="nil"/>
            </w:tcBorders>
            <w:shd w:val="clear" w:color="auto" w:fill="auto"/>
            <w:tcMar>
              <w:top w:w="15" w:type="dxa"/>
              <w:left w:w="15" w:type="dxa"/>
              <w:right w:w="15" w:type="dxa"/>
            </w:tcMar>
            <w:vAlign w:val="center"/>
          </w:tcPr>
          <w:p w14:paraId="3870724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4</w:t>
            </w:r>
          </w:p>
        </w:tc>
        <w:tc>
          <w:tcPr>
            <w:tcW w:w="906" w:type="dxa"/>
            <w:tcBorders>
              <w:tl2br w:val="nil"/>
              <w:tr2bl w:val="nil"/>
            </w:tcBorders>
            <w:shd w:val="clear" w:color="auto" w:fill="auto"/>
            <w:tcMar>
              <w:top w:w="15" w:type="dxa"/>
              <w:left w:w="15" w:type="dxa"/>
              <w:right w:w="15" w:type="dxa"/>
            </w:tcMar>
            <w:vAlign w:val="center"/>
          </w:tcPr>
          <w:p w14:paraId="6CB3420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t>支持工业科技创新平台发展</w:t>
            </w:r>
          </w:p>
        </w:tc>
        <w:tc>
          <w:tcPr>
            <w:tcW w:w="3227" w:type="dxa"/>
            <w:tcBorders>
              <w:tl2br w:val="nil"/>
              <w:tr2bl w:val="nil"/>
            </w:tcBorders>
            <w:shd w:val="clear" w:color="auto" w:fill="auto"/>
            <w:tcMar>
              <w:top w:w="15" w:type="dxa"/>
              <w:left w:w="15" w:type="dxa"/>
              <w:right w:w="15" w:type="dxa"/>
            </w:tcMar>
            <w:vAlign w:val="center"/>
          </w:tcPr>
          <w:p w14:paraId="61CED8A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评估为优秀的省级新型研发机构</w:t>
            </w:r>
          </w:p>
        </w:tc>
        <w:tc>
          <w:tcPr>
            <w:tcW w:w="2334" w:type="dxa"/>
            <w:tcBorders>
              <w:tl2br w:val="nil"/>
              <w:tr2bl w:val="nil"/>
            </w:tcBorders>
            <w:shd w:val="clear" w:color="auto" w:fill="auto"/>
            <w:tcMar>
              <w:top w:w="15" w:type="dxa"/>
              <w:left w:w="15" w:type="dxa"/>
              <w:right w:w="15" w:type="dxa"/>
            </w:tcMar>
            <w:vAlign w:val="center"/>
          </w:tcPr>
          <w:p w14:paraId="5DC08E1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广安市科学技术局 广安市经济和信息化局 广安市财政局关于印发《广安市支持工业科技创新平台发展若干措施》的通知（广科技发〔2024〕29号）</w:t>
            </w:r>
          </w:p>
        </w:tc>
        <w:tc>
          <w:tcPr>
            <w:tcW w:w="770" w:type="dxa"/>
            <w:tcBorders>
              <w:tl2br w:val="nil"/>
              <w:tr2bl w:val="nil"/>
            </w:tcBorders>
            <w:shd w:val="clear" w:color="auto" w:fill="auto"/>
            <w:tcMar>
              <w:top w:w="15" w:type="dxa"/>
              <w:left w:w="15" w:type="dxa"/>
              <w:right w:w="15" w:type="dxa"/>
            </w:tcMar>
            <w:vAlign w:val="center"/>
          </w:tcPr>
          <w:p w14:paraId="59BFA54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奖补类</w:t>
            </w:r>
          </w:p>
        </w:tc>
        <w:tc>
          <w:tcPr>
            <w:tcW w:w="770" w:type="dxa"/>
            <w:tcBorders>
              <w:tl2br w:val="nil"/>
              <w:tr2bl w:val="nil"/>
            </w:tcBorders>
            <w:shd w:val="clear" w:color="auto" w:fill="auto"/>
            <w:tcMar>
              <w:top w:w="15" w:type="dxa"/>
              <w:left w:w="15" w:type="dxa"/>
              <w:right w:w="15" w:type="dxa"/>
            </w:tcMar>
            <w:vAlign w:val="center"/>
          </w:tcPr>
          <w:p w14:paraId="425732C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770" w:type="dxa"/>
            <w:tcBorders>
              <w:tl2br w:val="nil"/>
              <w:tr2bl w:val="nil"/>
            </w:tcBorders>
            <w:shd w:val="clear" w:color="auto" w:fill="auto"/>
            <w:tcMar>
              <w:top w:w="15" w:type="dxa"/>
              <w:left w:w="15" w:type="dxa"/>
              <w:right w:w="15" w:type="dxa"/>
            </w:tcMar>
            <w:vAlign w:val="center"/>
          </w:tcPr>
          <w:p w14:paraId="42EB504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888" w:type="dxa"/>
            <w:tcBorders>
              <w:tl2br w:val="nil"/>
              <w:tr2bl w:val="nil"/>
            </w:tcBorders>
            <w:shd w:val="clear" w:color="auto" w:fill="auto"/>
            <w:tcMar>
              <w:top w:w="15" w:type="dxa"/>
              <w:left w:w="15" w:type="dxa"/>
              <w:right w:w="15" w:type="dxa"/>
            </w:tcMar>
            <w:vAlign w:val="center"/>
          </w:tcPr>
          <w:p w14:paraId="14399C6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112E541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市科学</w:t>
            </w:r>
          </w:p>
          <w:p w14:paraId="2C5FC03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技术局</w:t>
            </w:r>
          </w:p>
        </w:tc>
        <w:tc>
          <w:tcPr>
            <w:tcW w:w="1085" w:type="dxa"/>
            <w:tcBorders>
              <w:tl2br w:val="nil"/>
              <w:tr2bl w:val="nil"/>
            </w:tcBorders>
            <w:shd w:val="clear" w:color="auto" w:fill="auto"/>
            <w:tcMar>
              <w:top w:w="15" w:type="dxa"/>
              <w:left w:w="15" w:type="dxa"/>
              <w:right w:w="15" w:type="dxa"/>
            </w:tcMar>
            <w:vAlign w:val="center"/>
          </w:tcPr>
          <w:p w14:paraId="6302BD3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符合条件的</w:t>
            </w: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创新主体</w:t>
            </w:r>
          </w:p>
        </w:tc>
        <w:tc>
          <w:tcPr>
            <w:tcW w:w="705" w:type="dxa"/>
            <w:tcBorders>
              <w:tl2br w:val="nil"/>
              <w:tr2bl w:val="nil"/>
            </w:tcBorders>
            <w:shd w:val="clear" w:color="auto" w:fill="auto"/>
            <w:tcMar>
              <w:top w:w="15" w:type="dxa"/>
              <w:left w:w="15" w:type="dxa"/>
              <w:right w:w="15" w:type="dxa"/>
            </w:tcMar>
            <w:vAlign w:val="center"/>
          </w:tcPr>
          <w:p w14:paraId="3B3CC68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免申</w:t>
            </w:r>
          </w:p>
          <w:p w14:paraId="27D2A14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即享</w:t>
            </w:r>
          </w:p>
        </w:tc>
        <w:tc>
          <w:tcPr>
            <w:tcW w:w="1171" w:type="dxa"/>
            <w:tcBorders>
              <w:tl2br w:val="nil"/>
              <w:tr2bl w:val="nil"/>
            </w:tcBorders>
            <w:shd w:val="clear" w:color="auto" w:fill="auto"/>
            <w:tcMar>
              <w:top w:w="15" w:type="dxa"/>
              <w:left w:w="15" w:type="dxa"/>
              <w:right w:w="15" w:type="dxa"/>
            </w:tcMar>
            <w:vAlign w:val="center"/>
          </w:tcPr>
          <w:p w14:paraId="783FF02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市财政资金到位后，20个工作日内拨付</w:t>
            </w:r>
          </w:p>
        </w:tc>
        <w:tc>
          <w:tcPr>
            <w:tcW w:w="1095" w:type="dxa"/>
            <w:tcBorders>
              <w:tl2br w:val="nil"/>
              <w:tr2bl w:val="nil"/>
            </w:tcBorders>
            <w:shd w:val="clear" w:color="auto" w:fill="auto"/>
            <w:tcMar>
              <w:top w:w="15" w:type="dxa"/>
              <w:left w:w="15" w:type="dxa"/>
              <w:right w:w="15" w:type="dxa"/>
            </w:tcMar>
            <w:vAlign w:val="center"/>
          </w:tcPr>
          <w:p w14:paraId="0389DA2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至2029年12月1日</w:t>
            </w:r>
          </w:p>
        </w:tc>
      </w:tr>
      <w:tr w14:paraId="568AD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00" w:type="dxa"/>
            <w:tcBorders>
              <w:tl2br w:val="nil"/>
              <w:tr2bl w:val="nil"/>
            </w:tcBorders>
            <w:shd w:val="clear" w:color="auto" w:fill="auto"/>
            <w:tcMar>
              <w:top w:w="15" w:type="dxa"/>
              <w:left w:w="15" w:type="dxa"/>
              <w:right w:w="15" w:type="dxa"/>
            </w:tcMar>
            <w:vAlign w:val="center"/>
          </w:tcPr>
          <w:p w14:paraId="4C33D4B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5</w:t>
            </w:r>
          </w:p>
        </w:tc>
        <w:tc>
          <w:tcPr>
            <w:tcW w:w="906" w:type="dxa"/>
            <w:tcBorders>
              <w:tl2br w:val="nil"/>
              <w:tr2bl w:val="nil"/>
            </w:tcBorders>
            <w:shd w:val="clear" w:color="auto" w:fill="auto"/>
            <w:tcMar>
              <w:top w:w="15" w:type="dxa"/>
              <w:left w:w="15" w:type="dxa"/>
              <w:right w:w="15" w:type="dxa"/>
            </w:tcMar>
            <w:vAlign w:val="center"/>
          </w:tcPr>
          <w:p w14:paraId="7742256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t>支持工业科技创新平台发展</w:t>
            </w:r>
          </w:p>
        </w:tc>
        <w:tc>
          <w:tcPr>
            <w:tcW w:w="3227" w:type="dxa"/>
            <w:tcBorders>
              <w:tl2br w:val="nil"/>
              <w:tr2bl w:val="nil"/>
            </w:tcBorders>
            <w:shd w:val="clear" w:color="auto" w:fill="auto"/>
            <w:tcMar>
              <w:top w:w="15" w:type="dxa"/>
              <w:left w:w="15" w:type="dxa"/>
              <w:right w:w="15" w:type="dxa"/>
            </w:tcMar>
            <w:vAlign w:val="center"/>
          </w:tcPr>
          <w:p w14:paraId="7572E1C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创新联合体</w:t>
            </w:r>
          </w:p>
        </w:tc>
        <w:tc>
          <w:tcPr>
            <w:tcW w:w="2334" w:type="dxa"/>
            <w:tcBorders>
              <w:tl2br w:val="nil"/>
              <w:tr2bl w:val="nil"/>
            </w:tcBorders>
            <w:shd w:val="clear" w:color="auto" w:fill="auto"/>
            <w:tcMar>
              <w:top w:w="15" w:type="dxa"/>
              <w:left w:w="15" w:type="dxa"/>
              <w:right w:w="15" w:type="dxa"/>
            </w:tcMar>
            <w:vAlign w:val="center"/>
          </w:tcPr>
          <w:p w14:paraId="695F1BA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广安市科学技术局 广安市经济和信息化局 广安市财政局关于印发《广安市支持工业科技创新平台发展若干措施》的通知（广科技发〔2024〕29号）</w:t>
            </w:r>
          </w:p>
        </w:tc>
        <w:tc>
          <w:tcPr>
            <w:tcW w:w="770" w:type="dxa"/>
            <w:tcBorders>
              <w:tl2br w:val="nil"/>
              <w:tr2bl w:val="nil"/>
            </w:tcBorders>
            <w:shd w:val="clear" w:color="auto" w:fill="auto"/>
            <w:tcMar>
              <w:top w:w="15" w:type="dxa"/>
              <w:left w:w="15" w:type="dxa"/>
              <w:right w:w="15" w:type="dxa"/>
            </w:tcMar>
            <w:vAlign w:val="center"/>
          </w:tcPr>
          <w:p w14:paraId="4054F22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奖补类</w:t>
            </w:r>
          </w:p>
        </w:tc>
        <w:tc>
          <w:tcPr>
            <w:tcW w:w="770" w:type="dxa"/>
            <w:tcBorders>
              <w:tl2br w:val="nil"/>
              <w:tr2bl w:val="nil"/>
            </w:tcBorders>
            <w:shd w:val="clear" w:color="auto" w:fill="auto"/>
            <w:tcMar>
              <w:top w:w="15" w:type="dxa"/>
              <w:left w:w="15" w:type="dxa"/>
              <w:right w:w="15" w:type="dxa"/>
            </w:tcMar>
            <w:vAlign w:val="center"/>
          </w:tcPr>
          <w:p w14:paraId="1665483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770" w:type="dxa"/>
            <w:tcBorders>
              <w:tl2br w:val="nil"/>
              <w:tr2bl w:val="nil"/>
            </w:tcBorders>
            <w:shd w:val="clear" w:color="auto" w:fill="auto"/>
            <w:tcMar>
              <w:top w:w="15" w:type="dxa"/>
              <w:left w:w="15" w:type="dxa"/>
              <w:right w:w="15" w:type="dxa"/>
            </w:tcMar>
            <w:vAlign w:val="center"/>
          </w:tcPr>
          <w:p w14:paraId="6FE4E2C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888" w:type="dxa"/>
            <w:tcBorders>
              <w:tl2br w:val="nil"/>
              <w:tr2bl w:val="nil"/>
            </w:tcBorders>
            <w:shd w:val="clear" w:color="auto" w:fill="auto"/>
            <w:tcMar>
              <w:top w:w="15" w:type="dxa"/>
              <w:left w:w="15" w:type="dxa"/>
              <w:right w:w="15" w:type="dxa"/>
            </w:tcMar>
            <w:vAlign w:val="center"/>
          </w:tcPr>
          <w:p w14:paraId="19B6AF6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47FA04F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市科学</w:t>
            </w:r>
          </w:p>
          <w:p w14:paraId="5332938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技术局</w:t>
            </w:r>
          </w:p>
        </w:tc>
        <w:tc>
          <w:tcPr>
            <w:tcW w:w="1085" w:type="dxa"/>
            <w:tcBorders>
              <w:tl2br w:val="nil"/>
              <w:tr2bl w:val="nil"/>
            </w:tcBorders>
            <w:shd w:val="clear" w:color="auto" w:fill="auto"/>
            <w:tcMar>
              <w:top w:w="15" w:type="dxa"/>
              <w:left w:w="15" w:type="dxa"/>
              <w:right w:w="15" w:type="dxa"/>
            </w:tcMar>
            <w:vAlign w:val="center"/>
          </w:tcPr>
          <w:p w14:paraId="6124A16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企业</w:t>
            </w:r>
          </w:p>
        </w:tc>
        <w:tc>
          <w:tcPr>
            <w:tcW w:w="705" w:type="dxa"/>
            <w:tcBorders>
              <w:tl2br w:val="nil"/>
              <w:tr2bl w:val="nil"/>
            </w:tcBorders>
            <w:shd w:val="clear" w:color="auto" w:fill="auto"/>
            <w:tcMar>
              <w:top w:w="15" w:type="dxa"/>
              <w:left w:w="15" w:type="dxa"/>
              <w:right w:w="15" w:type="dxa"/>
            </w:tcMar>
            <w:vAlign w:val="center"/>
          </w:tcPr>
          <w:p w14:paraId="51EF7EA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免申</w:t>
            </w:r>
          </w:p>
          <w:p w14:paraId="50F1F05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即享</w:t>
            </w:r>
          </w:p>
        </w:tc>
        <w:tc>
          <w:tcPr>
            <w:tcW w:w="1171" w:type="dxa"/>
            <w:tcBorders>
              <w:tl2br w:val="nil"/>
              <w:tr2bl w:val="nil"/>
            </w:tcBorders>
            <w:shd w:val="clear" w:color="auto" w:fill="auto"/>
            <w:tcMar>
              <w:top w:w="15" w:type="dxa"/>
              <w:left w:w="15" w:type="dxa"/>
              <w:right w:w="15" w:type="dxa"/>
            </w:tcMar>
            <w:vAlign w:val="center"/>
          </w:tcPr>
          <w:p w14:paraId="7DE57B3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市财政资金到位后，20个工作日内拨付</w:t>
            </w:r>
          </w:p>
        </w:tc>
        <w:tc>
          <w:tcPr>
            <w:tcW w:w="1095" w:type="dxa"/>
            <w:tcBorders>
              <w:tl2br w:val="nil"/>
              <w:tr2bl w:val="nil"/>
            </w:tcBorders>
            <w:shd w:val="clear" w:color="auto" w:fill="auto"/>
            <w:tcMar>
              <w:top w:w="15" w:type="dxa"/>
              <w:left w:w="15" w:type="dxa"/>
              <w:right w:w="15" w:type="dxa"/>
            </w:tcMar>
            <w:vAlign w:val="center"/>
          </w:tcPr>
          <w:p w14:paraId="73EEE08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至2029年12月1日</w:t>
            </w:r>
          </w:p>
        </w:tc>
      </w:tr>
      <w:tr w14:paraId="6C380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00" w:type="dxa"/>
            <w:tcBorders>
              <w:tl2br w:val="nil"/>
              <w:tr2bl w:val="nil"/>
            </w:tcBorders>
            <w:shd w:val="clear" w:color="auto" w:fill="auto"/>
            <w:tcMar>
              <w:top w:w="15" w:type="dxa"/>
              <w:left w:w="15" w:type="dxa"/>
              <w:right w:w="15" w:type="dxa"/>
            </w:tcMar>
            <w:vAlign w:val="center"/>
          </w:tcPr>
          <w:p w14:paraId="20A175D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6</w:t>
            </w:r>
          </w:p>
        </w:tc>
        <w:tc>
          <w:tcPr>
            <w:tcW w:w="906" w:type="dxa"/>
            <w:tcBorders>
              <w:tl2br w:val="nil"/>
              <w:tr2bl w:val="nil"/>
            </w:tcBorders>
            <w:shd w:val="clear" w:color="auto" w:fill="auto"/>
            <w:tcMar>
              <w:top w:w="15" w:type="dxa"/>
              <w:left w:w="15" w:type="dxa"/>
              <w:right w:w="15" w:type="dxa"/>
            </w:tcMar>
            <w:vAlign w:val="center"/>
          </w:tcPr>
          <w:p w14:paraId="1354FE9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t>支持工业科技创新平台发展</w:t>
            </w:r>
          </w:p>
        </w:tc>
        <w:tc>
          <w:tcPr>
            <w:tcW w:w="3227" w:type="dxa"/>
            <w:tcBorders>
              <w:tl2br w:val="nil"/>
              <w:tr2bl w:val="nil"/>
            </w:tcBorders>
            <w:shd w:val="clear" w:color="auto" w:fill="auto"/>
            <w:tcMar>
              <w:top w:w="15" w:type="dxa"/>
              <w:left w:w="15" w:type="dxa"/>
              <w:right w:w="15" w:type="dxa"/>
            </w:tcMar>
            <w:vAlign w:val="center"/>
          </w:tcPr>
          <w:p w14:paraId="3245954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首次成功创建为省级科技成果转移转化示范区、首次成功创建为省级技术转移示范机构、省级技术转移示范机构促进成果转化、技术服务成效显著</w:t>
            </w:r>
          </w:p>
        </w:tc>
        <w:tc>
          <w:tcPr>
            <w:tcW w:w="2334" w:type="dxa"/>
            <w:tcBorders>
              <w:tl2br w:val="nil"/>
              <w:tr2bl w:val="nil"/>
            </w:tcBorders>
            <w:shd w:val="clear" w:color="auto" w:fill="auto"/>
            <w:tcMar>
              <w:top w:w="15" w:type="dxa"/>
              <w:left w:w="15" w:type="dxa"/>
              <w:right w:w="15" w:type="dxa"/>
            </w:tcMar>
            <w:vAlign w:val="center"/>
          </w:tcPr>
          <w:p w14:paraId="360DFA4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广安市科学技术局 广安市经济和信息化局 广安市财政局关于印发《广安市支持工业科技创新平台发展若干措施》的通知（广科技发〔2024〕29号）</w:t>
            </w:r>
          </w:p>
        </w:tc>
        <w:tc>
          <w:tcPr>
            <w:tcW w:w="770" w:type="dxa"/>
            <w:tcBorders>
              <w:tl2br w:val="nil"/>
              <w:tr2bl w:val="nil"/>
            </w:tcBorders>
            <w:shd w:val="clear" w:color="auto" w:fill="auto"/>
            <w:tcMar>
              <w:top w:w="15" w:type="dxa"/>
              <w:left w:w="15" w:type="dxa"/>
              <w:right w:w="15" w:type="dxa"/>
            </w:tcMar>
            <w:vAlign w:val="center"/>
          </w:tcPr>
          <w:p w14:paraId="6473FFC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奖补类</w:t>
            </w:r>
          </w:p>
        </w:tc>
        <w:tc>
          <w:tcPr>
            <w:tcW w:w="770" w:type="dxa"/>
            <w:tcBorders>
              <w:tl2br w:val="nil"/>
              <w:tr2bl w:val="nil"/>
            </w:tcBorders>
            <w:shd w:val="clear" w:color="auto" w:fill="auto"/>
            <w:tcMar>
              <w:top w:w="15" w:type="dxa"/>
              <w:left w:w="15" w:type="dxa"/>
              <w:right w:w="15" w:type="dxa"/>
            </w:tcMar>
            <w:vAlign w:val="center"/>
          </w:tcPr>
          <w:p w14:paraId="65AC5E3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770" w:type="dxa"/>
            <w:tcBorders>
              <w:tl2br w:val="nil"/>
              <w:tr2bl w:val="nil"/>
            </w:tcBorders>
            <w:shd w:val="clear" w:color="auto" w:fill="auto"/>
            <w:tcMar>
              <w:top w:w="15" w:type="dxa"/>
              <w:left w:w="15" w:type="dxa"/>
              <w:right w:w="15" w:type="dxa"/>
            </w:tcMar>
            <w:vAlign w:val="center"/>
          </w:tcPr>
          <w:p w14:paraId="79B111D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888" w:type="dxa"/>
            <w:tcBorders>
              <w:tl2br w:val="nil"/>
              <w:tr2bl w:val="nil"/>
            </w:tcBorders>
            <w:shd w:val="clear" w:color="auto" w:fill="auto"/>
            <w:tcMar>
              <w:top w:w="15" w:type="dxa"/>
              <w:left w:w="15" w:type="dxa"/>
              <w:right w:w="15" w:type="dxa"/>
            </w:tcMar>
            <w:vAlign w:val="center"/>
          </w:tcPr>
          <w:p w14:paraId="55E9BBE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17C6843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市科学</w:t>
            </w:r>
          </w:p>
          <w:p w14:paraId="07362D7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技术局</w:t>
            </w:r>
          </w:p>
        </w:tc>
        <w:tc>
          <w:tcPr>
            <w:tcW w:w="1085" w:type="dxa"/>
            <w:tcBorders>
              <w:tl2br w:val="nil"/>
              <w:tr2bl w:val="nil"/>
            </w:tcBorders>
            <w:shd w:val="clear" w:color="auto" w:fill="auto"/>
            <w:tcMar>
              <w:top w:w="15" w:type="dxa"/>
              <w:left w:w="15" w:type="dxa"/>
              <w:right w:w="15" w:type="dxa"/>
            </w:tcMar>
            <w:vAlign w:val="center"/>
          </w:tcPr>
          <w:p w14:paraId="1374E76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省级科技成果转移转化示范区、创新主体</w:t>
            </w:r>
          </w:p>
        </w:tc>
        <w:tc>
          <w:tcPr>
            <w:tcW w:w="705" w:type="dxa"/>
            <w:tcBorders>
              <w:tl2br w:val="nil"/>
              <w:tr2bl w:val="nil"/>
            </w:tcBorders>
            <w:shd w:val="clear" w:color="auto" w:fill="auto"/>
            <w:tcMar>
              <w:top w:w="15" w:type="dxa"/>
              <w:left w:w="15" w:type="dxa"/>
              <w:right w:w="15" w:type="dxa"/>
            </w:tcMar>
            <w:vAlign w:val="center"/>
          </w:tcPr>
          <w:p w14:paraId="019DD86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免申</w:t>
            </w:r>
          </w:p>
          <w:p w14:paraId="13E3D62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即享</w:t>
            </w:r>
          </w:p>
        </w:tc>
        <w:tc>
          <w:tcPr>
            <w:tcW w:w="1171" w:type="dxa"/>
            <w:tcBorders>
              <w:tl2br w:val="nil"/>
              <w:tr2bl w:val="nil"/>
            </w:tcBorders>
            <w:shd w:val="clear" w:color="auto" w:fill="auto"/>
            <w:tcMar>
              <w:top w:w="15" w:type="dxa"/>
              <w:left w:w="15" w:type="dxa"/>
              <w:right w:w="15" w:type="dxa"/>
            </w:tcMar>
            <w:vAlign w:val="center"/>
          </w:tcPr>
          <w:p w14:paraId="5B8CC2A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市财政资金到位后，20个工作日内拨付</w:t>
            </w:r>
          </w:p>
        </w:tc>
        <w:tc>
          <w:tcPr>
            <w:tcW w:w="1095" w:type="dxa"/>
            <w:tcBorders>
              <w:tl2br w:val="nil"/>
              <w:tr2bl w:val="nil"/>
            </w:tcBorders>
            <w:shd w:val="clear" w:color="auto" w:fill="auto"/>
            <w:tcMar>
              <w:top w:w="15" w:type="dxa"/>
              <w:left w:w="15" w:type="dxa"/>
              <w:right w:w="15" w:type="dxa"/>
            </w:tcMar>
            <w:vAlign w:val="center"/>
          </w:tcPr>
          <w:p w14:paraId="266C984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至2029年12月1日</w:t>
            </w:r>
          </w:p>
        </w:tc>
      </w:tr>
      <w:tr w14:paraId="1555C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00" w:type="dxa"/>
            <w:tcBorders>
              <w:tl2br w:val="nil"/>
              <w:tr2bl w:val="nil"/>
            </w:tcBorders>
            <w:shd w:val="clear" w:color="auto" w:fill="auto"/>
            <w:tcMar>
              <w:top w:w="15" w:type="dxa"/>
              <w:left w:w="15" w:type="dxa"/>
              <w:right w:w="15" w:type="dxa"/>
            </w:tcMar>
            <w:vAlign w:val="center"/>
          </w:tcPr>
          <w:p w14:paraId="606F8F3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7</w:t>
            </w:r>
          </w:p>
        </w:tc>
        <w:tc>
          <w:tcPr>
            <w:tcW w:w="906" w:type="dxa"/>
            <w:tcBorders>
              <w:tl2br w:val="nil"/>
              <w:tr2bl w:val="nil"/>
            </w:tcBorders>
            <w:shd w:val="clear" w:color="auto" w:fill="auto"/>
            <w:tcMar>
              <w:top w:w="15" w:type="dxa"/>
              <w:left w:w="15" w:type="dxa"/>
              <w:right w:w="15" w:type="dxa"/>
            </w:tcMar>
            <w:vAlign w:val="center"/>
          </w:tcPr>
          <w:p w14:paraId="42D12A5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t>支持工业科技创新平台发展</w:t>
            </w:r>
          </w:p>
        </w:tc>
        <w:tc>
          <w:tcPr>
            <w:tcW w:w="3227" w:type="dxa"/>
            <w:tcBorders>
              <w:tl2br w:val="nil"/>
              <w:tr2bl w:val="nil"/>
            </w:tcBorders>
            <w:shd w:val="clear" w:color="auto" w:fill="auto"/>
            <w:tcMar>
              <w:top w:w="15" w:type="dxa"/>
              <w:left w:w="15" w:type="dxa"/>
              <w:right w:w="15" w:type="dxa"/>
            </w:tcMar>
            <w:vAlign w:val="center"/>
          </w:tcPr>
          <w:p w14:paraId="67C9E1C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实施省级重大科技成果转化项目，带动企业新增主营业务收入2000万元以上的中省驻广和市内各类研发机构、企业</w:t>
            </w:r>
          </w:p>
        </w:tc>
        <w:tc>
          <w:tcPr>
            <w:tcW w:w="2334" w:type="dxa"/>
            <w:tcBorders>
              <w:tl2br w:val="nil"/>
              <w:tr2bl w:val="nil"/>
            </w:tcBorders>
            <w:shd w:val="clear" w:color="auto" w:fill="auto"/>
            <w:tcMar>
              <w:top w:w="15" w:type="dxa"/>
              <w:left w:w="15" w:type="dxa"/>
              <w:right w:w="15" w:type="dxa"/>
            </w:tcMar>
            <w:vAlign w:val="center"/>
          </w:tcPr>
          <w:p w14:paraId="1B04ACC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lang w:val="en-US" w:eastAsia="zh-CN"/>
              </w:rPr>
            </w:pPr>
            <w:r>
              <w:rPr>
                <w:rFonts w:hint="default" w:ascii="Times New Roman" w:hAnsi="Times New Roman" w:eastAsia="宋体" w:cs="Times New Roman"/>
                <w:b w:val="0"/>
                <w:bCs w:val="0"/>
                <w:i w:val="0"/>
                <w:color w:val="000000"/>
                <w:kern w:val="0"/>
                <w:sz w:val="20"/>
                <w:szCs w:val="20"/>
                <w:u w:val="none"/>
                <w:lang w:val="en-US" w:eastAsia="zh-CN" w:bidi="ar"/>
              </w:rPr>
              <w:t>广安市科学技术局 广安市经济和信息化局 广安市财政局关于印发《广安市支持工业科技创新平台发展若干措施》的通知（广科技发〔2024〕29号）</w:t>
            </w:r>
          </w:p>
        </w:tc>
        <w:tc>
          <w:tcPr>
            <w:tcW w:w="770" w:type="dxa"/>
            <w:tcBorders>
              <w:tl2br w:val="nil"/>
              <w:tr2bl w:val="nil"/>
            </w:tcBorders>
            <w:shd w:val="clear" w:color="auto" w:fill="auto"/>
            <w:tcMar>
              <w:top w:w="15" w:type="dxa"/>
              <w:left w:w="15" w:type="dxa"/>
              <w:right w:w="15" w:type="dxa"/>
            </w:tcMar>
            <w:vAlign w:val="center"/>
          </w:tcPr>
          <w:p w14:paraId="42393BE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奖补类</w:t>
            </w:r>
          </w:p>
        </w:tc>
        <w:tc>
          <w:tcPr>
            <w:tcW w:w="770" w:type="dxa"/>
            <w:tcBorders>
              <w:tl2br w:val="nil"/>
              <w:tr2bl w:val="nil"/>
            </w:tcBorders>
            <w:shd w:val="clear" w:color="auto" w:fill="auto"/>
            <w:tcMar>
              <w:top w:w="15" w:type="dxa"/>
              <w:left w:w="15" w:type="dxa"/>
              <w:right w:w="15" w:type="dxa"/>
            </w:tcMar>
            <w:vAlign w:val="center"/>
          </w:tcPr>
          <w:p w14:paraId="0E4B0E8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770" w:type="dxa"/>
            <w:tcBorders>
              <w:tl2br w:val="nil"/>
              <w:tr2bl w:val="nil"/>
            </w:tcBorders>
            <w:shd w:val="clear" w:color="auto" w:fill="auto"/>
            <w:tcMar>
              <w:top w:w="15" w:type="dxa"/>
              <w:left w:w="15" w:type="dxa"/>
              <w:right w:w="15" w:type="dxa"/>
            </w:tcMar>
            <w:vAlign w:val="center"/>
          </w:tcPr>
          <w:p w14:paraId="3A97D7A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888" w:type="dxa"/>
            <w:tcBorders>
              <w:tl2br w:val="nil"/>
              <w:tr2bl w:val="nil"/>
            </w:tcBorders>
            <w:shd w:val="clear" w:color="auto" w:fill="auto"/>
            <w:tcMar>
              <w:top w:w="15" w:type="dxa"/>
              <w:left w:w="15" w:type="dxa"/>
              <w:right w:w="15" w:type="dxa"/>
            </w:tcMar>
            <w:vAlign w:val="center"/>
          </w:tcPr>
          <w:p w14:paraId="75DD43B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44BB227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市科学</w:t>
            </w:r>
          </w:p>
          <w:p w14:paraId="7827C0D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技术局</w:t>
            </w:r>
          </w:p>
        </w:tc>
        <w:tc>
          <w:tcPr>
            <w:tcW w:w="1085" w:type="dxa"/>
            <w:tcBorders>
              <w:tl2br w:val="nil"/>
              <w:tr2bl w:val="nil"/>
            </w:tcBorders>
            <w:shd w:val="clear" w:color="auto" w:fill="auto"/>
            <w:tcMar>
              <w:top w:w="15" w:type="dxa"/>
              <w:left w:w="15" w:type="dxa"/>
              <w:right w:w="15" w:type="dxa"/>
            </w:tcMar>
            <w:vAlign w:val="center"/>
          </w:tcPr>
          <w:p w14:paraId="4FCB91D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符合条件的</w:t>
            </w: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创新主体</w:t>
            </w:r>
          </w:p>
        </w:tc>
        <w:tc>
          <w:tcPr>
            <w:tcW w:w="705" w:type="dxa"/>
            <w:tcBorders>
              <w:tl2br w:val="nil"/>
              <w:tr2bl w:val="nil"/>
            </w:tcBorders>
            <w:shd w:val="clear" w:color="auto" w:fill="auto"/>
            <w:tcMar>
              <w:top w:w="15" w:type="dxa"/>
              <w:left w:w="15" w:type="dxa"/>
              <w:right w:w="15" w:type="dxa"/>
            </w:tcMar>
            <w:vAlign w:val="center"/>
          </w:tcPr>
          <w:p w14:paraId="5862BCF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免申</w:t>
            </w:r>
          </w:p>
          <w:p w14:paraId="2775F1E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即享</w:t>
            </w:r>
          </w:p>
        </w:tc>
        <w:tc>
          <w:tcPr>
            <w:tcW w:w="1171" w:type="dxa"/>
            <w:tcBorders>
              <w:tl2br w:val="nil"/>
              <w:tr2bl w:val="nil"/>
            </w:tcBorders>
            <w:shd w:val="clear" w:color="auto" w:fill="auto"/>
            <w:tcMar>
              <w:top w:w="15" w:type="dxa"/>
              <w:left w:w="15" w:type="dxa"/>
              <w:right w:w="15" w:type="dxa"/>
            </w:tcMar>
            <w:vAlign w:val="center"/>
          </w:tcPr>
          <w:p w14:paraId="66C345B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市财政资金到位后，20个工作日内拨付</w:t>
            </w:r>
          </w:p>
        </w:tc>
        <w:tc>
          <w:tcPr>
            <w:tcW w:w="1095" w:type="dxa"/>
            <w:tcBorders>
              <w:tl2br w:val="nil"/>
              <w:tr2bl w:val="nil"/>
            </w:tcBorders>
            <w:shd w:val="clear" w:color="auto" w:fill="auto"/>
            <w:tcMar>
              <w:top w:w="15" w:type="dxa"/>
              <w:left w:w="15" w:type="dxa"/>
              <w:right w:w="15" w:type="dxa"/>
            </w:tcMar>
            <w:vAlign w:val="center"/>
          </w:tcPr>
          <w:p w14:paraId="754C646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至2029年12月1日</w:t>
            </w:r>
          </w:p>
        </w:tc>
      </w:tr>
      <w:tr w14:paraId="53A60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00" w:type="dxa"/>
            <w:tcBorders>
              <w:tl2br w:val="nil"/>
              <w:tr2bl w:val="nil"/>
            </w:tcBorders>
            <w:shd w:val="clear" w:color="auto" w:fill="auto"/>
            <w:tcMar>
              <w:top w:w="15" w:type="dxa"/>
              <w:left w:w="15" w:type="dxa"/>
              <w:right w:w="15" w:type="dxa"/>
            </w:tcMar>
            <w:vAlign w:val="center"/>
          </w:tcPr>
          <w:p w14:paraId="7B41126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8</w:t>
            </w:r>
          </w:p>
        </w:tc>
        <w:tc>
          <w:tcPr>
            <w:tcW w:w="906" w:type="dxa"/>
            <w:tcBorders>
              <w:tl2br w:val="nil"/>
              <w:tr2bl w:val="nil"/>
            </w:tcBorders>
            <w:shd w:val="clear" w:color="auto" w:fill="auto"/>
            <w:tcMar>
              <w:top w:w="15" w:type="dxa"/>
              <w:left w:w="15" w:type="dxa"/>
              <w:right w:w="15" w:type="dxa"/>
            </w:tcMar>
            <w:vAlign w:val="center"/>
          </w:tcPr>
          <w:p w14:paraId="120F66A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t>支持工业科技创新平台发展</w:t>
            </w:r>
          </w:p>
        </w:tc>
        <w:tc>
          <w:tcPr>
            <w:tcW w:w="3227" w:type="dxa"/>
            <w:tcBorders>
              <w:tl2br w:val="nil"/>
              <w:tr2bl w:val="nil"/>
            </w:tcBorders>
            <w:shd w:val="clear" w:color="auto" w:fill="auto"/>
            <w:tcMar>
              <w:top w:w="15" w:type="dxa"/>
              <w:left w:w="15" w:type="dxa"/>
              <w:right w:w="15" w:type="dxa"/>
            </w:tcMar>
            <w:vAlign w:val="center"/>
          </w:tcPr>
          <w:p w14:paraId="45A1572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新认定的省级“瞪羚”企业</w:t>
            </w:r>
          </w:p>
          <w:p w14:paraId="602A83C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p>
        </w:tc>
        <w:tc>
          <w:tcPr>
            <w:tcW w:w="2334" w:type="dxa"/>
            <w:tcBorders>
              <w:tl2br w:val="nil"/>
              <w:tr2bl w:val="nil"/>
            </w:tcBorders>
            <w:shd w:val="clear" w:color="auto" w:fill="auto"/>
            <w:tcMar>
              <w:top w:w="15" w:type="dxa"/>
              <w:left w:w="15" w:type="dxa"/>
              <w:right w:w="15" w:type="dxa"/>
            </w:tcMar>
            <w:vAlign w:val="center"/>
          </w:tcPr>
          <w:p w14:paraId="6B895C0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lang w:val="en-US" w:eastAsia="zh-CN"/>
              </w:rPr>
            </w:pPr>
            <w:r>
              <w:rPr>
                <w:rFonts w:hint="default" w:ascii="Times New Roman" w:hAnsi="Times New Roman" w:eastAsia="宋体" w:cs="Times New Roman"/>
                <w:b w:val="0"/>
                <w:bCs w:val="0"/>
                <w:i w:val="0"/>
                <w:color w:val="000000"/>
                <w:kern w:val="0"/>
                <w:sz w:val="20"/>
                <w:szCs w:val="20"/>
                <w:u w:val="none"/>
                <w:lang w:val="en-US" w:eastAsia="zh-CN" w:bidi="ar"/>
              </w:rPr>
              <w:t>广安市科学技术局 广安市经济和信息化局 广安市财政局关于印发《广安市支持工业科技创新平台发展若干措施》的通知（广科技发〔2024〕29号）</w:t>
            </w:r>
          </w:p>
        </w:tc>
        <w:tc>
          <w:tcPr>
            <w:tcW w:w="770" w:type="dxa"/>
            <w:tcBorders>
              <w:tl2br w:val="nil"/>
              <w:tr2bl w:val="nil"/>
            </w:tcBorders>
            <w:shd w:val="clear" w:color="auto" w:fill="auto"/>
            <w:tcMar>
              <w:top w:w="15" w:type="dxa"/>
              <w:left w:w="15" w:type="dxa"/>
              <w:right w:w="15" w:type="dxa"/>
            </w:tcMar>
            <w:vAlign w:val="center"/>
          </w:tcPr>
          <w:p w14:paraId="006FB7B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奖补类</w:t>
            </w:r>
          </w:p>
        </w:tc>
        <w:tc>
          <w:tcPr>
            <w:tcW w:w="770" w:type="dxa"/>
            <w:tcBorders>
              <w:tl2br w:val="nil"/>
              <w:tr2bl w:val="nil"/>
            </w:tcBorders>
            <w:shd w:val="clear" w:color="auto" w:fill="auto"/>
            <w:tcMar>
              <w:top w:w="15" w:type="dxa"/>
              <w:left w:w="15" w:type="dxa"/>
              <w:right w:w="15" w:type="dxa"/>
            </w:tcMar>
            <w:vAlign w:val="center"/>
          </w:tcPr>
          <w:p w14:paraId="4E938E0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770" w:type="dxa"/>
            <w:tcBorders>
              <w:tl2br w:val="nil"/>
              <w:tr2bl w:val="nil"/>
            </w:tcBorders>
            <w:shd w:val="clear" w:color="auto" w:fill="auto"/>
            <w:tcMar>
              <w:top w:w="15" w:type="dxa"/>
              <w:left w:w="15" w:type="dxa"/>
              <w:right w:w="15" w:type="dxa"/>
            </w:tcMar>
            <w:vAlign w:val="center"/>
          </w:tcPr>
          <w:p w14:paraId="36EE84C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888" w:type="dxa"/>
            <w:tcBorders>
              <w:tl2br w:val="nil"/>
              <w:tr2bl w:val="nil"/>
            </w:tcBorders>
            <w:shd w:val="clear" w:color="auto" w:fill="auto"/>
            <w:tcMar>
              <w:top w:w="15" w:type="dxa"/>
              <w:left w:w="15" w:type="dxa"/>
              <w:right w:w="15" w:type="dxa"/>
            </w:tcMar>
            <w:vAlign w:val="center"/>
          </w:tcPr>
          <w:p w14:paraId="2CD7B24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090F611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市科学</w:t>
            </w:r>
          </w:p>
          <w:p w14:paraId="489149C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技术局</w:t>
            </w:r>
          </w:p>
        </w:tc>
        <w:tc>
          <w:tcPr>
            <w:tcW w:w="1085" w:type="dxa"/>
            <w:tcBorders>
              <w:tl2br w:val="nil"/>
              <w:tr2bl w:val="nil"/>
            </w:tcBorders>
            <w:shd w:val="clear" w:color="auto" w:fill="auto"/>
            <w:tcMar>
              <w:top w:w="15" w:type="dxa"/>
              <w:left w:w="15" w:type="dxa"/>
              <w:right w:w="15" w:type="dxa"/>
            </w:tcMar>
            <w:vAlign w:val="center"/>
          </w:tcPr>
          <w:p w14:paraId="098F9FC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企业</w:t>
            </w:r>
          </w:p>
        </w:tc>
        <w:tc>
          <w:tcPr>
            <w:tcW w:w="705" w:type="dxa"/>
            <w:tcBorders>
              <w:tl2br w:val="nil"/>
              <w:tr2bl w:val="nil"/>
            </w:tcBorders>
            <w:shd w:val="clear" w:color="auto" w:fill="auto"/>
            <w:tcMar>
              <w:top w:w="15" w:type="dxa"/>
              <w:left w:w="15" w:type="dxa"/>
              <w:right w:w="15" w:type="dxa"/>
            </w:tcMar>
            <w:vAlign w:val="center"/>
          </w:tcPr>
          <w:p w14:paraId="4A73C00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免申</w:t>
            </w:r>
          </w:p>
          <w:p w14:paraId="7E1ACA8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即享</w:t>
            </w:r>
          </w:p>
        </w:tc>
        <w:tc>
          <w:tcPr>
            <w:tcW w:w="1171" w:type="dxa"/>
            <w:tcBorders>
              <w:tl2br w:val="nil"/>
              <w:tr2bl w:val="nil"/>
            </w:tcBorders>
            <w:shd w:val="clear" w:color="auto" w:fill="auto"/>
            <w:tcMar>
              <w:top w:w="15" w:type="dxa"/>
              <w:left w:w="15" w:type="dxa"/>
              <w:right w:w="15" w:type="dxa"/>
            </w:tcMar>
            <w:vAlign w:val="center"/>
          </w:tcPr>
          <w:p w14:paraId="30B7D81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市财政资金到位后，20个工作日内拨付</w:t>
            </w:r>
          </w:p>
        </w:tc>
        <w:tc>
          <w:tcPr>
            <w:tcW w:w="1095" w:type="dxa"/>
            <w:tcBorders>
              <w:tl2br w:val="nil"/>
              <w:tr2bl w:val="nil"/>
            </w:tcBorders>
            <w:shd w:val="clear" w:color="auto" w:fill="auto"/>
            <w:tcMar>
              <w:top w:w="15" w:type="dxa"/>
              <w:left w:w="15" w:type="dxa"/>
              <w:right w:w="15" w:type="dxa"/>
            </w:tcMar>
            <w:vAlign w:val="center"/>
          </w:tcPr>
          <w:p w14:paraId="743D3CC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至2029年12月1日</w:t>
            </w:r>
          </w:p>
        </w:tc>
      </w:tr>
      <w:tr w14:paraId="71576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00" w:type="dxa"/>
            <w:tcBorders>
              <w:tl2br w:val="nil"/>
              <w:tr2bl w:val="nil"/>
            </w:tcBorders>
            <w:shd w:val="clear" w:color="auto" w:fill="auto"/>
            <w:tcMar>
              <w:top w:w="15" w:type="dxa"/>
              <w:left w:w="15" w:type="dxa"/>
              <w:right w:w="15" w:type="dxa"/>
            </w:tcMar>
            <w:vAlign w:val="center"/>
          </w:tcPr>
          <w:p w14:paraId="7254D26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9</w:t>
            </w:r>
          </w:p>
        </w:tc>
        <w:tc>
          <w:tcPr>
            <w:tcW w:w="906" w:type="dxa"/>
            <w:tcBorders>
              <w:tl2br w:val="nil"/>
              <w:tr2bl w:val="nil"/>
            </w:tcBorders>
            <w:shd w:val="clear" w:color="auto" w:fill="auto"/>
            <w:tcMar>
              <w:top w:w="15" w:type="dxa"/>
              <w:left w:w="15" w:type="dxa"/>
              <w:right w:w="15" w:type="dxa"/>
            </w:tcMar>
            <w:vAlign w:val="center"/>
          </w:tcPr>
          <w:p w14:paraId="2E5A8CA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t>支持工业科技创新平台发展</w:t>
            </w:r>
          </w:p>
        </w:tc>
        <w:tc>
          <w:tcPr>
            <w:tcW w:w="3227" w:type="dxa"/>
            <w:tcBorders>
              <w:tl2br w:val="nil"/>
              <w:tr2bl w:val="nil"/>
            </w:tcBorders>
            <w:shd w:val="clear" w:color="auto" w:fill="auto"/>
            <w:tcMar>
              <w:top w:w="15" w:type="dxa"/>
              <w:left w:w="15" w:type="dxa"/>
              <w:right w:w="15" w:type="dxa"/>
            </w:tcMar>
            <w:vAlign w:val="center"/>
          </w:tcPr>
          <w:p w14:paraId="56C17C8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首次创建为国家高新技术企业</w:t>
            </w:r>
            <w:r>
              <w:rPr>
                <w:rFonts w:hint="eastAsia" w:ascii="Times New Roman" w:hAnsi="Times New Roman" w:eastAsia="宋体" w:cs="Times New Roman"/>
                <w:b w:val="0"/>
                <w:bCs w:val="0"/>
                <w:i w:val="0"/>
                <w:color w:val="000000"/>
                <w:kern w:val="0"/>
                <w:sz w:val="20"/>
                <w:szCs w:val="20"/>
                <w:u w:val="none"/>
                <w:lang w:val="en-US" w:eastAsia="zh-CN" w:bidi="ar"/>
              </w:rPr>
              <w:t>、</w:t>
            </w:r>
            <w:r>
              <w:rPr>
                <w:rFonts w:hint="default" w:ascii="Times New Roman" w:hAnsi="Times New Roman" w:eastAsia="宋体" w:cs="Times New Roman"/>
                <w:b w:val="0"/>
                <w:bCs w:val="0"/>
                <w:i w:val="0"/>
                <w:color w:val="000000"/>
                <w:kern w:val="0"/>
                <w:sz w:val="20"/>
                <w:szCs w:val="20"/>
                <w:u w:val="none"/>
                <w:lang w:val="en-US" w:eastAsia="zh-CN" w:bidi="ar"/>
              </w:rPr>
              <w:t>复审认定的国家高新技术企业</w:t>
            </w:r>
          </w:p>
        </w:tc>
        <w:tc>
          <w:tcPr>
            <w:tcW w:w="2334" w:type="dxa"/>
            <w:tcBorders>
              <w:tl2br w:val="nil"/>
              <w:tr2bl w:val="nil"/>
            </w:tcBorders>
            <w:shd w:val="clear" w:color="auto" w:fill="auto"/>
            <w:tcMar>
              <w:top w:w="15" w:type="dxa"/>
              <w:left w:w="15" w:type="dxa"/>
              <w:right w:w="15" w:type="dxa"/>
            </w:tcMar>
            <w:vAlign w:val="center"/>
          </w:tcPr>
          <w:p w14:paraId="5E7C59B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广安市科学技术局 广安市经济和信息化局 广安市财政局关于印发《广安市支持工业科技创新平台发展若干措施》的通知（广科技发〔2024〕29号）</w:t>
            </w:r>
          </w:p>
        </w:tc>
        <w:tc>
          <w:tcPr>
            <w:tcW w:w="770" w:type="dxa"/>
            <w:tcBorders>
              <w:tl2br w:val="nil"/>
              <w:tr2bl w:val="nil"/>
            </w:tcBorders>
            <w:shd w:val="clear" w:color="auto" w:fill="auto"/>
            <w:tcMar>
              <w:top w:w="15" w:type="dxa"/>
              <w:left w:w="15" w:type="dxa"/>
              <w:right w:w="15" w:type="dxa"/>
            </w:tcMar>
            <w:vAlign w:val="center"/>
          </w:tcPr>
          <w:p w14:paraId="38ACDA3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奖补类</w:t>
            </w:r>
          </w:p>
        </w:tc>
        <w:tc>
          <w:tcPr>
            <w:tcW w:w="770" w:type="dxa"/>
            <w:tcBorders>
              <w:tl2br w:val="nil"/>
              <w:tr2bl w:val="nil"/>
            </w:tcBorders>
            <w:shd w:val="clear" w:color="auto" w:fill="auto"/>
            <w:tcMar>
              <w:top w:w="15" w:type="dxa"/>
              <w:left w:w="15" w:type="dxa"/>
              <w:right w:w="15" w:type="dxa"/>
            </w:tcMar>
            <w:vAlign w:val="center"/>
          </w:tcPr>
          <w:p w14:paraId="6BE5BE7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770" w:type="dxa"/>
            <w:tcBorders>
              <w:tl2br w:val="nil"/>
              <w:tr2bl w:val="nil"/>
            </w:tcBorders>
            <w:shd w:val="clear" w:color="auto" w:fill="auto"/>
            <w:tcMar>
              <w:top w:w="15" w:type="dxa"/>
              <w:left w:w="15" w:type="dxa"/>
              <w:right w:w="15" w:type="dxa"/>
            </w:tcMar>
            <w:vAlign w:val="center"/>
          </w:tcPr>
          <w:p w14:paraId="391AD87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888" w:type="dxa"/>
            <w:tcBorders>
              <w:tl2br w:val="nil"/>
              <w:tr2bl w:val="nil"/>
            </w:tcBorders>
            <w:shd w:val="clear" w:color="auto" w:fill="auto"/>
            <w:tcMar>
              <w:top w:w="15" w:type="dxa"/>
              <w:left w:w="15" w:type="dxa"/>
              <w:right w:w="15" w:type="dxa"/>
            </w:tcMar>
            <w:vAlign w:val="center"/>
          </w:tcPr>
          <w:p w14:paraId="53882B5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6766D93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市科学</w:t>
            </w:r>
          </w:p>
          <w:p w14:paraId="36D0355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技术局</w:t>
            </w:r>
          </w:p>
        </w:tc>
        <w:tc>
          <w:tcPr>
            <w:tcW w:w="1085" w:type="dxa"/>
            <w:tcBorders>
              <w:tl2br w:val="nil"/>
              <w:tr2bl w:val="nil"/>
            </w:tcBorders>
            <w:shd w:val="clear" w:color="auto" w:fill="auto"/>
            <w:tcMar>
              <w:top w:w="15" w:type="dxa"/>
              <w:left w:w="15" w:type="dxa"/>
              <w:right w:w="15" w:type="dxa"/>
            </w:tcMar>
            <w:vAlign w:val="center"/>
          </w:tcPr>
          <w:p w14:paraId="7E49D8E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企业</w:t>
            </w:r>
          </w:p>
        </w:tc>
        <w:tc>
          <w:tcPr>
            <w:tcW w:w="705" w:type="dxa"/>
            <w:tcBorders>
              <w:tl2br w:val="nil"/>
              <w:tr2bl w:val="nil"/>
            </w:tcBorders>
            <w:shd w:val="clear" w:color="auto" w:fill="auto"/>
            <w:tcMar>
              <w:top w:w="15" w:type="dxa"/>
              <w:left w:w="15" w:type="dxa"/>
              <w:right w:w="15" w:type="dxa"/>
            </w:tcMar>
            <w:vAlign w:val="center"/>
          </w:tcPr>
          <w:p w14:paraId="3BBE88D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免申</w:t>
            </w:r>
          </w:p>
          <w:p w14:paraId="431675E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即享</w:t>
            </w:r>
          </w:p>
        </w:tc>
        <w:tc>
          <w:tcPr>
            <w:tcW w:w="1171" w:type="dxa"/>
            <w:tcBorders>
              <w:tl2br w:val="nil"/>
              <w:tr2bl w:val="nil"/>
            </w:tcBorders>
            <w:shd w:val="clear" w:color="auto" w:fill="auto"/>
            <w:tcMar>
              <w:top w:w="15" w:type="dxa"/>
              <w:left w:w="15" w:type="dxa"/>
              <w:right w:w="15" w:type="dxa"/>
            </w:tcMar>
            <w:vAlign w:val="center"/>
          </w:tcPr>
          <w:p w14:paraId="4EA3DE8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市财政资金到位后，20个工作日内拨付</w:t>
            </w:r>
          </w:p>
        </w:tc>
        <w:tc>
          <w:tcPr>
            <w:tcW w:w="1095" w:type="dxa"/>
            <w:tcBorders>
              <w:tl2br w:val="nil"/>
              <w:tr2bl w:val="nil"/>
            </w:tcBorders>
            <w:shd w:val="clear" w:color="auto" w:fill="auto"/>
            <w:tcMar>
              <w:top w:w="15" w:type="dxa"/>
              <w:left w:w="15" w:type="dxa"/>
              <w:right w:w="15" w:type="dxa"/>
            </w:tcMar>
            <w:vAlign w:val="center"/>
          </w:tcPr>
          <w:p w14:paraId="363A659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至2029年12月1日</w:t>
            </w:r>
          </w:p>
        </w:tc>
      </w:tr>
      <w:tr w14:paraId="5A664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00" w:type="dxa"/>
            <w:tcBorders>
              <w:tl2br w:val="nil"/>
              <w:tr2bl w:val="nil"/>
            </w:tcBorders>
            <w:shd w:val="clear" w:color="auto" w:fill="auto"/>
            <w:tcMar>
              <w:top w:w="15" w:type="dxa"/>
              <w:left w:w="15" w:type="dxa"/>
              <w:right w:w="15" w:type="dxa"/>
            </w:tcMar>
            <w:vAlign w:val="center"/>
          </w:tcPr>
          <w:p w14:paraId="06E5D08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10</w:t>
            </w:r>
          </w:p>
        </w:tc>
        <w:tc>
          <w:tcPr>
            <w:tcW w:w="906" w:type="dxa"/>
            <w:tcBorders>
              <w:tl2br w:val="nil"/>
              <w:tr2bl w:val="nil"/>
            </w:tcBorders>
            <w:shd w:val="clear" w:color="auto" w:fill="auto"/>
            <w:tcMar>
              <w:top w:w="15" w:type="dxa"/>
              <w:left w:w="15" w:type="dxa"/>
              <w:right w:w="15" w:type="dxa"/>
            </w:tcMar>
            <w:vAlign w:val="center"/>
          </w:tcPr>
          <w:p w14:paraId="77715FE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t>支持工业科技创新平台发展</w:t>
            </w:r>
          </w:p>
        </w:tc>
        <w:tc>
          <w:tcPr>
            <w:tcW w:w="3227" w:type="dxa"/>
            <w:tcBorders>
              <w:tl2br w:val="nil"/>
              <w:tr2bl w:val="nil"/>
            </w:tcBorders>
            <w:shd w:val="clear" w:color="auto" w:fill="auto"/>
            <w:tcMar>
              <w:top w:w="15" w:type="dxa"/>
              <w:left w:w="15" w:type="dxa"/>
              <w:right w:w="15" w:type="dxa"/>
            </w:tcMar>
            <w:vAlign w:val="center"/>
          </w:tcPr>
          <w:p w14:paraId="7935688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首次创建为国家、省级科技企业孵化器、众创空间</w:t>
            </w:r>
          </w:p>
        </w:tc>
        <w:tc>
          <w:tcPr>
            <w:tcW w:w="2334" w:type="dxa"/>
            <w:tcBorders>
              <w:tl2br w:val="nil"/>
              <w:tr2bl w:val="nil"/>
            </w:tcBorders>
            <w:shd w:val="clear" w:color="auto" w:fill="auto"/>
            <w:tcMar>
              <w:top w:w="15" w:type="dxa"/>
              <w:left w:w="15" w:type="dxa"/>
              <w:right w:w="15" w:type="dxa"/>
            </w:tcMar>
            <w:vAlign w:val="center"/>
          </w:tcPr>
          <w:p w14:paraId="784E55E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广安市科学技术局 广安市经济和信息化局 广安市财政局关于印发《广安市支持工业科技创新平台发展若干措施》的通知（广科技发〔2024〕29号）</w:t>
            </w:r>
          </w:p>
        </w:tc>
        <w:tc>
          <w:tcPr>
            <w:tcW w:w="770" w:type="dxa"/>
            <w:tcBorders>
              <w:tl2br w:val="nil"/>
              <w:tr2bl w:val="nil"/>
            </w:tcBorders>
            <w:shd w:val="clear" w:color="auto" w:fill="auto"/>
            <w:tcMar>
              <w:top w:w="15" w:type="dxa"/>
              <w:left w:w="15" w:type="dxa"/>
              <w:right w:w="15" w:type="dxa"/>
            </w:tcMar>
            <w:vAlign w:val="center"/>
          </w:tcPr>
          <w:p w14:paraId="6149D44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奖补类</w:t>
            </w:r>
          </w:p>
        </w:tc>
        <w:tc>
          <w:tcPr>
            <w:tcW w:w="770" w:type="dxa"/>
            <w:tcBorders>
              <w:tl2br w:val="nil"/>
              <w:tr2bl w:val="nil"/>
            </w:tcBorders>
            <w:shd w:val="clear" w:color="auto" w:fill="auto"/>
            <w:tcMar>
              <w:top w:w="15" w:type="dxa"/>
              <w:left w:w="15" w:type="dxa"/>
              <w:right w:w="15" w:type="dxa"/>
            </w:tcMar>
            <w:vAlign w:val="center"/>
          </w:tcPr>
          <w:p w14:paraId="5C66DDD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770" w:type="dxa"/>
            <w:tcBorders>
              <w:tl2br w:val="nil"/>
              <w:tr2bl w:val="nil"/>
            </w:tcBorders>
            <w:shd w:val="clear" w:color="auto" w:fill="auto"/>
            <w:tcMar>
              <w:top w:w="15" w:type="dxa"/>
              <w:left w:w="15" w:type="dxa"/>
              <w:right w:w="15" w:type="dxa"/>
            </w:tcMar>
            <w:vAlign w:val="center"/>
          </w:tcPr>
          <w:p w14:paraId="5737ED4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888" w:type="dxa"/>
            <w:tcBorders>
              <w:tl2br w:val="nil"/>
              <w:tr2bl w:val="nil"/>
            </w:tcBorders>
            <w:shd w:val="clear" w:color="auto" w:fill="auto"/>
            <w:tcMar>
              <w:top w:w="15" w:type="dxa"/>
              <w:left w:w="15" w:type="dxa"/>
              <w:right w:w="15" w:type="dxa"/>
            </w:tcMar>
            <w:vAlign w:val="center"/>
          </w:tcPr>
          <w:p w14:paraId="0B0BDFC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43850E7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市科学</w:t>
            </w:r>
          </w:p>
          <w:p w14:paraId="3378843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技术局</w:t>
            </w:r>
          </w:p>
        </w:tc>
        <w:tc>
          <w:tcPr>
            <w:tcW w:w="1085" w:type="dxa"/>
            <w:tcBorders>
              <w:tl2br w:val="nil"/>
              <w:tr2bl w:val="nil"/>
            </w:tcBorders>
            <w:shd w:val="clear" w:color="auto" w:fill="auto"/>
            <w:tcMar>
              <w:top w:w="15" w:type="dxa"/>
              <w:left w:w="15" w:type="dxa"/>
              <w:right w:w="15" w:type="dxa"/>
            </w:tcMar>
            <w:vAlign w:val="center"/>
          </w:tcPr>
          <w:p w14:paraId="68F724C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符合条件的</w:t>
            </w: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创新主体</w:t>
            </w:r>
          </w:p>
        </w:tc>
        <w:tc>
          <w:tcPr>
            <w:tcW w:w="705" w:type="dxa"/>
            <w:tcBorders>
              <w:tl2br w:val="nil"/>
              <w:tr2bl w:val="nil"/>
            </w:tcBorders>
            <w:shd w:val="clear" w:color="auto" w:fill="auto"/>
            <w:tcMar>
              <w:top w:w="15" w:type="dxa"/>
              <w:left w:w="15" w:type="dxa"/>
              <w:right w:w="15" w:type="dxa"/>
            </w:tcMar>
            <w:vAlign w:val="center"/>
          </w:tcPr>
          <w:p w14:paraId="113EA54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免申</w:t>
            </w:r>
          </w:p>
          <w:p w14:paraId="7243906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即享</w:t>
            </w:r>
          </w:p>
        </w:tc>
        <w:tc>
          <w:tcPr>
            <w:tcW w:w="1171" w:type="dxa"/>
            <w:tcBorders>
              <w:tl2br w:val="nil"/>
              <w:tr2bl w:val="nil"/>
            </w:tcBorders>
            <w:shd w:val="clear" w:color="auto" w:fill="auto"/>
            <w:tcMar>
              <w:top w:w="15" w:type="dxa"/>
              <w:left w:w="15" w:type="dxa"/>
              <w:right w:w="15" w:type="dxa"/>
            </w:tcMar>
            <w:vAlign w:val="center"/>
          </w:tcPr>
          <w:p w14:paraId="5171948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市财政资金到位后，20个工作日内拨付</w:t>
            </w:r>
          </w:p>
        </w:tc>
        <w:tc>
          <w:tcPr>
            <w:tcW w:w="1095" w:type="dxa"/>
            <w:tcBorders>
              <w:tl2br w:val="nil"/>
              <w:tr2bl w:val="nil"/>
            </w:tcBorders>
            <w:shd w:val="clear" w:color="auto" w:fill="auto"/>
            <w:tcMar>
              <w:top w:w="15" w:type="dxa"/>
              <w:left w:w="15" w:type="dxa"/>
              <w:right w:w="15" w:type="dxa"/>
            </w:tcMar>
            <w:vAlign w:val="center"/>
          </w:tcPr>
          <w:p w14:paraId="01E51AC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至2029年12月1日</w:t>
            </w:r>
          </w:p>
        </w:tc>
      </w:tr>
      <w:tr w14:paraId="120DB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00" w:type="dxa"/>
            <w:tcBorders>
              <w:tl2br w:val="nil"/>
              <w:tr2bl w:val="nil"/>
            </w:tcBorders>
            <w:shd w:val="clear" w:color="auto" w:fill="auto"/>
            <w:tcMar>
              <w:top w:w="15" w:type="dxa"/>
              <w:left w:w="15" w:type="dxa"/>
              <w:right w:w="15" w:type="dxa"/>
            </w:tcMar>
            <w:vAlign w:val="center"/>
          </w:tcPr>
          <w:p w14:paraId="4926F6E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11</w:t>
            </w:r>
          </w:p>
        </w:tc>
        <w:tc>
          <w:tcPr>
            <w:tcW w:w="906" w:type="dxa"/>
            <w:tcBorders>
              <w:tl2br w:val="nil"/>
              <w:tr2bl w:val="nil"/>
            </w:tcBorders>
            <w:shd w:val="clear" w:color="auto" w:fill="auto"/>
            <w:tcMar>
              <w:top w:w="15" w:type="dxa"/>
              <w:left w:w="15" w:type="dxa"/>
              <w:right w:w="15" w:type="dxa"/>
            </w:tcMar>
            <w:vAlign w:val="center"/>
          </w:tcPr>
          <w:p w14:paraId="4FB5A40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t>支持工业科技创新平台发展</w:t>
            </w:r>
          </w:p>
        </w:tc>
        <w:tc>
          <w:tcPr>
            <w:tcW w:w="3227" w:type="dxa"/>
            <w:tcBorders>
              <w:tl2br w:val="nil"/>
              <w:tr2bl w:val="nil"/>
            </w:tcBorders>
            <w:shd w:val="clear" w:color="auto" w:fill="auto"/>
            <w:tcMar>
              <w:top w:w="15" w:type="dxa"/>
              <w:left w:w="15" w:type="dxa"/>
              <w:right w:w="15" w:type="dxa"/>
            </w:tcMar>
            <w:vAlign w:val="center"/>
          </w:tcPr>
          <w:p w14:paraId="7296D17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参加中国创新创业大赛获奖</w:t>
            </w:r>
          </w:p>
        </w:tc>
        <w:tc>
          <w:tcPr>
            <w:tcW w:w="2334" w:type="dxa"/>
            <w:tcBorders>
              <w:tl2br w:val="nil"/>
              <w:tr2bl w:val="nil"/>
            </w:tcBorders>
            <w:shd w:val="clear" w:color="auto" w:fill="auto"/>
            <w:tcMar>
              <w:top w:w="15" w:type="dxa"/>
              <w:left w:w="15" w:type="dxa"/>
              <w:right w:w="15" w:type="dxa"/>
            </w:tcMar>
            <w:vAlign w:val="center"/>
          </w:tcPr>
          <w:p w14:paraId="0E43EB0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广安市科学技术局 广安市经济和信息化局 广安市财政局关于印发《广安市支持工业科技创新平台发展若干措施》的通知（广科技发〔2024〕29号）</w:t>
            </w:r>
          </w:p>
        </w:tc>
        <w:tc>
          <w:tcPr>
            <w:tcW w:w="770" w:type="dxa"/>
            <w:tcBorders>
              <w:tl2br w:val="nil"/>
              <w:tr2bl w:val="nil"/>
            </w:tcBorders>
            <w:shd w:val="clear" w:color="auto" w:fill="auto"/>
            <w:tcMar>
              <w:top w:w="15" w:type="dxa"/>
              <w:left w:w="15" w:type="dxa"/>
              <w:right w:w="15" w:type="dxa"/>
            </w:tcMar>
            <w:vAlign w:val="center"/>
          </w:tcPr>
          <w:p w14:paraId="58B27FC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奖补类</w:t>
            </w:r>
          </w:p>
        </w:tc>
        <w:tc>
          <w:tcPr>
            <w:tcW w:w="770" w:type="dxa"/>
            <w:tcBorders>
              <w:tl2br w:val="nil"/>
              <w:tr2bl w:val="nil"/>
            </w:tcBorders>
            <w:shd w:val="clear" w:color="auto" w:fill="auto"/>
            <w:tcMar>
              <w:top w:w="15" w:type="dxa"/>
              <w:left w:w="15" w:type="dxa"/>
              <w:right w:w="15" w:type="dxa"/>
            </w:tcMar>
            <w:vAlign w:val="center"/>
          </w:tcPr>
          <w:p w14:paraId="4CEDC01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770" w:type="dxa"/>
            <w:tcBorders>
              <w:tl2br w:val="nil"/>
              <w:tr2bl w:val="nil"/>
            </w:tcBorders>
            <w:shd w:val="clear" w:color="auto" w:fill="auto"/>
            <w:tcMar>
              <w:top w:w="15" w:type="dxa"/>
              <w:left w:w="15" w:type="dxa"/>
              <w:right w:w="15" w:type="dxa"/>
            </w:tcMar>
            <w:vAlign w:val="center"/>
          </w:tcPr>
          <w:p w14:paraId="69832C0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888" w:type="dxa"/>
            <w:tcBorders>
              <w:tl2br w:val="nil"/>
              <w:tr2bl w:val="nil"/>
            </w:tcBorders>
            <w:shd w:val="clear" w:color="auto" w:fill="auto"/>
            <w:tcMar>
              <w:top w:w="15" w:type="dxa"/>
              <w:left w:w="15" w:type="dxa"/>
              <w:right w:w="15" w:type="dxa"/>
            </w:tcMar>
            <w:vAlign w:val="center"/>
          </w:tcPr>
          <w:p w14:paraId="7BF8905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0B7A72C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市科学</w:t>
            </w:r>
          </w:p>
          <w:p w14:paraId="6912981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技术局</w:t>
            </w:r>
          </w:p>
        </w:tc>
        <w:tc>
          <w:tcPr>
            <w:tcW w:w="1085" w:type="dxa"/>
            <w:tcBorders>
              <w:tl2br w:val="nil"/>
              <w:tr2bl w:val="nil"/>
            </w:tcBorders>
            <w:shd w:val="clear" w:color="auto" w:fill="auto"/>
            <w:tcMar>
              <w:top w:w="15" w:type="dxa"/>
              <w:left w:w="15" w:type="dxa"/>
              <w:right w:w="15" w:type="dxa"/>
            </w:tcMar>
            <w:vAlign w:val="center"/>
          </w:tcPr>
          <w:p w14:paraId="43AE423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符合条件的</w:t>
            </w: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创新主体</w:t>
            </w:r>
          </w:p>
        </w:tc>
        <w:tc>
          <w:tcPr>
            <w:tcW w:w="705" w:type="dxa"/>
            <w:tcBorders>
              <w:tl2br w:val="nil"/>
              <w:tr2bl w:val="nil"/>
            </w:tcBorders>
            <w:shd w:val="clear" w:color="auto" w:fill="auto"/>
            <w:tcMar>
              <w:top w:w="15" w:type="dxa"/>
              <w:left w:w="15" w:type="dxa"/>
              <w:right w:w="15" w:type="dxa"/>
            </w:tcMar>
            <w:vAlign w:val="center"/>
          </w:tcPr>
          <w:p w14:paraId="04ADD32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免申</w:t>
            </w:r>
          </w:p>
          <w:p w14:paraId="5741C36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即享</w:t>
            </w:r>
          </w:p>
        </w:tc>
        <w:tc>
          <w:tcPr>
            <w:tcW w:w="1171" w:type="dxa"/>
            <w:tcBorders>
              <w:tl2br w:val="nil"/>
              <w:tr2bl w:val="nil"/>
            </w:tcBorders>
            <w:shd w:val="clear" w:color="auto" w:fill="auto"/>
            <w:tcMar>
              <w:top w:w="15" w:type="dxa"/>
              <w:left w:w="15" w:type="dxa"/>
              <w:right w:w="15" w:type="dxa"/>
            </w:tcMar>
            <w:vAlign w:val="center"/>
          </w:tcPr>
          <w:p w14:paraId="3C2E6ED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市财政资金到位后，20个工作日内拨付</w:t>
            </w:r>
          </w:p>
        </w:tc>
        <w:tc>
          <w:tcPr>
            <w:tcW w:w="1095" w:type="dxa"/>
            <w:tcBorders>
              <w:tl2br w:val="nil"/>
              <w:tr2bl w:val="nil"/>
            </w:tcBorders>
            <w:shd w:val="clear" w:color="auto" w:fill="auto"/>
            <w:tcMar>
              <w:top w:w="15" w:type="dxa"/>
              <w:left w:w="15" w:type="dxa"/>
              <w:right w:w="15" w:type="dxa"/>
            </w:tcMar>
            <w:vAlign w:val="center"/>
          </w:tcPr>
          <w:p w14:paraId="6D94F6C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至2029年12月1日</w:t>
            </w:r>
          </w:p>
        </w:tc>
      </w:tr>
      <w:tr w14:paraId="74D5C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jc w:val="center"/>
        </w:trPr>
        <w:tc>
          <w:tcPr>
            <w:tcW w:w="500" w:type="dxa"/>
            <w:tcBorders>
              <w:tl2br w:val="nil"/>
              <w:tr2bl w:val="nil"/>
            </w:tcBorders>
            <w:shd w:val="clear" w:color="auto" w:fill="auto"/>
            <w:tcMar>
              <w:top w:w="15" w:type="dxa"/>
              <w:left w:w="15" w:type="dxa"/>
              <w:right w:w="15" w:type="dxa"/>
            </w:tcMar>
            <w:vAlign w:val="center"/>
          </w:tcPr>
          <w:p w14:paraId="4B2D6EF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12</w:t>
            </w:r>
          </w:p>
        </w:tc>
        <w:tc>
          <w:tcPr>
            <w:tcW w:w="906" w:type="dxa"/>
            <w:tcBorders>
              <w:tl2br w:val="nil"/>
              <w:tr2bl w:val="nil"/>
            </w:tcBorders>
            <w:shd w:val="clear" w:color="auto" w:fill="auto"/>
            <w:tcMar>
              <w:top w:w="15" w:type="dxa"/>
              <w:left w:w="15" w:type="dxa"/>
              <w:right w:w="15" w:type="dxa"/>
            </w:tcMar>
            <w:vAlign w:val="center"/>
          </w:tcPr>
          <w:p w14:paraId="38039EC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t>支持工业科技创新平台发展</w:t>
            </w:r>
          </w:p>
        </w:tc>
        <w:tc>
          <w:tcPr>
            <w:tcW w:w="3227" w:type="dxa"/>
            <w:tcBorders>
              <w:tl2br w:val="nil"/>
              <w:tr2bl w:val="nil"/>
            </w:tcBorders>
            <w:shd w:val="clear" w:color="auto" w:fill="auto"/>
            <w:tcMar>
              <w:top w:w="15" w:type="dxa"/>
              <w:left w:w="15" w:type="dxa"/>
              <w:right w:w="15" w:type="dxa"/>
            </w:tcMar>
            <w:vAlign w:val="center"/>
          </w:tcPr>
          <w:p w14:paraId="186A963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由广安市人民政府提名获得四川省科学技术奖一等奖及以上、二等奖、三等奖</w:t>
            </w:r>
          </w:p>
        </w:tc>
        <w:tc>
          <w:tcPr>
            <w:tcW w:w="2334" w:type="dxa"/>
            <w:tcBorders>
              <w:tl2br w:val="nil"/>
              <w:tr2bl w:val="nil"/>
            </w:tcBorders>
            <w:shd w:val="clear" w:color="auto" w:fill="auto"/>
            <w:tcMar>
              <w:top w:w="15" w:type="dxa"/>
              <w:left w:w="15" w:type="dxa"/>
              <w:right w:w="15" w:type="dxa"/>
            </w:tcMar>
            <w:vAlign w:val="center"/>
          </w:tcPr>
          <w:p w14:paraId="2E61F2D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广安市科学技术局 广安市经济和信息化局 广安市财政局关于印发《广安市支持工业科技创新平台发展若干措施》的通知（广科技发〔2024〕29号）</w:t>
            </w:r>
          </w:p>
        </w:tc>
        <w:tc>
          <w:tcPr>
            <w:tcW w:w="770" w:type="dxa"/>
            <w:tcBorders>
              <w:tl2br w:val="nil"/>
              <w:tr2bl w:val="nil"/>
            </w:tcBorders>
            <w:shd w:val="clear" w:color="auto" w:fill="auto"/>
            <w:tcMar>
              <w:top w:w="15" w:type="dxa"/>
              <w:left w:w="15" w:type="dxa"/>
              <w:right w:w="15" w:type="dxa"/>
            </w:tcMar>
            <w:vAlign w:val="center"/>
          </w:tcPr>
          <w:p w14:paraId="48FBCE4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奖补类</w:t>
            </w:r>
          </w:p>
        </w:tc>
        <w:tc>
          <w:tcPr>
            <w:tcW w:w="770" w:type="dxa"/>
            <w:tcBorders>
              <w:tl2br w:val="nil"/>
              <w:tr2bl w:val="nil"/>
            </w:tcBorders>
            <w:shd w:val="clear" w:color="auto" w:fill="auto"/>
            <w:tcMar>
              <w:top w:w="15" w:type="dxa"/>
              <w:left w:w="15" w:type="dxa"/>
              <w:right w:w="15" w:type="dxa"/>
            </w:tcMar>
            <w:vAlign w:val="center"/>
          </w:tcPr>
          <w:p w14:paraId="30289B4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770" w:type="dxa"/>
            <w:tcBorders>
              <w:tl2br w:val="nil"/>
              <w:tr2bl w:val="nil"/>
            </w:tcBorders>
            <w:shd w:val="clear" w:color="auto" w:fill="auto"/>
            <w:tcMar>
              <w:top w:w="15" w:type="dxa"/>
              <w:left w:w="15" w:type="dxa"/>
              <w:right w:w="15" w:type="dxa"/>
            </w:tcMar>
            <w:vAlign w:val="center"/>
          </w:tcPr>
          <w:p w14:paraId="2DA7D63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888" w:type="dxa"/>
            <w:tcBorders>
              <w:tl2br w:val="nil"/>
              <w:tr2bl w:val="nil"/>
            </w:tcBorders>
            <w:shd w:val="clear" w:color="auto" w:fill="auto"/>
            <w:tcMar>
              <w:top w:w="15" w:type="dxa"/>
              <w:left w:w="15" w:type="dxa"/>
              <w:right w:w="15" w:type="dxa"/>
            </w:tcMar>
            <w:vAlign w:val="center"/>
          </w:tcPr>
          <w:p w14:paraId="19C8BEE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0291164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市科学</w:t>
            </w:r>
          </w:p>
          <w:p w14:paraId="0871E08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技术局</w:t>
            </w:r>
          </w:p>
        </w:tc>
        <w:tc>
          <w:tcPr>
            <w:tcW w:w="1085" w:type="dxa"/>
            <w:tcBorders>
              <w:tl2br w:val="nil"/>
              <w:tr2bl w:val="nil"/>
            </w:tcBorders>
            <w:shd w:val="clear" w:color="auto" w:fill="auto"/>
            <w:tcMar>
              <w:top w:w="15" w:type="dxa"/>
              <w:left w:w="15" w:type="dxa"/>
              <w:right w:w="15" w:type="dxa"/>
            </w:tcMar>
            <w:vAlign w:val="center"/>
          </w:tcPr>
          <w:p w14:paraId="4F8B402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符合条件的</w:t>
            </w: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创新主体</w:t>
            </w:r>
          </w:p>
        </w:tc>
        <w:tc>
          <w:tcPr>
            <w:tcW w:w="705" w:type="dxa"/>
            <w:tcBorders>
              <w:tl2br w:val="nil"/>
              <w:tr2bl w:val="nil"/>
            </w:tcBorders>
            <w:shd w:val="clear" w:color="auto" w:fill="auto"/>
            <w:tcMar>
              <w:top w:w="15" w:type="dxa"/>
              <w:left w:w="15" w:type="dxa"/>
              <w:right w:w="15" w:type="dxa"/>
            </w:tcMar>
            <w:vAlign w:val="center"/>
          </w:tcPr>
          <w:p w14:paraId="46190E0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免申</w:t>
            </w:r>
          </w:p>
          <w:p w14:paraId="3853C2D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即享</w:t>
            </w:r>
          </w:p>
        </w:tc>
        <w:tc>
          <w:tcPr>
            <w:tcW w:w="1171" w:type="dxa"/>
            <w:tcBorders>
              <w:tl2br w:val="nil"/>
              <w:tr2bl w:val="nil"/>
            </w:tcBorders>
            <w:shd w:val="clear" w:color="auto" w:fill="auto"/>
            <w:tcMar>
              <w:top w:w="15" w:type="dxa"/>
              <w:left w:w="15" w:type="dxa"/>
              <w:right w:w="15" w:type="dxa"/>
            </w:tcMar>
            <w:vAlign w:val="center"/>
          </w:tcPr>
          <w:p w14:paraId="654637D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市财政资金到位后，20个工作日内拨付</w:t>
            </w:r>
          </w:p>
        </w:tc>
        <w:tc>
          <w:tcPr>
            <w:tcW w:w="1095" w:type="dxa"/>
            <w:tcBorders>
              <w:tl2br w:val="nil"/>
              <w:tr2bl w:val="nil"/>
            </w:tcBorders>
            <w:shd w:val="clear" w:color="auto" w:fill="auto"/>
            <w:tcMar>
              <w:top w:w="15" w:type="dxa"/>
              <w:left w:w="15" w:type="dxa"/>
              <w:right w:w="15" w:type="dxa"/>
            </w:tcMar>
            <w:vAlign w:val="center"/>
          </w:tcPr>
          <w:p w14:paraId="7465C90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至2029年12月1日</w:t>
            </w:r>
          </w:p>
        </w:tc>
      </w:tr>
      <w:tr w14:paraId="0EE0A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61" w:hRule="atLeast"/>
          <w:jc w:val="center"/>
        </w:trPr>
        <w:tc>
          <w:tcPr>
            <w:tcW w:w="500" w:type="dxa"/>
            <w:tcBorders>
              <w:tl2br w:val="nil"/>
              <w:tr2bl w:val="nil"/>
            </w:tcBorders>
            <w:shd w:val="clear" w:color="auto" w:fill="auto"/>
            <w:tcMar>
              <w:top w:w="15" w:type="dxa"/>
              <w:left w:w="15" w:type="dxa"/>
              <w:right w:w="15" w:type="dxa"/>
            </w:tcMar>
            <w:vAlign w:val="center"/>
          </w:tcPr>
          <w:p w14:paraId="2B7DC15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13</w:t>
            </w:r>
          </w:p>
        </w:tc>
        <w:tc>
          <w:tcPr>
            <w:tcW w:w="906" w:type="dxa"/>
            <w:tcBorders>
              <w:tl2br w:val="nil"/>
              <w:tr2bl w:val="nil"/>
            </w:tcBorders>
            <w:shd w:val="clear" w:color="auto" w:fill="auto"/>
            <w:tcMar>
              <w:top w:w="15" w:type="dxa"/>
              <w:left w:w="15" w:type="dxa"/>
              <w:right w:w="15" w:type="dxa"/>
            </w:tcMar>
            <w:vAlign w:val="center"/>
          </w:tcPr>
          <w:p w14:paraId="166FDF4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heme="minorEastAsia" w:hAnsiTheme="minorEastAsia" w:eastAsiaTheme="minorEastAsia" w:cstheme="minorEastAsia"/>
                <w:b w:val="0"/>
                <w:bCs w:val="0"/>
                <w:i w:val="0"/>
                <w:color w:val="auto"/>
                <w:kern w:val="0"/>
                <w:sz w:val="20"/>
                <w:szCs w:val="20"/>
                <w:u w:val="none"/>
                <w:lang w:val="en-US" w:eastAsia="zh-CN" w:bidi="ar"/>
              </w:rPr>
            </w:pPr>
            <w:r>
              <w:rPr>
                <w:rFonts w:hint="eastAsia" w:asciiTheme="minorEastAsia" w:hAnsiTheme="minorEastAsia" w:cstheme="minorEastAsia"/>
                <w:b w:val="0"/>
                <w:bCs w:val="0"/>
                <w:i w:val="0"/>
                <w:color w:val="auto"/>
                <w:kern w:val="0"/>
                <w:sz w:val="20"/>
                <w:szCs w:val="20"/>
                <w:u w:val="none"/>
                <w:lang w:val="en-US" w:eastAsia="zh-CN" w:bidi="ar"/>
              </w:rPr>
              <w:t>支持</w:t>
            </w:r>
            <w:r>
              <w:rPr>
                <w:rFonts w:hint="eastAsia" w:asciiTheme="minorEastAsia" w:hAnsiTheme="minorEastAsia" w:eastAsiaTheme="minorEastAsia" w:cstheme="minorEastAsia"/>
                <w:b w:val="0"/>
                <w:bCs w:val="0"/>
                <w:i w:val="0"/>
                <w:color w:val="auto"/>
                <w:kern w:val="0"/>
                <w:sz w:val="20"/>
                <w:szCs w:val="20"/>
                <w:u w:val="none"/>
                <w:lang w:val="en-US" w:eastAsia="zh-CN" w:bidi="ar"/>
              </w:rPr>
              <w:t>农业科技创新发展和平台建设</w:t>
            </w:r>
          </w:p>
        </w:tc>
        <w:tc>
          <w:tcPr>
            <w:tcW w:w="3227" w:type="dxa"/>
            <w:tcBorders>
              <w:tl2br w:val="nil"/>
              <w:tr2bl w:val="nil"/>
            </w:tcBorders>
            <w:shd w:val="clear" w:color="auto" w:fill="auto"/>
            <w:tcMar>
              <w:top w:w="15" w:type="dxa"/>
              <w:left w:w="15" w:type="dxa"/>
              <w:right w:w="15" w:type="dxa"/>
            </w:tcMar>
            <w:vAlign w:val="center"/>
          </w:tcPr>
          <w:p w14:paraId="56938DE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eastAsia" w:asciiTheme="minorEastAsia" w:hAnsiTheme="minorEastAsia" w:eastAsiaTheme="minorEastAsia" w:cstheme="minorEastAsia"/>
                <w:b w:val="0"/>
                <w:bCs w:val="0"/>
                <w:i w:val="0"/>
                <w:color w:val="auto"/>
                <w:kern w:val="0"/>
                <w:sz w:val="20"/>
                <w:szCs w:val="20"/>
                <w:u w:val="none"/>
                <w:lang w:val="en-US" w:eastAsia="zh-CN" w:bidi="ar"/>
              </w:rPr>
              <w:t>进入“国家队”“省队”行列的重点实验室、工程技术研</w:t>
            </w:r>
            <w:r>
              <w:rPr>
                <w:rFonts w:hint="default" w:ascii="Times New Roman" w:hAnsi="Times New Roman" w:eastAsia="宋体" w:cs="Times New Roman"/>
                <w:b w:val="0"/>
                <w:bCs w:val="0"/>
                <w:i w:val="0"/>
                <w:color w:val="auto"/>
                <w:kern w:val="0"/>
                <w:sz w:val="20"/>
                <w:szCs w:val="20"/>
                <w:u w:val="none"/>
                <w:lang w:val="en-US" w:eastAsia="zh-CN" w:bidi="ar"/>
              </w:rPr>
              <w:t>究中心</w:t>
            </w:r>
          </w:p>
        </w:tc>
        <w:tc>
          <w:tcPr>
            <w:tcW w:w="2334" w:type="dxa"/>
            <w:tcBorders>
              <w:tl2br w:val="nil"/>
              <w:tr2bl w:val="nil"/>
            </w:tcBorders>
            <w:shd w:val="clear" w:color="auto" w:fill="auto"/>
            <w:tcMar>
              <w:top w:w="15" w:type="dxa"/>
              <w:left w:w="15" w:type="dxa"/>
              <w:right w:w="15" w:type="dxa"/>
            </w:tcMar>
            <w:vAlign w:val="center"/>
          </w:tcPr>
          <w:p w14:paraId="30B3BDB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广安市科学技术局 广安市农业农村局广安市财政局关于印发《广安市支持农业科技创新发展和平台建设实施办法》的通知（广科技发〔2025〕13号）</w:t>
            </w:r>
          </w:p>
        </w:tc>
        <w:tc>
          <w:tcPr>
            <w:tcW w:w="770" w:type="dxa"/>
            <w:tcBorders>
              <w:tl2br w:val="nil"/>
              <w:tr2bl w:val="nil"/>
            </w:tcBorders>
            <w:shd w:val="clear" w:color="auto" w:fill="auto"/>
            <w:tcMar>
              <w:top w:w="15" w:type="dxa"/>
              <w:left w:w="15" w:type="dxa"/>
              <w:right w:w="15" w:type="dxa"/>
            </w:tcMar>
            <w:vAlign w:val="center"/>
          </w:tcPr>
          <w:p w14:paraId="3322E5A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奖补类</w:t>
            </w:r>
          </w:p>
        </w:tc>
        <w:tc>
          <w:tcPr>
            <w:tcW w:w="770" w:type="dxa"/>
            <w:tcBorders>
              <w:tl2br w:val="nil"/>
              <w:tr2bl w:val="nil"/>
            </w:tcBorders>
            <w:shd w:val="clear" w:color="auto" w:fill="auto"/>
            <w:tcMar>
              <w:top w:w="15" w:type="dxa"/>
              <w:left w:w="15" w:type="dxa"/>
              <w:right w:w="15" w:type="dxa"/>
            </w:tcMar>
            <w:vAlign w:val="center"/>
          </w:tcPr>
          <w:p w14:paraId="1F45CDE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广安市</w:t>
            </w:r>
          </w:p>
        </w:tc>
        <w:tc>
          <w:tcPr>
            <w:tcW w:w="770" w:type="dxa"/>
            <w:tcBorders>
              <w:tl2br w:val="nil"/>
              <w:tr2bl w:val="nil"/>
            </w:tcBorders>
            <w:shd w:val="clear" w:color="auto" w:fill="auto"/>
            <w:tcMar>
              <w:top w:w="15" w:type="dxa"/>
              <w:left w:w="15" w:type="dxa"/>
              <w:right w:w="15" w:type="dxa"/>
            </w:tcMar>
            <w:vAlign w:val="center"/>
          </w:tcPr>
          <w:p w14:paraId="77CBCE9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广安市</w:t>
            </w:r>
          </w:p>
        </w:tc>
        <w:tc>
          <w:tcPr>
            <w:tcW w:w="888" w:type="dxa"/>
            <w:tcBorders>
              <w:tl2br w:val="nil"/>
              <w:tr2bl w:val="nil"/>
            </w:tcBorders>
            <w:shd w:val="clear" w:color="auto" w:fill="auto"/>
            <w:tcMar>
              <w:top w:w="15" w:type="dxa"/>
              <w:left w:w="15" w:type="dxa"/>
              <w:right w:w="15" w:type="dxa"/>
            </w:tcMar>
            <w:vAlign w:val="center"/>
          </w:tcPr>
          <w:p w14:paraId="0F48E9E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2EBC57C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市科学</w:t>
            </w:r>
          </w:p>
          <w:p w14:paraId="0A43ED4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技术局</w:t>
            </w:r>
          </w:p>
        </w:tc>
        <w:tc>
          <w:tcPr>
            <w:tcW w:w="1085" w:type="dxa"/>
            <w:tcBorders>
              <w:tl2br w:val="nil"/>
              <w:tr2bl w:val="nil"/>
            </w:tcBorders>
            <w:shd w:val="clear" w:color="auto" w:fill="auto"/>
            <w:tcMar>
              <w:top w:w="15" w:type="dxa"/>
              <w:left w:w="15" w:type="dxa"/>
              <w:right w:w="15" w:type="dxa"/>
            </w:tcMar>
            <w:vAlign w:val="center"/>
          </w:tcPr>
          <w:p w14:paraId="700910E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符合条件的</w:t>
            </w:r>
            <w:r>
              <w:rPr>
                <w:rFonts w:hint="eastAsia" w:eastAsia="宋体" w:cs="Times New Roman"/>
                <w:b w:val="0"/>
                <w:bCs w:val="0"/>
                <w:i w:val="0"/>
                <w:color w:val="auto"/>
                <w:kern w:val="0"/>
                <w:sz w:val="20"/>
                <w:szCs w:val="20"/>
                <w:u w:val="none"/>
                <w:lang w:val="en-US" w:eastAsia="zh-CN" w:bidi="ar"/>
              </w:rPr>
              <w:t>创新主体</w:t>
            </w:r>
          </w:p>
        </w:tc>
        <w:tc>
          <w:tcPr>
            <w:tcW w:w="705" w:type="dxa"/>
            <w:tcBorders>
              <w:tl2br w:val="nil"/>
              <w:tr2bl w:val="nil"/>
            </w:tcBorders>
            <w:shd w:val="clear" w:color="auto" w:fill="auto"/>
            <w:tcMar>
              <w:top w:w="15" w:type="dxa"/>
              <w:left w:w="15" w:type="dxa"/>
              <w:right w:w="15" w:type="dxa"/>
            </w:tcMar>
            <w:vAlign w:val="center"/>
          </w:tcPr>
          <w:p w14:paraId="43434BC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免申</w:t>
            </w:r>
          </w:p>
          <w:p w14:paraId="1C68AFA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即享</w:t>
            </w:r>
          </w:p>
        </w:tc>
        <w:tc>
          <w:tcPr>
            <w:tcW w:w="1171" w:type="dxa"/>
            <w:tcBorders>
              <w:tl2br w:val="nil"/>
              <w:tr2bl w:val="nil"/>
            </w:tcBorders>
            <w:shd w:val="clear" w:color="auto" w:fill="auto"/>
            <w:tcMar>
              <w:top w:w="15" w:type="dxa"/>
              <w:left w:w="15" w:type="dxa"/>
              <w:right w:w="15" w:type="dxa"/>
            </w:tcMar>
            <w:vAlign w:val="center"/>
          </w:tcPr>
          <w:p w14:paraId="07AEC75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按程序执行</w:t>
            </w:r>
          </w:p>
        </w:tc>
        <w:tc>
          <w:tcPr>
            <w:tcW w:w="1095" w:type="dxa"/>
            <w:tcBorders>
              <w:tl2br w:val="nil"/>
              <w:tr2bl w:val="nil"/>
            </w:tcBorders>
            <w:shd w:val="clear" w:color="auto" w:fill="auto"/>
            <w:tcMar>
              <w:top w:w="15" w:type="dxa"/>
              <w:left w:w="15" w:type="dxa"/>
              <w:right w:w="15" w:type="dxa"/>
            </w:tcMar>
            <w:vAlign w:val="center"/>
          </w:tcPr>
          <w:p w14:paraId="490838B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至2030年4月28日</w:t>
            </w:r>
          </w:p>
        </w:tc>
      </w:tr>
      <w:tr w14:paraId="4B5B8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00" w:type="dxa"/>
            <w:tcBorders>
              <w:tl2br w:val="nil"/>
              <w:tr2bl w:val="nil"/>
            </w:tcBorders>
            <w:shd w:val="clear" w:color="auto" w:fill="auto"/>
            <w:tcMar>
              <w:top w:w="15" w:type="dxa"/>
              <w:left w:w="15" w:type="dxa"/>
              <w:right w:w="15" w:type="dxa"/>
            </w:tcMar>
            <w:vAlign w:val="center"/>
          </w:tcPr>
          <w:p w14:paraId="386CEE3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14</w:t>
            </w:r>
          </w:p>
        </w:tc>
        <w:tc>
          <w:tcPr>
            <w:tcW w:w="906" w:type="dxa"/>
            <w:tcBorders>
              <w:tl2br w:val="nil"/>
              <w:tr2bl w:val="nil"/>
            </w:tcBorders>
            <w:shd w:val="clear" w:color="auto" w:fill="auto"/>
            <w:tcMar>
              <w:top w:w="15" w:type="dxa"/>
              <w:left w:w="15" w:type="dxa"/>
              <w:right w:w="15" w:type="dxa"/>
            </w:tcMar>
            <w:vAlign w:val="center"/>
          </w:tcPr>
          <w:p w14:paraId="53CAD9F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heme="minorEastAsia" w:hAnsiTheme="minorEastAsia" w:eastAsiaTheme="minorEastAsia" w:cstheme="minorEastAsia"/>
                <w:b w:val="0"/>
                <w:bCs w:val="0"/>
                <w:i w:val="0"/>
                <w:color w:val="auto"/>
                <w:kern w:val="0"/>
                <w:sz w:val="20"/>
                <w:szCs w:val="20"/>
                <w:u w:val="none"/>
                <w:lang w:val="en-US" w:eastAsia="zh-CN" w:bidi="ar"/>
              </w:rPr>
            </w:pPr>
            <w:r>
              <w:rPr>
                <w:rFonts w:hint="eastAsia" w:asciiTheme="minorEastAsia" w:hAnsiTheme="minorEastAsia" w:cstheme="minorEastAsia"/>
                <w:b w:val="0"/>
                <w:bCs w:val="0"/>
                <w:i w:val="0"/>
                <w:color w:val="auto"/>
                <w:kern w:val="0"/>
                <w:sz w:val="20"/>
                <w:szCs w:val="20"/>
                <w:u w:val="none"/>
                <w:lang w:val="en-US" w:eastAsia="zh-CN" w:bidi="ar"/>
              </w:rPr>
              <w:t>支持</w:t>
            </w:r>
            <w:r>
              <w:rPr>
                <w:rFonts w:hint="eastAsia" w:asciiTheme="minorEastAsia" w:hAnsiTheme="minorEastAsia" w:eastAsiaTheme="minorEastAsia" w:cstheme="minorEastAsia"/>
                <w:b w:val="0"/>
                <w:bCs w:val="0"/>
                <w:i w:val="0"/>
                <w:color w:val="auto"/>
                <w:kern w:val="0"/>
                <w:sz w:val="20"/>
                <w:szCs w:val="20"/>
                <w:u w:val="none"/>
                <w:lang w:val="en-US" w:eastAsia="zh-CN" w:bidi="ar"/>
              </w:rPr>
              <w:t>农业科技创新发展和平台建设</w:t>
            </w:r>
          </w:p>
        </w:tc>
        <w:tc>
          <w:tcPr>
            <w:tcW w:w="3227" w:type="dxa"/>
            <w:tcBorders>
              <w:tl2br w:val="nil"/>
              <w:tr2bl w:val="nil"/>
            </w:tcBorders>
            <w:shd w:val="clear" w:color="auto" w:fill="auto"/>
            <w:tcMar>
              <w:top w:w="15" w:type="dxa"/>
              <w:left w:w="15" w:type="dxa"/>
              <w:right w:w="15" w:type="dxa"/>
            </w:tcMar>
            <w:vAlign w:val="center"/>
          </w:tcPr>
          <w:p w14:paraId="2A0963E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首次成功创建国家级农业高新技术产业园区、省级农业高新技术产业园区</w:t>
            </w:r>
          </w:p>
        </w:tc>
        <w:tc>
          <w:tcPr>
            <w:tcW w:w="2334" w:type="dxa"/>
            <w:tcBorders>
              <w:tl2br w:val="nil"/>
              <w:tr2bl w:val="nil"/>
            </w:tcBorders>
            <w:shd w:val="clear" w:color="auto" w:fill="auto"/>
            <w:tcMar>
              <w:top w:w="15" w:type="dxa"/>
              <w:left w:w="15" w:type="dxa"/>
              <w:right w:w="15" w:type="dxa"/>
            </w:tcMar>
            <w:vAlign w:val="center"/>
          </w:tcPr>
          <w:p w14:paraId="17A7ED3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广安市科学技术局 广安市农业农村局广安市财政局关于印发《广安市支持农业科技创新发展和平台建设实施办法》的通知（广科技发〔2025〕13号）</w:t>
            </w:r>
          </w:p>
        </w:tc>
        <w:tc>
          <w:tcPr>
            <w:tcW w:w="770" w:type="dxa"/>
            <w:tcBorders>
              <w:tl2br w:val="nil"/>
              <w:tr2bl w:val="nil"/>
            </w:tcBorders>
            <w:shd w:val="clear" w:color="auto" w:fill="auto"/>
            <w:tcMar>
              <w:top w:w="15" w:type="dxa"/>
              <w:left w:w="15" w:type="dxa"/>
              <w:right w:w="15" w:type="dxa"/>
            </w:tcMar>
            <w:vAlign w:val="center"/>
          </w:tcPr>
          <w:p w14:paraId="21384A5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奖补类</w:t>
            </w:r>
          </w:p>
        </w:tc>
        <w:tc>
          <w:tcPr>
            <w:tcW w:w="770" w:type="dxa"/>
            <w:tcBorders>
              <w:tl2br w:val="nil"/>
              <w:tr2bl w:val="nil"/>
            </w:tcBorders>
            <w:shd w:val="clear" w:color="auto" w:fill="auto"/>
            <w:tcMar>
              <w:top w:w="15" w:type="dxa"/>
              <w:left w:w="15" w:type="dxa"/>
              <w:right w:w="15" w:type="dxa"/>
            </w:tcMar>
            <w:vAlign w:val="center"/>
          </w:tcPr>
          <w:p w14:paraId="30F5AA3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广安市</w:t>
            </w:r>
          </w:p>
        </w:tc>
        <w:tc>
          <w:tcPr>
            <w:tcW w:w="770" w:type="dxa"/>
            <w:tcBorders>
              <w:tl2br w:val="nil"/>
              <w:tr2bl w:val="nil"/>
            </w:tcBorders>
            <w:shd w:val="clear" w:color="auto" w:fill="auto"/>
            <w:tcMar>
              <w:top w:w="15" w:type="dxa"/>
              <w:left w:w="15" w:type="dxa"/>
              <w:right w:w="15" w:type="dxa"/>
            </w:tcMar>
            <w:vAlign w:val="center"/>
          </w:tcPr>
          <w:p w14:paraId="0B36357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广安市</w:t>
            </w:r>
          </w:p>
        </w:tc>
        <w:tc>
          <w:tcPr>
            <w:tcW w:w="888" w:type="dxa"/>
            <w:tcBorders>
              <w:tl2br w:val="nil"/>
              <w:tr2bl w:val="nil"/>
            </w:tcBorders>
            <w:shd w:val="clear" w:color="auto" w:fill="auto"/>
            <w:tcMar>
              <w:top w:w="15" w:type="dxa"/>
              <w:left w:w="15" w:type="dxa"/>
              <w:right w:w="15" w:type="dxa"/>
            </w:tcMar>
            <w:vAlign w:val="center"/>
          </w:tcPr>
          <w:p w14:paraId="2DB0BCB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7001762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市科学</w:t>
            </w:r>
          </w:p>
          <w:p w14:paraId="3ADB1E0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技术局</w:t>
            </w:r>
          </w:p>
        </w:tc>
        <w:tc>
          <w:tcPr>
            <w:tcW w:w="1085" w:type="dxa"/>
            <w:tcBorders>
              <w:tl2br w:val="nil"/>
              <w:tr2bl w:val="nil"/>
            </w:tcBorders>
            <w:shd w:val="clear" w:color="auto" w:fill="auto"/>
            <w:tcMar>
              <w:top w:w="15" w:type="dxa"/>
              <w:left w:w="15" w:type="dxa"/>
              <w:right w:w="15" w:type="dxa"/>
            </w:tcMar>
            <w:vAlign w:val="center"/>
          </w:tcPr>
          <w:p w14:paraId="3FB863F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所在</w:t>
            </w:r>
            <w:r>
              <w:rPr>
                <w:rFonts w:hint="default" w:ascii="Times New Roman" w:hAnsi="Times New Roman" w:eastAsia="宋体" w:cs="Times New Roman"/>
                <w:b w:val="0"/>
                <w:bCs w:val="0"/>
                <w:i w:val="0"/>
                <w:color w:val="auto"/>
                <w:kern w:val="0"/>
                <w:sz w:val="20"/>
                <w:szCs w:val="20"/>
                <w:u w:val="none"/>
                <w:lang w:val="en-US" w:eastAsia="zh-CN" w:bidi="ar"/>
              </w:rPr>
              <w:t>县（市、区）</w:t>
            </w:r>
          </w:p>
        </w:tc>
        <w:tc>
          <w:tcPr>
            <w:tcW w:w="705" w:type="dxa"/>
            <w:tcBorders>
              <w:tl2br w:val="nil"/>
              <w:tr2bl w:val="nil"/>
            </w:tcBorders>
            <w:shd w:val="clear" w:color="auto" w:fill="auto"/>
            <w:tcMar>
              <w:top w:w="15" w:type="dxa"/>
              <w:left w:w="15" w:type="dxa"/>
              <w:right w:w="15" w:type="dxa"/>
            </w:tcMar>
            <w:vAlign w:val="center"/>
          </w:tcPr>
          <w:p w14:paraId="628D4C7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免申</w:t>
            </w:r>
          </w:p>
          <w:p w14:paraId="3BD80A4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即享</w:t>
            </w:r>
          </w:p>
        </w:tc>
        <w:tc>
          <w:tcPr>
            <w:tcW w:w="1171" w:type="dxa"/>
            <w:tcBorders>
              <w:tl2br w:val="nil"/>
              <w:tr2bl w:val="nil"/>
            </w:tcBorders>
            <w:shd w:val="clear" w:color="auto" w:fill="auto"/>
            <w:tcMar>
              <w:top w:w="15" w:type="dxa"/>
              <w:left w:w="15" w:type="dxa"/>
              <w:right w:w="15" w:type="dxa"/>
            </w:tcMar>
            <w:vAlign w:val="center"/>
          </w:tcPr>
          <w:p w14:paraId="57F7111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按程序执行</w:t>
            </w:r>
          </w:p>
        </w:tc>
        <w:tc>
          <w:tcPr>
            <w:tcW w:w="1095" w:type="dxa"/>
            <w:tcBorders>
              <w:tl2br w:val="nil"/>
              <w:tr2bl w:val="nil"/>
            </w:tcBorders>
            <w:shd w:val="clear" w:color="auto" w:fill="auto"/>
            <w:tcMar>
              <w:top w:w="15" w:type="dxa"/>
              <w:left w:w="15" w:type="dxa"/>
              <w:right w:w="15" w:type="dxa"/>
            </w:tcMar>
            <w:vAlign w:val="center"/>
          </w:tcPr>
          <w:p w14:paraId="2574E56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至2030年4月28日</w:t>
            </w:r>
          </w:p>
        </w:tc>
      </w:tr>
      <w:tr w14:paraId="05C59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00" w:type="dxa"/>
            <w:tcBorders>
              <w:tl2br w:val="nil"/>
              <w:tr2bl w:val="nil"/>
            </w:tcBorders>
            <w:shd w:val="clear" w:color="auto" w:fill="auto"/>
            <w:tcMar>
              <w:top w:w="15" w:type="dxa"/>
              <w:left w:w="15" w:type="dxa"/>
              <w:right w:w="15" w:type="dxa"/>
            </w:tcMar>
            <w:vAlign w:val="center"/>
          </w:tcPr>
          <w:p w14:paraId="3B7071A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15</w:t>
            </w:r>
          </w:p>
        </w:tc>
        <w:tc>
          <w:tcPr>
            <w:tcW w:w="906" w:type="dxa"/>
            <w:tcBorders>
              <w:tl2br w:val="nil"/>
              <w:tr2bl w:val="nil"/>
            </w:tcBorders>
            <w:shd w:val="clear" w:color="auto" w:fill="auto"/>
            <w:tcMar>
              <w:top w:w="15" w:type="dxa"/>
              <w:left w:w="15" w:type="dxa"/>
              <w:right w:w="15" w:type="dxa"/>
            </w:tcMar>
            <w:vAlign w:val="center"/>
          </w:tcPr>
          <w:p w14:paraId="350562C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heme="minorEastAsia" w:hAnsiTheme="minorEastAsia" w:eastAsiaTheme="minorEastAsia" w:cstheme="minorEastAsia"/>
                <w:b w:val="0"/>
                <w:bCs w:val="0"/>
                <w:i w:val="0"/>
                <w:color w:val="auto"/>
                <w:kern w:val="0"/>
                <w:sz w:val="20"/>
                <w:szCs w:val="20"/>
                <w:u w:val="none"/>
                <w:lang w:val="en-US" w:eastAsia="zh-CN" w:bidi="ar"/>
              </w:rPr>
            </w:pPr>
            <w:r>
              <w:rPr>
                <w:rFonts w:hint="eastAsia" w:asciiTheme="minorEastAsia" w:hAnsiTheme="minorEastAsia" w:cstheme="minorEastAsia"/>
                <w:b w:val="0"/>
                <w:bCs w:val="0"/>
                <w:i w:val="0"/>
                <w:color w:val="auto"/>
                <w:kern w:val="0"/>
                <w:sz w:val="20"/>
                <w:szCs w:val="20"/>
                <w:u w:val="none"/>
                <w:lang w:val="en-US" w:eastAsia="zh-CN" w:bidi="ar"/>
              </w:rPr>
              <w:t>支持</w:t>
            </w:r>
            <w:r>
              <w:rPr>
                <w:rFonts w:hint="eastAsia" w:asciiTheme="minorEastAsia" w:hAnsiTheme="minorEastAsia" w:eastAsiaTheme="minorEastAsia" w:cstheme="minorEastAsia"/>
                <w:b w:val="0"/>
                <w:bCs w:val="0"/>
                <w:i w:val="0"/>
                <w:color w:val="auto"/>
                <w:kern w:val="0"/>
                <w:sz w:val="20"/>
                <w:szCs w:val="20"/>
                <w:u w:val="none"/>
                <w:lang w:val="en-US" w:eastAsia="zh-CN" w:bidi="ar"/>
              </w:rPr>
              <w:t>农业科技创新发展和平台建设</w:t>
            </w:r>
          </w:p>
        </w:tc>
        <w:tc>
          <w:tcPr>
            <w:tcW w:w="3227" w:type="dxa"/>
            <w:tcBorders>
              <w:tl2br w:val="nil"/>
              <w:tr2bl w:val="nil"/>
            </w:tcBorders>
            <w:shd w:val="clear" w:color="auto" w:fill="auto"/>
            <w:tcMar>
              <w:top w:w="15" w:type="dxa"/>
              <w:left w:w="15" w:type="dxa"/>
              <w:right w:w="15" w:type="dxa"/>
            </w:tcMar>
            <w:vAlign w:val="center"/>
          </w:tcPr>
          <w:p w14:paraId="5CACCE2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首次成功创建国家星创天地、省级星创天地</w:t>
            </w:r>
          </w:p>
        </w:tc>
        <w:tc>
          <w:tcPr>
            <w:tcW w:w="2334" w:type="dxa"/>
            <w:tcBorders>
              <w:tl2br w:val="nil"/>
              <w:tr2bl w:val="nil"/>
            </w:tcBorders>
            <w:shd w:val="clear" w:color="auto" w:fill="auto"/>
            <w:tcMar>
              <w:top w:w="15" w:type="dxa"/>
              <w:left w:w="15" w:type="dxa"/>
              <w:right w:w="15" w:type="dxa"/>
            </w:tcMar>
            <w:vAlign w:val="center"/>
          </w:tcPr>
          <w:p w14:paraId="241F318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广安市科学技术局 广安市农业农村局广安市财政局关于印发《广安市支持农业科技创新发展和平台建设实施办法》的通知（广科技发〔2025〕13号）</w:t>
            </w:r>
          </w:p>
        </w:tc>
        <w:tc>
          <w:tcPr>
            <w:tcW w:w="770" w:type="dxa"/>
            <w:tcBorders>
              <w:tl2br w:val="nil"/>
              <w:tr2bl w:val="nil"/>
            </w:tcBorders>
            <w:shd w:val="clear" w:color="auto" w:fill="auto"/>
            <w:tcMar>
              <w:top w:w="15" w:type="dxa"/>
              <w:left w:w="15" w:type="dxa"/>
              <w:right w:w="15" w:type="dxa"/>
            </w:tcMar>
            <w:vAlign w:val="center"/>
          </w:tcPr>
          <w:p w14:paraId="24F59B1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奖补类</w:t>
            </w:r>
          </w:p>
        </w:tc>
        <w:tc>
          <w:tcPr>
            <w:tcW w:w="770" w:type="dxa"/>
            <w:tcBorders>
              <w:tl2br w:val="nil"/>
              <w:tr2bl w:val="nil"/>
            </w:tcBorders>
            <w:shd w:val="clear" w:color="auto" w:fill="auto"/>
            <w:tcMar>
              <w:top w:w="15" w:type="dxa"/>
              <w:left w:w="15" w:type="dxa"/>
              <w:right w:w="15" w:type="dxa"/>
            </w:tcMar>
            <w:vAlign w:val="center"/>
          </w:tcPr>
          <w:p w14:paraId="65CEB2F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广安市</w:t>
            </w:r>
          </w:p>
        </w:tc>
        <w:tc>
          <w:tcPr>
            <w:tcW w:w="770" w:type="dxa"/>
            <w:tcBorders>
              <w:tl2br w:val="nil"/>
              <w:tr2bl w:val="nil"/>
            </w:tcBorders>
            <w:shd w:val="clear" w:color="auto" w:fill="auto"/>
            <w:tcMar>
              <w:top w:w="15" w:type="dxa"/>
              <w:left w:w="15" w:type="dxa"/>
              <w:right w:w="15" w:type="dxa"/>
            </w:tcMar>
            <w:vAlign w:val="center"/>
          </w:tcPr>
          <w:p w14:paraId="4B69B4C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广安市</w:t>
            </w:r>
          </w:p>
        </w:tc>
        <w:tc>
          <w:tcPr>
            <w:tcW w:w="888" w:type="dxa"/>
            <w:tcBorders>
              <w:tl2br w:val="nil"/>
              <w:tr2bl w:val="nil"/>
            </w:tcBorders>
            <w:shd w:val="clear" w:color="auto" w:fill="auto"/>
            <w:tcMar>
              <w:top w:w="15" w:type="dxa"/>
              <w:left w:w="15" w:type="dxa"/>
              <w:right w:w="15" w:type="dxa"/>
            </w:tcMar>
            <w:vAlign w:val="center"/>
          </w:tcPr>
          <w:p w14:paraId="591B59E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3B4D918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市科学</w:t>
            </w:r>
          </w:p>
          <w:p w14:paraId="6F2FED3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技术局</w:t>
            </w:r>
          </w:p>
        </w:tc>
        <w:tc>
          <w:tcPr>
            <w:tcW w:w="1085" w:type="dxa"/>
            <w:tcBorders>
              <w:tl2br w:val="nil"/>
              <w:tr2bl w:val="nil"/>
            </w:tcBorders>
            <w:shd w:val="clear" w:color="auto" w:fill="auto"/>
            <w:tcMar>
              <w:top w:w="15" w:type="dxa"/>
              <w:left w:w="15" w:type="dxa"/>
              <w:right w:w="15" w:type="dxa"/>
            </w:tcMar>
            <w:vAlign w:val="center"/>
          </w:tcPr>
          <w:p w14:paraId="28E77A8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符合条件的</w:t>
            </w:r>
            <w:r>
              <w:rPr>
                <w:rFonts w:hint="eastAsia" w:eastAsia="宋体" w:cs="Times New Roman"/>
                <w:b w:val="0"/>
                <w:bCs w:val="0"/>
                <w:i w:val="0"/>
                <w:color w:val="auto"/>
                <w:kern w:val="0"/>
                <w:sz w:val="20"/>
                <w:szCs w:val="20"/>
                <w:u w:val="none"/>
                <w:lang w:val="en-US" w:eastAsia="zh-CN" w:bidi="ar"/>
              </w:rPr>
              <w:t>创新主体</w:t>
            </w:r>
          </w:p>
        </w:tc>
        <w:tc>
          <w:tcPr>
            <w:tcW w:w="705" w:type="dxa"/>
            <w:tcBorders>
              <w:tl2br w:val="nil"/>
              <w:tr2bl w:val="nil"/>
            </w:tcBorders>
            <w:shd w:val="clear" w:color="auto" w:fill="auto"/>
            <w:tcMar>
              <w:top w:w="15" w:type="dxa"/>
              <w:left w:w="15" w:type="dxa"/>
              <w:right w:w="15" w:type="dxa"/>
            </w:tcMar>
            <w:vAlign w:val="center"/>
          </w:tcPr>
          <w:p w14:paraId="62FF87E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免申</w:t>
            </w:r>
          </w:p>
          <w:p w14:paraId="6D4AE03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即享</w:t>
            </w:r>
          </w:p>
        </w:tc>
        <w:tc>
          <w:tcPr>
            <w:tcW w:w="1171" w:type="dxa"/>
            <w:tcBorders>
              <w:tl2br w:val="nil"/>
              <w:tr2bl w:val="nil"/>
            </w:tcBorders>
            <w:shd w:val="clear" w:color="auto" w:fill="auto"/>
            <w:tcMar>
              <w:top w:w="15" w:type="dxa"/>
              <w:left w:w="15" w:type="dxa"/>
              <w:right w:w="15" w:type="dxa"/>
            </w:tcMar>
            <w:vAlign w:val="center"/>
          </w:tcPr>
          <w:p w14:paraId="727D196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按程序执行</w:t>
            </w:r>
          </w:p>
        </w:tc>
        <w:tc>
          <w:tcPr>
            <w:tcW w:w="1095" w:type="dxa"/>
            <w:tcBorders>
              <w:tl2br w:val="nil"/>
              <w:tr2bl w:val="nil"/>
            </w:tcBorders>
            <w:shd w:val="clear" w:color="auto" w:fill="auto"/>
            <w:tcMar>
              <w:top w:w="15" w:type="dxa"/>
              <w:left w:w="15" w:type="dxa"/>
              <w:right w:w="15" w:type="dxa"/>
            </w:tcMar>
            <w:vAlign w:val="center"/>
          </w:tcPr>
          <w:p w14:paraId="0CC01EA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至2030年4月28日</w:t>
            </w:r>
          </w:p>
        </w:tc>
      </w:tr>
      <w:tr w14:paraId="0327B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00" w:type="dxa"/>
            <w:tcBorders>
              <w:tl2br w:val="nil"/>
              <w:tr2bl w:val="nil"/>
            </w:tcBorders>
            <w:shd w:val="clear" w:color="auto" w:fill="auto"/>
            <w:tcMar>
              <w:top w:w="15" w:type="dxa"/>
              <w:left w:w="15" w:type="dxa"/>
              <w:right w:w="15" w:type="dxa"/>
            </w:tcMar>
            <w:vAlign w:val="center"/>
          </w:tcPr>
          <w:p w14:paraId="50670E4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16</w:t>
            </w:r>
          </w:p>
        </w:tc>
        <w:tc>
          <w:tcPr>
            <w:tcW w:w="906" w:type="dxa"/>
            <w:tcBorders>
              <w:tl2br w:val="nil"/>
              <w:tr2bl w:val="nil"/>
            </w:tcBorders>
            <w:shd w:val="clear" w:color="auto" w:fill="auto"/>
            <w:tcMar>
              <w:top w:w="15" w:type="dxa"/>
              <w:left w:w="15" w:type="dxa"/>
              <w:right w:w="15" w:type="dxa"/>
            </w:tcMar>
            <w:vAlign w:val="center"/>
          </w:tcPr>
          <w:p w14:paraId="2767E50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heme="minorEastAsia" w:hAnsiTheme="minorEastAsia" w:eastAsiaTheme="minorEastAsia" w:cstheme="minorEastAsia"/>
                <w:b w:val="0"/>
                <w:bCs w:val="0"/>
                <w:i w:val="0"/>
                <w:color w:val="auto"/>
                <w:kern w:val="0"/>
                <w:sz w:val="20"/>
                <w:szCs w:val="20"/>
                <w:u w:val="none"/>
                <w:lang w:val="en-US" w:eastAsia="zh-CN" w:bidi="ar"/>
              </w:rPr>
            </w:pPr>
            <w:r>
              <w:rPr>
                <w:rFonts w:hint="eastAsia" w:asciiTheme="minorEastAsia" w:hAnsiTheme="minorEastAsia" w:cstheme="minorEastAsia"/>
                <w:b w:val="0"/>
                <w:bCs w:val="0"/>
                <w:i w:val="0"/>
                <w:color w:val="auto"/>
                <w:kern w:val="0"/>
                <w:sz w:val="20"/>
                <w:szCs w:val="20"/>
                <w:u w:val="none"/>
                <w:lang w:val="en-US" w:eastAsia="zh-CN" w:bidi="ar"/>
              </w:rPr>
              <w:t>支持</w:t>
            </w:r>
            <w:r>
              <w:rPr>
                <w:rFonts w:hint="eastAsia" w:asciiTheme="minorEastAsia" w:hAnsiTheme="minorEastAsia" w:eastAsiaTheme="minorEastAsia" w:cstheme="minorEastAsia"/>
                <w:b w:val="0"/>
                <w:bCs w:val="0"/>
                <w:i w:val="0"/>
                <w:color w:val="auto"/>
                <w:kern w:val="0"/>
                <w:sz w:val="20"/>
                <w:szCs w:val="20"/>
                <w:u w:val="none"/>
                <w:lang w:val="en-US" w:eastAsia="zh-CN" w:bidi="ar"/>
              </w:rPr>
              <w:t>农业科技创新发展和平台建设</w:t>
            </w:r>
          </w:p>
        </w:tc>
        <w:tc>
          <w:tcPr>
            <w:tcW w:w="3227" w:type="dxa"/>
            <w:tcBorders>
              <w:tl2br w:val="nil"/>
              <w:tr2bl w:val="nil"/>
            </w:tcBorders>
            <w:shd w:val="clear" w:color="auto" w:fill="auto"/>
            <w:tcMar>
              <w:top w:w="15" w:type="dxa"/>
              <w:left w:w="15" w:type="dxa"/>
              <w:right w:w="15" w:type="dxa"/>
            </w:tcMar>
            <w:vAlign w:val="center"/>
          </w:tcPr>
          <w:p w14:paraId="0A2A247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首次创建为国家高新技术企业</w:t>
            </w:r>
            <w:r>
              <w:rPr>
                <w:rFonts w:hint="eastAsia" w:ascii="Times New Roman" w:hAnsi="Times New Roman" w:eastAsia="宋体" w:cs="Times New Roman"/>
                <w:b w:val="0"/>
                <w:bCs w:val="0"/>
                <w:i w:val="0"/>
                <w:color w:val="auto"/>
                <w:kern w:val="0"/>
                <w:sz w:val="20"/>
                <w:szCs w:val="20"/>
                <w:u w:val="none"/>
                <w:lang w:val="en-US" w:eastAsia="zh-CN" w:bidi="ar"/>
              </w:rPr>
              <w:t>，</w:t>
            </w:r>
            <w:r>
              <w:rPr>
                <w:rFonts w:hint="default" w:ascii="Times New Roman" w:hAnsi="Times New Roman" w:eastAsia="宋体" w:cs="Times New Roman"/>
                <w:b w:val="0"/>
                <w:bCs w:val="0"/>
                <w:i w:val="0"/>
                <w:color w:val="auto"/>
                <w:kern w:val="0"/>
                <w:sz w:val="20"/>
                <w:szCs w:val="20"/>
                <w:u w:val="none"/>
                <w:lang w:val="en-US" w:eastAsia="zh-CN" w:bidi="ar"/>
              </w:rPr>
              <w:t>对复审认定的国家高新技术企业</w:t>
            </w:r>
          </w:p>
        </w:tc>
        <w:tc>
          <w:tcPr>
            <w:tcW w:w="2334" w:type="dxa"/>
            <w:tcBorders>
              <w:tl2br w:val="nil"/>
              <w:tr2bl w:val="nil"/>
            </w:tcBorders>
            <w:shd w:val="clear" w:color="auto" w:fill="auto"/>
            <w:tcMar>
              <w:top w:w="15" w:type="dxa"/>
              <w:left w:w="15" w:type="dxa"/>
              <w:right w:w="15" w:type="dxa"/>
            </w:tcMar>
            <w:vAlign w:val="center"/>
          </w:tcPr>
          <w:p w14:paraId="49419D5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广安市科学技术局 广安市农业农村局广安市财政局关于印发《广安市支持农业科技创新发展和平台建设实施办法》的通知（广科技发〔2025〕13号）</w:t>
            </w:r>
          </w:p>
        </w:tc>
        <w:tc>
          <w:tcPr>
            <w:tcW w:w="770" w:type="dxa"/>
            <w:tcBorders>
              <w:tl2br w:val="nil"/>
              <w:tr2bl w:val="nil"/>
            </w:tcBorders>
            <w:shd w:val="clear" w:color="auto" w:fill="auto"/>
            <w:tcMar>
              <w:top w:w="15" w:type="dxa"/>
              <w:left w:w="15" w:type="dxa"/>
              <w:right w:w="15" w:type="dxa"/>
            </w:tcMar>
            <w:vAlign w:val="center"/>
          </w:tcPr>
          <w:p w14:paraId="0483D37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奖补类</w:t>
            </w:r>
          </w:p>
        </w:tc>
        <w:tc>
          <w:tcPr>
            <w:tcW w:w="770" w:type="dxa"/>
            <w:tcBorders>
              <w:tl2br w:val="nil"/>
              <w:tr2bl w:val="nil"/>
            </w:tcBorders>
            <w:shd w:val="clear" w:color="auto" w:fill="auto"/>
            <w:tcMar>
              <w:top w:w="15" w:type="dxa"/>
              <w:left w:w="15" w:type="dxa"/>
              <w:right w:w="15" w:type="dxa"/>
            </w:tcMar>
            <w:vAlign w:val="center"/>
          </w:tcPr>
          <w:p w14:paraId="5649893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广安市</w:t>
            </w:r>
          </w:p>
        </w:tc>
        <w:tc>
          <w:tcPr>
            <w:tcW w:w="770" w:type="dxa"/>
            <w:tcBorders>
              <w:tl2br w:val="nil"/>
              <w:tr2bl w:val="nil"/>
            </w:tcBorders>
            <w:shd w:val="clear" w:color="auto" w:fill="auto"/>
            <w:tcMar>
              <w:top w:w="15" w:type="dxa"/>
              <w:left w:w="15" w:type="dxa"/>
              <w:right w:w="15" w:type="dxa"/>
            </w:tcMar>
            <w:vAlign w:val="center"/>
          </w:tcPr>
          <w:p w14:paraId="133C796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广安市</w:t>
            </w:r>
          </w:p>
        </w:tc>
        <w:tc>
          <w:tcPr>
            <w:tcW w:w="888" w:type="dxa"/>
            <w:tcBorders>
              <w:tl2br w:val="nil"/>
              <w:tr2bl w:val="nil"/>
            </w:tcBorders>
            <w:shd w:val="clear" w:color="auto" w:fill="auto"/>
            <w:tcMar>
              <w:top w:w="15" w:type="dxa"/>
              <w:left w:w="15" w:type="dxa"/>
              <w:right w:w="15" w:type="dxa"/>
            </w:tcMar>
            <w:vAlign w:val="center"/>
          </w:tcPr>
          <w:p w14:paraId="50025F6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0C0C23C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市科学</w:t>
            </w:r>
          </w:p>
          <w:p w14:paraId="6D4D453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技术局</w:t>
            </w:r>
          </w:p>
        </w:tc>
        <w:tc>
          <w:tcPr>
            <w:tcW w:w="1085" w:type="dxa"/>
            <w:tcBorders>
              <w:tl2br w:val="nil"/>
              <w:tr2bl w:val="nil"/>
            </w:tcBorders>
            <w:shd w:val="clear" w:color="auto" w:fill="auto"/>
            <w:tcMar>
              <w:top w:w="15" w:type="dxa"/>
              <w:left w:w="15" w:type="dxa"/>
              <w:right w:w="15" w:type="dxa"/>
            </w:tcMar>
            <w:vAlign w:val="center"/>
          </w:tcPr>
          <w:p w14:paraId="780FFF8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符合条件的</w:t>
            </w:r>
            <w:r>
              <w:rPr>
                <w:rFonts w:hint="eastAsia" w:eastAsia="宋体" w:cs="Times New Roman"/>
                <w:b w:val="0"/>
                <w:bCs w:val="0"/>
                <w:i w:val="0"/>
                <w:color w:val="auto"/>
                <w:kern w:val="0"/>
                <w:sz w:val="20"/>
                <w:szCs w:val="20"/>
                <w:u w:val="none"/>
                <w:lang w:val="en-US" w:eastAsia="zh-CN" w:bidi="ar"/>
              </w:rPr>
              <w:t>创新主体</w:t>
            </w:r>
          </w:p>
        </w:tc>
        <w:tc>
          <w:tcPr>
            <w:tcW w:w="705" w:type="dxa"/>
            <w:tcBorders>
              <w:tl2br w:val="nil"/>
              <w:tr2bl w:val="nil"/>
            </w:tcBorders>
            <w:shd w:val="clear" w:color="auto" w:fill="auto"/>
            <w:tcMar>
              <w:top w:w="15" w:type="dxa"/>
              <w:left w:w="15" w:type="dxa"/>
              <w:right w:w="15" w:type="dxa"/>
            </w:tcMar>
            <w:vAlign w:val="center"/>
          </w:tcPr>
          <w:p w14:paraId="545E36F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免申</w:t>
            </w:r>
          </w:p>
          <w:p w14:paraId="60DDE9B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即享</w:t>
            </w:r>
          </w:p>
        </w:tc>
        <w:tc>
          <w:tcPr>
            <w:tcW w:w="1171" w:type="dxa"/>
            <w:tcBorders>
              <w:tl2br w:val="nil"/>
              <w:tr2bl w:val="nil"/>
            </w:tcBorders>
            <w:shd w:val="clear" w:color="auto" w:fill="auto"/>
            <w:tcMar>
              <w:top w:w="15" w:type="dxa"/>
              <w:left w:w="15" w:type="dxa"/>
              <w:right w:w="15" w:type="dxa"/>
            </w:tcMar>
            <w:vAlign w:val="center"/>
          </w:tcPr>
          <w:p w14:paraId="334C5C9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按程序执行</w:t>
            </w:r>
          </w:p>
        </w:tc>
        <w:tc>
          <w:tcPr>
            <w:tcW w:w="1095" w:type="dxa"/>
            <w:tcBorders>
              <w:tl2br w:val="nil"/>
              <w:tr2bl w:val="nil"/>
            </w:tcBorders>
            <w:shd w:val="clear" w:color="auto" w:fill="auto"/>
            <w:tcMar>
              <w:top w:w="15" w:type="dxa"/>
              <w:left w:w="15" w:type="dxa"/>
              <w:right w:w="15" w:type="dxa"/>
            </w:tcMar>
            <w:vAlign w:val="center"/>
          </w:tcPr>
          <w:p w14:paraId="7DB3D32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至2030年4月28日</w:t>
            </w:r>
          </w:p>
        </w:tc>
      </w:tr>
      <w:tr w14:paraId="1FE98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00" w:type="dxa"/>
            <w:tcBorders>
              <w:tl2br w:val="nil"/>
              <w:tr2bl w:val="nil"/>
            </w:tcBorders>
            <w:shd w:val="clear" w:color="auto" w:fill="auto"/>
            <w:tcMar>
              <w:top w:w="15" w:type="dxa"/>
              <w:left w:w="15" w:type="dxa"/>
              <w:right w:w="15" w:type="dxa"/>
            </w:tcMar>
            <w:vAlign w:val="center"/>
          </w:tcPr>
          <w:p w14:paraId="118441B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17</w:t>
            </w:r>
          </w:p>
        </w:tc>
        <w:tc>
          <w:tcPr>
            <w:tcW w:w="906" w:type="dxa"/>
            <w:tcBorders>
              <w:tl2br w:val="nil"/>
              <w:tr2bl w:val="nil"/>
            </w:tcBorders>
            <w:shd w:val="clear" w:color="auto" w:fill="auto"/>
            <w:tcMar>
              <w:top w:w="15" w:type="dxa"/>
              <w:left w:w="15" w:type="dxa"/>
              <w:right w:w="15" w:type="dxa"/>
            </w:tcMar>
            <w:vAlign w:val="center"/>
          </w:tcPr>
          <w:p w14:paraId="1D878C5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heme="minorEastAsia" w:hAnsiTheme="minorEastAsia" w:eastAsiaTheme="minorEastAsia" w:cstheme="minorEastAsia"/>
                <w:b w:val="0"/>
                <w:bCs w:val="0"/>
                <w:i w:val="0"/>
                <w:color w:val="auto"/>
                <w:kern w:val="0"/>
                <w:sz w:val="20"/>
                <w:szCs w:val="20"/>
                <w:u w:val="none"/>
                <w:lang w:val="en-US" w:eastAsia="zh-CN" w:bidi="ar"/>
              </w:rPr>
            </w:pPr>
            <w:r>
              <w:rPr>
                <w:rFonts w:hint="eastAsia" w:asciiTheme="minorEastAsia" w:hAnsiTheme="minorEastAsia" w:cstheme="minorEastAsia"/>
                <w:b w:val="0"/>
                <w:bCs w:val="0"/>
                <w:i w:val="0"/>
                <w:color w:val="auto"/>
                <w:kern w:val="0"/>
                <w:sz w:val="20"/>
                <w:szCs w:val="20"/>
                <w:u w:val="none"/>
                <w:lang w:val="en-US" w:eastAsia="zh-CN" w:bidi="ar"/>
              </w:rPr>
              <w:t>支持</w:t>
            </w:r>
            <w:r>
              <w:rPr>
                <w:rFonts w:hint="eastAsia" w:asciiTheme="minorEastAsia" w:hAnsiTheme="minorEastAsia" w:eastAsiaTheme="minorEastAsia" w:cstheme="minorEastAsia"/>
                <w:b w:val="0"/>
                <w:bCs w:val="0"/>
                <w:i w:val="0"/>
                <w:color w:val="auto"/>
                <w:kern w:val="0"/>
                <w:sz w:val="20"/>
                <w:szCs w:val="20"/>
                <w:u w:val="none"/>
                <w:lang w:val="en-US" w:eastAsia="zh-CN" w:bidi="ar"/>
              </w:rPr>
              <w:t>农业科技创新发展和平台建设</w:t>
            </w:r>
          </w:p>
        </w:tc>
        <w:tc>
          <w:tcPr>
            <w:tcW w:w="3227" w:type="dxa"/>
            <w:tcBorders>
              <w:tl2br w:val="nil"/>
              <w:tr2bl w:val="nil"/>
            </w:tcBorders>
            <w:shd w:val="clear" w:color="auto" w:fill="auto"/>
            <w:tcMar>
              <w:top w:w="15" w:type="dxa"/>
              <w:left w:w="15" w:type="dxa"/>
              <w:right w:w="15" w:type="dxa"/>
            </w:tcMar>
            <w:vAlign w:val="center"/>
          </w:tcPr>
          <w:p w14:paraId="409F6BF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评估为优秀的省级新型研发机构</w:t>
            </w:r>
          </w:p>
        </w:tc>
        <w:tc>
          <w:tcPr>
            <w:tcW w:w="2334" w:type="dxa"/>
            <w:tcBorders>
              <w:tl2br w:val="nil"/>
              <w:tr2bl w:val="nil"/>
            </w:tcBorders>
            <w:shd w:val="clear" w:color="auto" w:fill="auto"/>
            <w:tcMar>
              <w:top w:w="15" w:type="dxa"/>
              <w:left w:w="15" w:type="dxa"/>
              <w:right w:w="15" w:type="dxa"/>
            </w:tcMar>
            <w:vAlign w:val="center"/>
          </w:tcPr>
          <w:p w14:paraId="3619AA7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广安市科学技术局 广安市农业农村局广安市财政局关于印发《广安市支持农业科技创新发展和平台建设实施办法》的通知（广科技发〔2025〕13号）</w:t>
            </w:r>
          </w:p>
        </w:tc>
        <w:tc>
          <w:tcPr>
            <w:tcW w:w="770" w:type="dxa"/>
            <w:tcBorders>
              <w:tl2br w:val="nil"/>
              <w:tr2bl w:val="nil"/>
            </w:tcBorders>
            <w:shd w:val="clear" w:color="auto" w:fill="auto"/>
            <w:tcMar>
              <w:top w:w="15" w:type="dxa"/>
              <w:left w:w="15" w:type="dxa"/>
              <w:right w:w="15" w:type="dxa"/>
            </w:tcMar>
            <w:vAlign w:val="center"/>
          </w:tcPr>
          <w:p w14:paraId="35405A5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奖补类</w:t>
            </w:r>
          </w:p>
        </w:tc>
        <w:tc>
          <w:tcPr>
            <w:tcW w:w="770" w:type="dxa"/>
            <w:tcBorders>
              <w:tl2br w:val="nil"/>
              <w:tr2bl w:val="nil"/>
            </w:tcBorders>
            <w:shd w:val="clear" w:color="auto" w:fill="auto"/>
            <w:tcMar>
              <w:top w:w="15" w:type="dxa"/>
              <w:left w:w="15" w:type="dxa"/>
              <w:right w:w="15" w:type="dxa"/>
            </w:tcMar>
            <w:vAlign w:val="center"/>
          </w:tcPr>
          <w:p w14:paraId="68D564C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广安市</w:t>
            </w:r>
          </w:p>
        </w:tc>
        <w:tc>
          <w:tcPr>
            <w:tcW w:w="770" w:type="dxa"/>
            <w:tcBorders>
              <w:tl2br w:val="nil"/>
              <w:tr2bl w:val="nil"/>
            </w:tcBorders>
            <w:shd w:val="clear" w:color="auto" w:fill="auto"/>
            <w:tcMar>
              <w:top w:w="15" w:type="dxa"/>
              <w:left w:w="15" w:type="dxa"/>
              <w:right w:w="15" w:type="dxa"/>
            </w:tcMar>
            <w:vAlign w:val="center"/>
          </w:tcPr>
          <w:p w14:paraId="34802C5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广安市</w:t>
            </w:r>
          </w:p>
        </w:tc>
        <w:tc>
          <w:tcPr>
            <w:tcW w:w="888" w:type="dxa"/>
            <w:tcBorders>
              <w:tl2br w:val="nil"/>
              <w:tr2bl w:val="nil"/>
            </w:tcBorders>
            <w:shd w:val="clear" w:color="auto" w:fill="auto"/>
            <w:tcMar>
              <w:top w:w="15" w:type="dxa"/>
              <w:left w:w="15" w:type="dxa"/>
              <w:right w:w="15" w:type="dxa"/>
            </w:tcMar>
            <w:vAlign w:val="center"/>
          </w:tcPr>
          <w:p w14:paraId="488FFF4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2192C8A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市科学</w:t>
            </w:r>
          </w:p>
          <w:p w14:paraId="484D668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技术局</w:t>
            </w:r>
          </w:p>
        </w:tc>
        <w:tc>
          <w:tcPr>
            <w:tcW w:w="1085" w:type="dxa"/>
            <w:tcBorders>
              <w:tl2br w:val="nil"/>
              <w:tr2bl w:val="nil"/>
            </w:tcBorders>
            <w:shd w:val="clear" w:color="auto" w:fill="auto"/>
            <w:tcMar>
              <w:top w:w="15" w:type="dxa"/>
              <w:left w:w="15" w:type="dxa"/>
              <w:right w:w="15" w:type="dxa"/>
            </w:tcMar>
            <w:vAlign w:val="center"/>
          </w:tcPr>
          <w:p w14:paraId="6E8D832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符合条件的</w:t>
            </w:r>
            <w:r>
              <w:rPr>
                <w:rFonts w:hint="eastAsia" w:eastAsia="宋体" w:cs="Times New Roman"/>
                <w:b w:val="0"/>
                <w:bCs w:val="0"/>
                <w:i w:val="0"/>
                <w:color w:val="auto"/>
                <w:kern w:val="0"/>
                <w:sz w:val="20"/>
                <w:szCs w:val="20"/>
                <w:u w:val="none"/>
                <w:lang w:val="en-US" w:eastAsia="zh-CN" w:bidi="ar"/>
              </w:rPr>
              <w:t>创新主体</w:t>
            </w:r>
          </w:p>
        </w:tc>
        <w:tc>
          <w:tcPr>
            <w:tcW w:w="705" w:type="dxa"/>
            <w:tcBorders>
              <w:tl2br w:val="nil"/>
              <w:tr2bl w:val="nil"/>
            </w:tcBorders>
            <w:shd w:val="clear" w:color="auto" w:fill="auto"/>
            <w:tcMar>
              <w:top w:w="15" w:type="dxa"/>
              <w:left w:w="15" w:type="dxa"/>
              <w:right w:w="15" w:type="dxa"/>
            </w:tcMar>
            <w:vAlign w:val="center"/>
          </w:tcPr>
          <w:p w14:paraId="7EFCF57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免申</w:t>
            </w:r>
          </w:p>
          <w:p w14:paraId="05DA3FC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即享</w:t>
            </w:r>
          </w:p>
        </w:tc>
        <w:tc>
          <w:tcPr>
            <w:tcW w:w="1171" w:type="dxa"/>
            <w:tcBorders>
              <w:tl2br w:val="nil"/>
              <w:tr2bl w:val="nil"/>
            </w:tcBorders>
            <w:shd w:val="clear" w:color="auto" w:fill="auto"/>
            <w:tcMar>
              <w:top w:w="15" w:type="dxa"/>
              <w:left w:w="15" w:type="dxa"/>
              <w:right w:w="15" w:type="dxa"/>
            </w:tcMar>
            <w:vAlign w:val="center"/>
          </w:tcPr>
          <w:p w14:paraId="55169BC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按程序执行</w:t>
            </w:r>
          </w:p>
        </w:tc>
        <w:tc>
          <w:tcPr>
            <w:tcW w:w="1095" w:type="dxa"/>
            <w:tcBorders>
              <w:tl2br w:val="nil"/>
              <w:tr2bl w:val="nil"/>
            </w:tcBorders>
            <w:shd w:val="clear" w:color="auto" w:fill="auto"/>
            <w:tcMar>
              <w:top w:w="15" w:type="dxa"/>
              <w:left w:w="15" w:type="dxa"/>
              <w:right w:w="15" w:type="dxa"/>
            </w:tcMar>
            <w:vAlign w:val="center"/>
          </w:tcPr>
          <w:p w14:paraId="404825F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至2030年4月28日</w:t>
            </w:r>
          </w:p>
        </w:tc>
      </w:tr>
      <w:tr w14:paraId="22F47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00" w:type="dxa"/>
            <w:tcBorders>
              <w:tl2br w:val="nil"/>
              <w:tr2bl w:val="nil"/>
            </w:tcBorders>
            <w:shd w:val="clear" w:color="auto" w:fill="auto"/>
            <w:tcMar>
              <w:top w:w="15" w:type="dxa"/>
              <w:left w:w="15" w:type="dxa"/>
              <w:right w:w="15" w:type="dxa"/>
            </w:tcMar>
            <w:vAlign w:val="center"/>
          </w:tcPr>
          <w:p w14:paraId="1FC4540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18</w:t>
            </w:r>
          </w:p>
        </w:tc>
        <w:tc>
          <w:tcPr>
            <w:tcW w:w="906" w:type="dxa"/>
            <w:tcBorders>
              <w:tl2br w:val="nil"/>
              <w:tr2bl w:val="nil"/>
            </w:tcBorders>
            <w:shd w:val="clear" w:color="auto" w:fill="auto"/>
            <w:tcMar>
              <w:top w:w="15" w:type="dxa"/>
              <w:left w:w="15" w:type="dxa"/>
              <w:right w:w="15" w:type="dxa"/>
            </w:tcMar>
            <w:vAlign w:val="center"/>
          </w:tcPr>
          <w:p w14:paraId="5602E5B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heme="minorEastAsia" w:hAnsiTheme="minorEastAsia" w:eastAsiaTheme="minorEastAsia" w:cstheme="minorEastAsia"/>
                <w:b w:val="0"/>
                <w:bCs w:val="0"/>
                <w:i w:val="0"/>
                <w:color w:val="auto"/>
                <w:kern w:val="0"/>
                <w:sz w:val="20"/>
                <w:szCs w:val="20"/>
                <w:u w:val="none"/>
                <w:lang w:val="en-US" w:eastAsia="zh-CN" w:bidi="ar"/>
              </w:rPr>
            </w:pPr>
            <w:r>
              <w:rPr>
                <w:rFonts w:hint="eastAsia" w:asciiTheme="minorEastAsia" w:hAnsiTheme="minorEastAsia" w:cstheme="minorEastAsia"/>
                <w:b w:val="0"/>
                <w:bCs w:val="0"/>
                <w:i w:val="0"/>
                <w:color w:val="auto"/>
                <w:kern w:val="0"/>
                <w:sz w:val="20"/>
                <w:szCs w:val="20"/>
                <w:u w:val="none"/>
                <w:lang w:val="en-US" w:eastAsia="zh-CN" w:bidi="ar"/>
              </w:rPr>
              <w:t>支持</w:t>
            </w:r>
            <w:r>
              <w:rPr>
                <w:rFonts w:hint="eastAsia" w:asciiTheme="minorEastAsia" w:hAnsiTheme="minorEastAsia" w:eastAsiaTheme="minorEastAsia" w:cstheme="minorEastAsia"/>
                <w:b w:val="0"/>
                <w:bCs w:val="0"/>
                <w:i w:val="0"/>
                <w:color w:val="auto"/>
                <w:kern w:val="0"/>
                <w:sz w:val="20"/>
                <w:szCs w:val="20"/>
                <w:u w:val="none"/>
                <w:lang w:val="en-US" w:eastAsia="zh-CN" w:bidi="ar"/>
              </w:rPr>
              <w:t>农业科技创新发展和平台建设</w:t>
            </w:r>
          </w:p>
        </w:tc>
        <w:tc>
          <w:tcPr>
            <w:tcW w:w="3227" w:type="dxa"/>
            <w:tcBorders>
              <w:tl2br w:val="nil"/>
              <w:tr2bl w:val="nil"/>
            </w:tcBorders>
            <w:shd w:val="clear" w:color="auto" w:fill="auto"/>
            <w:tcMar>
              <w:top w:w="15" w:type="dxa"/>
              <w:left w:w="15" w:type="dxa"/>
              <w:right w:w="15" w:type="dxa"/>
            </w:tcMar>
            <w:vAlign w:val="center"/>
          </w:tcPr>
          <w:p w14:paraId="177D2E2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实施国家、省级重大科技成果转化项目，带动企业新增主营业务收入2000万元以上的中省驻广和市内各类研发机构、企业</w:t>
            </w:r>
          </w:p>
        </w:tc>
        <w:tc>
          <w:tcPr>
            <w:tcW w:w="2334" w:type="dxa"/>
            <w:tcBorders>
              <w:tl2br w:val="nil"/>
              <w:tr2bl w:val="nil"/>
            </w:tcBorders>
            <w:shd w:val="clear" w:color="auto" w:fill="auto"/>
            <w:tcMar>
              <w:top w:w="15" w:type="dxa"/>
              <w:left w:w="15" w:type="dxa"/>
              <w:right w:w="15" w:type="dxa"/>
            </w:tcMar>
            <w:vAlign w:val="center"/>
          </w:tcPr>
          <w:p w14:paraId="70542BB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广安市科学技术局 广安市农业农村局广安市财政局关于印发《广安市支持农业科技创新发展和平台建设实施办法》的通知（广科技发〔2025〕13号）</w:t>
            </w:r>
          </w:p>
        </w:tc>
        <w:tc>
          <w:tcPr>
            <w:tcW w:w="770" w:type="dxa"/>
            <w:tcBorders>
              <w:tl2br w:val="nil"/>
              <w:tr2bl w:val="nil"/>
            </w:tcBorders>
            <w:shd w:val="clear" w:color="auto" w:fill="auto"/>
            <w:tcMar>
              <w:top w:w="15" w:type="dxa"/>
              <w:left w:w="15" w:type="dxa"/>
              <w:right w:w="15" w:type="dxa"/>
            </w:tcMar>
            <w:vAlign w:val="center"/>
          </w:tcPr>
          <w:p w14:paraId="235BE36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奖补类</w:t>
            </w:r>
          </w:p>
        </w:tc>
        <w:tc>
          <w:tcPr>
            <w:tcW w:w="770" w:type="dxa"/>
            <w:tcBorders>
              <w:tl2br w:val="nil"/>
              <w:tr2bl w:val="nil"/>
            </w:tcBorders>
            <w:shd w:val="clear" w:color="auto" w:fill="auto"/>
            <w:tcMar>
              <w:top w:w="15" w:type="dxa"/>
              <w:left w:w="15" w:type="dxa"/>
              <w:right w:w="15" w:type="dxa"/>
            </w:tcMar>
            <w:vAlign w:val="center"/>
          </w:tcPr>
          <w:p w14:paraId="08A74A8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广安市</w:t>
            </w:r>
          </w:p>
        </w:tc>
        <w:tc>
          <w:tcPr>
            <w:tcW w:w="770" w:type="dxa"/>
            <w:tcBorders>
              <w:tl2br w:val="nil"/>
              <w:tr2bl w:val="nil"/>
            </w:tcBorders>
            <w:shd w:val="clear" w:color="auto" w:fill="auto"/>
            <w:tcMar>
              <w:top w:w="15" w:type="dxa"/>
              <w:left w:w="15" w:type="dxa"/>
              <w:right w:w="15" w:type="dxa"/>
            </w:tcMar>
            <w:vAlign w:val="center"/>
          </w:tcPr>
          <w:p w14:paraId="701A085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广安市</w:t>
            </w:r>
          </w:p>
        </w:tc>
        <w:tc>
          <w:tcPr>
            <w:tcW w:w="888" w:type="dxa"/>
            <w:tcBorders>
              <w:tl2br w:val="nil"/>
              <w:tr2bl w:val="nil"/>
            </w:tcBorders>
            <w:shd w:val="clear" w:color="auto" w:fill="auto"/>
            <w:tcMar>
              <w:top w:w="15" w:type="dxa"/>
              <w:left w:w="15" w:type="dxa"/>
              <w:right w:w="15" w:type="dxa"/>
            </w:tcMar>
            <w:vAlign w:val="center"/>
          </w:tcPr>
          <w:p w14:paraId="3615A11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5E57693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市科学</w:t>
            </w:r>
          </w:p>
          <w:p w14:paraId="2A23111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技术局</w:t>
            </w:r>
          </w:p>
        </w:tc>
        <w:tc>
          <w:tcPr>
            <w:tcW w:w="1085" w:type="dxa"/>
            <w:tcBorders>
              <w:tl2br w:val="nil"/>
              <w:tr2bl w:val="nil"/>
            </w:tcBorders>
            <w:shd w:val="clear" w:color="auto" w:fill="auto"/>
            <w:tcMar>
              <w:top w:w="15" w:type="dxa"/>
              <w:left w:w="15" w:type="dxa"/>
              <w:right w:w="15" w:type="dxa"/>
            </w:tcMar>
            <w:vAlign w:val="center"/>
          </w:tcPr>
          <w:p w14:paraId="2EE7E87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符合条件的</w:t>
            </w:r>
            <w:r>
              <w:rPr>
                <w:rFonts w:hint="eastAsia" w:eastAsia="宋体" w:cs="Times New Roman"/>
                <w:b w:val="0"/>
                <w:bCs w:val="0"/>
                <w:i w:val="0"/>
                <w:color w:val="auto"/>
                <w:kern w:val="0"/>
                <w:sz w:val="20"/>
                <w:szCs w:val="20"/>
                <w:u w:val="none"/>
                <w:lang w:val="en-US" w:eastAsia="zh-CN" w:bidi="ar"/>
              </w:rPr>
              <w:t>创新主体</w:t>
            </w:r>
          </w:p>
        </w:tc>
        <w:tc>
          <w:tcPr>
            <w:tcW w:w="705" w:type="dxa"/>
            <w:tcBorders>
              <w:tl2br w:val="nil"/>
              <w:tr2bl w:val="nil"/>
            </w:tcBorders>
            <w:shd w:val="clear" w:color="auto" w:fill="auto"/>
            <w:tcMar>
              <w:top w:w="15" w:type="dxa"/>
              <w:left w:w="15" w:type="dxa"/>
              <w:right w:w="15" w:type="dxa"/>
            </w:tcMar>
            <w:vAlign w:val="center"/>
          </w:tcPr>
          <w:p w14:paraId="5D26ECB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免申</w:t>
            </w:r>
          </w:p>
          <w:p w14:paraId="1ED3BEB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即享</w:t>
            </w:r>
          </w:p>
        </w:tc>
        <w:tc>
          <w:tcPr>
            <w:tcW w:w="1171" w:type="dxa"/>
            <w:tcBorders>
              <w:tl2br w:val="nil"/>
              <w:tr2bl w:val="nil"/>
            </w:tcBorders>
            <w:shd w:val="clear" w:color="auto" w:fill="auto"/>
            <w:tcMar>
              <w:top w:w="15" w:type="dxa"/>
              <w:left w:w="15" w:type="dxa"/>
              <w:right w:w="15" w:type="dxa"/>
            </w:tcMar>
            <w:vAlign w:val="center"/>
          </w:tcPr>
          <w:p w14:paraId="24891E7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按程序执行</w:t>
            </w:r>
          </w:p>
        </w:tc>
        <w:tc>
          <w:tcPr>
            <w:tcW w:w="1095" w:type="dxa"/>
            <w:tcBorders>
              <w:tl2br w:val="nil"/>
              <w:tr2bl w:val="nil"/>
            </w:tcBorders>
            <w:shd w:val="clear" w:color="auto" w:fill="auto"/>
            <w:tcMar>
              <w:top w:w="15" w:type="dxa"/>
              <w:left w:w="15" w:type="dxa"/>
              <w:right w:w="15" w:type="dxa"/>
            </w:tcMar>
            <w:vAlign w:val="center"/>
          </w:tcPr>
          <w:p w14:paraId="733767B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至2030年4月28日</w:t>
            </w:r>
          </w:p>
        </w:tc>
      </w:tr>
      <w:tr w14:paraId="1A8D4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814" w:hRule="atLeast"/>
          <w:jc w:val="center"/>
        </w:trPr>
        <w:tc>
          <w:tcPr>
            <w:tcW w:w="500" w:type="dxa"/>
            <w:tcBorders>
              <w:tl2br w:val="nil"/>
              <w:tr2bl w:val="nil"/>
            </w:tcBorders>
            <w:shd w:val="clear" w:color="auto" w:fill="auto"/>
            <w:tcMar>
              <w:top w:w="15" w:type="dxa"/>
              <w:left w:w="15" w:type="dxa"/>
              <w:right w:w="15" w:type="dxa"/>
            </w:tcMar>
            <w:vAlign w:val="center"/>
          </w:tcPr>
          <w:p w14:paraId="3D87F9A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19</w:t>
            </w:r>
          </w:p>
        </w:tc>
        <w:tc>
          <w:tcPr>
            <w:tcW w:w="906" w:type="dxa"/>
            <w:tcBorders>
              <w:tl2br w:val="nil"/>
              <w:tr2bl w:val="nil"/>
            </w:tcBorders>
            <w:shd w:val="clear" w:color="auto" w:fill="auto"/>
            <w:tcMar>
              <w:top w:w="15" w:type="dxa"/>
              <w:left w:w="15" w:type="dxa"/>
              <w:right w:w="15" w:type="dxa"/>
            </w:tcMar>
            <w:vAlign w:val="center"/>
          </w:tcPr>
          <w:p w14:paraId="55FF1BE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heme="minorEastAsia" w:hAnsiTheme="minorEastAsia" w:eastAsiaTheme="minorEastAsia" w:cstheme="minorEastAsia"/>
                <w:b w:val="0"/>
                <w:bCs w:val="0"/>
                <w:i w:val="0"/>
                <w:color w:val="auto"/>
                <w:kern w:val="0"/>
                <w:sz w:val="20"/>
                <w:szCs w:val="20"/>
                <w:u w:val="none"/>
                <w:lang w:val="en-US" w:eastAsia="zh-CN" w:bidi="ar"/>
              </w:rPr>
            </w:pPr>
            <w:r>
              <w:rPr>
                <w:rFonts w:hint="eastAsia" w:asciiTheme="minorEastAsia" w:hAnsiTheme="minorEastAsia" w:eastAsiaTheme="minorEastAsia" w:cstheme="minorEastAsia"/>
                <w:b w:val="0"/>
                <w:bCs w:val="0"/>
                <w:i w:val="0"/>
                <w:color w:val="auto"/>
                <w:kern w:val="0"/>
                <w:sz w:val="20"/>
                <w:szCs w:val="20"/>
                <w:u w:val="none"/>
                <w:lang w:val="en-US" w:eastAsia="zh-CN" w:bidi="ar"/>
              </w:rPr>
              <w:t>农业科技创新发展和平台建设奖补</w:t>
            </w:r>
          </w:p>
        </w:tc>
        <w:tc>
          <w:tcPr>
            <w:tcW w:w="3227" w:type="dxa"/>
            <w:tcBorders>
              <w:tl2br w:val="nil"/>
              <w:tr2bl w:val="nil"/>
            </w:tcBorders>
            <w:shd w:val="clear" w:color="auto" w:fill="auto"/>
            <w:tcMar>
              <w:top w:w="15" w:type="dxa"/>
              <w:left w:w="15" w:type="dxa"/>
              <w:right w:w="15" w:type="dxa"/>
            </w:tcMar>
            <w:vAlign w:val="center"/>
          </w:tcPr>
          <w:p w14:paraId="13AF5DD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获得国家科学技术奖特等奖、一等奖、二等奖的农业类项目主持单位，由广安市人民政府提名，获得四川省科学技术奖一等奖、二等奖、三等奖的农业类项目主持单位</w:t>
            </w:r>
          </w:p>
        </w:tc>
        <w:tc>
          <w:tcPr>
            <w:tcW w:w="2334" w:type="dxa"/>
            <w:tcBorders>
              <w:tl2br w:val="nil"/>
              <w:tr2bl w:val="nil"/>
            </w:tcBorders>
            <w:shd w:val="clear" w:color="auto" w:fill="auto"/>
            <w:tcMar>
              <w:top w:w="15" w:type="dxa"/>
              <w:left w:w="15" w:type="dxa"/>
              <w:right w:w="15" w:type="dxa"/>
            </w:tcMar>
            <w:vAlign w:val="center"/>
          </w:tcPr>
          <w:p w14:paraId="7BC5837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广安市科学技术局 广安市农业农村局广安市财政局关于印发《广安市支持农业科技创新发展和平台建设实施办法》的通知（广科技发〔2025〕13号）</w:t>
            </w:r>
          </w:p>
        </w:tc>
        <w:tc>
          <w:tcPr>
            <w:tcW w:w="770" w:type="dxa"/>
            <w:tcBorders>
              <w:tl2br w:val="nil"/>
              <w:tr2bl w:val="nil"/>
            </w:tcBorders>
            <w:shd w:val="clear" w:color="auto" w:fill="auto"/>
            <w:tcMar>
              <w:top w:w="15" w:type="dxa"/>
              <w:left w:w="15" w:type="dxa"/>
              <w:right w:w="15" w:type="dxa"/>
            </w:tcMar>
            <w:vAlign w:val="center"/>
          </w:tcPr>
          <w:p w14:paraId="1FC1541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奖补类</w:t>
            </w:r>
          </w:p>
        </w:tc>
        <w:tc>
          <w:tcPr>
            <w:tcW w:w="770" w:type="dxa"/>
            <w:tcBorders>
              <w:tl2br w:val="nil"/>
              <w:tr2bl w:val="nil"/>
            </w:tcBorders>
            <w:shd w:val="clear" w:color="auto" w:fill="auto"/>
            <w:tcMar>
              <w:top w:w="15" w:type="dxa"/>
              <w:left w:w="15" w:type="dxa"/>
              <w:right w:w="15" w:type="dxa"/>
            </w:tcMar>
            <w:vAlign w:val="center"/>
          </w:tcPr>
          <w:p w14:paraId="01E856A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广安市</w:t>
            </w:r>
          </w:p>
        </w:tc>
        <w:tc>
          <w:tcPr>
            <w:tcW w:w="770" w:type="dxa"/>
            <w:tcBorders>
              <w:tl2br w:val="nil"/>
              <w:tr2bl w:val="nil"/>
            </w:tcBorders>
            <w:shd w:val="clear" w:color="auto" w:fill="auto"/>
            <w:tcMar>
              <w:top w:w="15" w:type="dxa"/>
              <w:left w:w="15" w:type="dxa"/>
              <w:right w:w="15" w:type="dxa"/>
            </w:tcMar>
            <w:vAlign w:val="center"/>
          </w:tcPr>
          <w:p w14:paraId="067830E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广安市</w:t>
            </w:r>
          </w:p>
        </w:tc>
        <w:tc>
          <w:tcPr>
            <w:tcW w:w="888" w:type="dxa"/>
            <w:tcBorders>
              <w:tl2br w:val="nil"/>
              <w:tr2bl w:val="nil"/>
            </w:tcBorders>
            <w:shd w:val="clear" w:color="auto" w:fill="auto"/>
            <w:tcMar>
              <w:top w:w="15" w:type="dxa"/>
              <w:left w:w="15" w:type="dxa"/>
              <w:right w:w="15" w:type="dxa"/>
            </w:tcMar>
            <w:vAlign w:val="center"/>
          </w:tcPr>
          <w:p w14:paraId="562C278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72E09B7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市科学</w:t>
            </w:r>
          </w:p>
          <w:p w14:paraId="7EAD563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技术局</w:t>
            </w:r>
          </w:p>
        </w:tc>
        <w:tc>
          <w:tcPr>
            <w:tcW w:w="1085" w:type="dxa"/>
            <w:tcBorders>
              <w:tl2br w:val="nil"/>
              <w:tr2bl w:val="nil"/>
            </w:tcBorders>
            <w:shd w:val="clear" w:color="auto" w:fill="auto"/>
            <w:tcMar>
              <w:top w:w="15" w:type="dxa"/>
              <w:left w:w="15" w:type="dxa"/>
              <w:right w:w="15" w:type="dxa"/>
            </w:tcMar>
            <w:vAlign w:val="center"/>
          </w:tcPr>
          <w:p w14:paraId="3284EE1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符合条件的</w:t>
            </w:r>
            <w:r>
              <w:rPr>
                <w:rFonts w:hint="eastAsia" w:eastAsia="宋体" w:cs="Times New Roman"/>
                <w:b w:val="0"/>
                <w:bCs w:val="0"/>
                <w:i w:val="0"/>
                <w:color w:val="auto"/>
                <w:kern w:val="0"/>
                <w:sz w:val="20"/>
                <w:szCs w:val="20"/>
                <w:u w:val="none"/>
                <w:lang w:val="en-US" w:eastAsia="zh-CN" w:bidi="ar"/>
              </w:rPr>
              <w:t>创新主体</w:t>
            </w:r>
          </w:p>
        </w:tc>
        <w:tc>
          <w:tcPr>
            <w:tcW w:w="705" w:type="dxa"/>
            <w:tcBorders>
              <w:tl2br w:val="nil"/>
              <w:tr2bl w:val="nil"/>
            </w:tcBorders>
            <w:shd w:val="clear" w:color="auto" w:fill="auto"/>
            <w:tcMar>
              <w:top w:w="15" w:type="dxa"/>
              <w:left w:w="15" w:type="dxa"/>
              <w:right w:w="15" w:type="dxa"/>
            </w:tcMar>
            <w:vAlign w:val="center"/>
          </w:tcPr>
          <w:p w14:paraId="3D70E16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免申</w:t>
            </w:r>
          </w:p>
          <w:p w14:paraId="07E313F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即享</w:t>
            </w:r>
          </w:p>
        </w:tc>
        <w:tc>
          <w:tcPr>
            <w:tcW w:w="1171" w:type="dxa"/>
            <w:tcBorders>
              <w:tl2br w:val="nil"/>
              <w:tr2bl w:val="nil"/>
            </w:tcBorders>
            <w:shd w:val="clear" w:color="auto" w:fill="auto"/>
            <w:tcMar>
              <w:top w:w="15" w:type="dxa"/>
              <w:left w:w="15" w:type="dxa"/>
              <w:right w:w="15" w:type="dxa"/>
            </w:tcMar>
            <w:vAlign w:val="center"/>
          </w:tcPr>
          <w:p w14:paraId="50CADF5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按程序执行</w:t>
            </w:r>
          </w:p>
        </w:tc>
        <w:tc>
          <w:tcPr>
            <w:tcW w:w="1095" w:type="dxa"/>
            <w:tcBorders>
              <w:tl2br w:val="nil"/>
              <w:tr2bl w:val="nil"/>
            </w:tcBorders>
            <w:shd w:val="clear" w:color="auto" w:fill="auto"/>
            <w:tcMar>
              <w:top w:w="15" w:type="dxa"/>
              <w:left w:w="15" w:type="dxa"/>
              <w:right w:w="15" w:type="dxa"/>
            </w:tcMar>
            <w:vAlign w:val="center"/>
          </w:tcPr>
          <w:p w14:paraId="0186AE3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至2030年4月28日</w:t>
            </w:r>
          </w:p>
        </w:tc>
      </w:tr>
      <w:tr w14:paraId="4927E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814" w:hRule="atLeast"/>
          <w:jc w:val="center"/>
        </w:trPr>
        <w:tc>
          <w:tcPr>
            <w:tcW w:w="500" w:type="dxa"/>
            <w:tcBorders>
              <w:tl2br w:val="nil"/>
              <w:tr2bl w:val="nil"/>
            </w:tcBorders>
            <w:shd w:val="clear" w:color="auto" w:fill="auto"/>
            <w:tcMar>
              <w:top w:w="15" w:type="dxa"/>
              <w:left w:w="15" w:type="dxa"/>
              <w:right w:w="15" w:type="dxa"/>
            </w:tcMar>
            <w:vAlign w:val="center"/>
          </w:tcPr>
          <w:p w14:paraId="227A479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20</w:t>
            </w:r>
          </w:p>
        </w:tc>
        <w:tc>
          <w:tcPr>
            <w:tcW w:w="906" w:type="dxa"/>
            <w:tcBorders>
              <w:tl2br w:val="nil"/>
              <w:tr2bl w:val="nil"/>
            </w:tcBorders>
            <w:shd w:val="clear" w:color="auto" w:fill="auto"/>
            <w:tcMar>
              <w:top w:w="15" w:type="dxa"/>
              <w:left w:w="15" w:type="dxa"/>
              <w:right w:w="15" w:type="dxa"/>
            </w:tcMar>
            <w:vAlign w:val="center"/>
          </w:tcPr>
          <w:p w14:paraId="1DAD65D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heme="minorEastAsia" w:hAnsiTheme="minorEastAsia" w:eastAsiaTheme="minorEastAsia" w:cstheme="minorEastAsia"/>
                <w:b w:val="0"/>
                <w:bCs w:val="0"/>
                <w:i w:val="0"/>
                <w:color w:val="auto"/>
                <w:sz w:val="20"/>
                <w:szCs w:val="20"/>
                <w:u w:val="none"/>
              </w:rPr>
            </w:pPr>
            <w:r>
              <w:rPr>
                <w:rFonts w:hint="eastAsia" w:asciiTheme="minorEastAsia" w:hAnsiTheme="minorEastAsia" w:eastAsiaTheme="minorEastAsia" w:cstheme="minorEastAsia"/>
                <w:b w:val="0"/>
                <w:bCs w:val="0"/>
                <w:i w:val="0"/>
                <w:color w:val="auto"/>
                <w:sz w:val="20"/>
                <w:szCs w:val="20"/>
                <w:u w:val="none"/>
              </w:rPr>
              <w:t>商贸和服务业企业“转企升规”激励奖补</w:t>
            </w:r>
          </w:p>
        </w:tc>
        <w:tc>
          <w:tcPr>
            <w:tcW w:w="3227" w:type="dxa"/>
            <w:tcBorders>
              <w:tl2br w:val="nil"/>
              <w:tr2bl w:val="nil"/>
            </w:tcBorders>
            <w:shd w:val="clear" w:color="auto" w:fill="auto"/>
            <w:tcMar>
              <w:top w:w="15" w:type="dxa"/>
              <w:left w:w="15" w:type="dxa"/>
              <w:right w:w="15" w:type="dxa"/>
            </w:tcMar>
            <w:vAlign w:val="center"/>
          </w:tcPr>
          <w:p w14:paraId="6A229E3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对首次升规入统的限额以上商贸企业和规模以上服务业企业，每户奖励5万元。</w:t>
            </w:r>
          </w:p>
        </w:tc>
        <w:tc>
          <w:tcPr>
            <w:tcW w:w="2334" w:type="dxa"/>
            <w:tcBorders>
              <w:tl2br w:val="nil"/>
              <w:tr2bl w:val="nil"/>
            </w:tcBorders>
            <w:shd w:val="clear" w:color="auto" w:fill="auto"/>
            <w:tcMar>
              <w:top w:w="15" w:type="dxa"/>
              <w:left w:w="15" w:type="dxa"/>
              <w:right w:w="15" w:type="dxa"/>
            </w:tcMar>
            <w:vAlign w:val="center"/>
          </w:tcPr>
          <w:p w14:paraId="67E3322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《广安市人民政府办公室印发&lt;广安市关于推动经济持续回升向好的若干政策措施&gt;的通知》(广安府办规〔2024〕4号)</w:t>
            </w:r>
          </w:p>
        </w:tc>
        <w:tc>
          <w:tcPr>
            <w:tcW w:w="770" w:type="dxa"/>
            <w:tcBorders>
              <w:tl2br w:val="nil"/>
              <w:tr2bl w:val="nil"/>
            </w:tcBorders>
            <w:shd w:val="clear" w:color="auto" w:fill="auto"/>
            <w:tcMar>
              <w:top w:w="15" w:type="dxa"/>
              <w:left w:w="15" w:type="dxa"/>
              <w:right w:w="15" w:type="dxa"/>
            </w:tcMar>
            <w:vAlign w:val="center"/>
          </w:tcPr>
          <w:p w14:paraId="75AA02D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奖补类</w:t>
            </w:r>
          </w:p>
        </w:tc>
        <w:tc>
          <w:tcPr>
            <w:tcW w:w="770" w:type="dxa"/>
            <w:tcBorders>
              <w:tl2br w:val="nil"/>
              <w:tr2bl w:val="nil"/>
            </w:tcBorders>
            <w:shd w:val="clear" w:color="auto" w:fill="auto"/>
            <w:tcMar>
              <w:top w:w="15" w:type="dxa"/>
              <w:left w:w="15" w:type="dxa"/>
              <w:right w:w="15" w:type="dxa"/>
            </w:tcMar>
            <w:vAlign w:val="center"/>
          </w:tcPr>
          <w:p w14:paraId="72CEF17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770" w:type="dxa"/>
            <w:tcBorders>
              <w:tl2br w:val="nil"/>
              <w:tr2bl w:val="nil"/>
            </w:tcBorders>
            <w:shd w:val="clear" w:color="auto" w:fill="auto"/>
            <w:tcMar>
              <w:top w:w="15" w:type="dxa"/>
              <w:left w:w="15" w:type="dxa"/>
              <w:right w:w="15" w:type="dxa"/>
            </w:tcMar>
            <w:vAlign w:val="center"/>
          </w:tcPr>
          <w:p w14:paraId="44120E0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888" w:type="dxa"/>
            <w:tcBorders>
              <w:tl2br w:val="nil"/>
              <w:tr2bl w:val="nil"/>
            </w:tcBorders>
            <w:shd w:val="clear" w:color="auto" w:fill="auto"/>
            <w:tcMar>
              <w:top w:w="15" w:type="dxa"/>
              <w:left w:w="15" w:type="dxa"/>
              <w:right w:w="15" w:type="dxa"/>
            </w:tcMar>
            <w:vAlign w:val="center"/>
          </w:tcPr>
          <w:p w14:paraId="6F618A1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47A3FF1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市商务局</w:t>
            </w:r>
          </w:p>
        </w:tc>
        <w:tc>
          <w:tcPr>
            <w:tcW w:w="1085" w:type="dxa"/>
            <w:tcBorders>
              <w:tl2br w:val="nil"/>
              <w:tr2bl w:val="nil"/>
            </w:tcBorders>
            <w:shd w:val="clear" w:color="auto" w:fill="auto"/>
            <w:tcMar>
              <w:top w:w="15" w:type="dxa"/>
              <w:left w:w="15" w:type="dxa"/>
              <w:right w:w="15" w:type="dxa"/>
            </w:tcMar>
            <w:vAlign w:val="center"/>
          </w:tcPr>
          <w:p w14:paraId="2AE2972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t>本市</w:t>
            </w:r>
            <w:r>
              <w:rPr>
                <w:rFonts w:hint="default" w:ascii="Times New Roman" w:hAnsi="Times New Roman" w:eastAsia="宋体" w:cs="Times New Roman"/>
                <w:b w:val="0"/>
                <w:bCs w:val="0"/>
                <w:i w:val="0"/>
                <w:color w:val="000000" w:themeColor="text1"/>
                <w:sz w:val="20"/>
                <w:szCs w:val="20"/>
                <w:u w:val="none"/>
                <w:lang w:eastAsia="zh-CN"/>
                <w14:textFill>
                  <w14:solidFill>
                    <w14:schemeClr w14:val="tx1"/>
                  </w14:solidFill>
                </w14:textFill>
              </w:rPr>
              <w:t>首次培育为</w:t>
            </w:r>
            <w: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t>额以上商贸企业和规模以上服务业企业</w:t>
            </w:r>
          </w:p>
        </w:tc>
        <w:tc>
          <w:tcPr>
            <w:tcW w:w="705" w:type="dxa"/>
            <w:tcBorders>
              <w:tl2br w:val="nil"/>
              <w:tr2bl w:val="nil"/>
            </w:tcBorders>
            <w:shd w:val="clear" w:color="auto" w:fill="auto"/>
            <w:tcMar>
              <w:top w:w="15" w:type="dxa"/>
              <w:left w:w="15" w:type="dxa"/>
              <w:right w:w="15" w:type="dxa"/>
            </w:tcMar>
            <w:vAlign w:val="center"/>
          </w:tcPr>
          <w:p w14:paraId="6AF7779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免申</w:t>
            </w:r>
          </w:p>
          <w:p w14:paraId="1BE126D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即享</w:t>
            </w:r>
          </w:p>
        </w:tc>
        <w:tc>
          <w:tcPr>
            <w:tcW w:w="1171" w:type="dxa"/>
            <w:tcBorders>
              <w:tl2br w:val="nil"/>
              <w:tr2bl w:val="nil"/>
            </w:tcBorders>
            <w:shd w:val="clear" w:color="auto" w:fill="auto"/>
            <w:tcMar>
              <w:top w:w="15" w:type="dxa"/>
              <w:left w:w="15" w:type="dxa"/>
              <w:right w:w="15" w:type="dxa"/>
            </w:tcMar>
            <w:vAlign w:val="center"/>
          </w:tcPr>
          <w:p w14:paraId="0471CBA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t>次年根据统计数据，按程序报市政府、市财政局同意后拨付。</w:t>
            </w:r>
          </w:p>
        </w:tc>
        <w:tc>
          <w:tcPr>
            <w:tcW w:w="1095" w:type="dxa"/>
            <w:tcBorders>
              <w:tl2br w:val="nil"/>
              <w:tr2bl w:val="nil"/>
            </w:tcBorders>
            <w:shd w:val="clear" w:color="auto" w:fill="auto"/>
            <w:tcMar>
              <w:top w:w="15" w:type="dxa"/>
              <w:left w:w="15" w:type="dxa"/>
              <w:right w:w="15" w:type="dxa"/>
            </w:tcMar>
            <w:vAlign w:val="center"/>
          </w:tcPr>
          <w:p w14:paraId="726C11E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t>2025 年 1 月 1 日至 2025年 12 月 31 日期间</w:t>
            </w:r>
          </w:p>
        </w:tc>
      </w:tr>
      <w:tr w14:paraId="52279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81" w:hRule="atLeast"/>
          <w:jc w:val="center"/>
        </w:trPr>
        <w:tc>
          <w:tcPr>
            <w:tcW w:w="500" w:type="dxa"/>
            <w:tcBorders>
              <w:tl2br w:val="nil"/>
              <w:tr2bl w:val="nil"/>
            </w:tcBorders>
            <w:shd w:val="clear" w:color="auto" w:fill="auto"/>
            <w:tcMar>
              <w:top w:w="15" w:type="dxa"/>
              <w:left w:w="15" w:type="dxa"/>
              <w:right w:w="15" w:type="dxa"/>
            </w:tcMar>
            <w:vAlign w:val="center"/>
          </w:tcPr>
          <w:p w14:paraId="1E7A9DF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21</w:t>
            </w:r>
          </w:p>
        </w:tc>
        <w:tc>
          <w:tcPr>
            <w:tcW w:w="906" w:type="dxa"/>
            <w:tcBorders>
              <w:tl2br w:val="nil"/>
              <w:tr2bl w:val="nil"/>
            </w:tcBorders>
            <w:shd w:val="clear" w:color="auto" w:fill="auto"/>
            <w:tcMar>
              <w:top w:w="15" w:type="dxa"/>
              <w:left w:w="15" w:type="dxa"/>
              <w:right w:w="15" w:type="dxa"/>
            </w:tcMar>
            <w:vAlign w:val="center"/>
          </w:tcPr>
          <w:p w14:paraId="13273D3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sz w:val="20"/>
                <w:szCs w:val="20"/>
                <w:u w:val="none"/>
                <w:lang w:val="en-US" w:eastAsia="zh-CN"/>
                <w14:textFill>
                  <w14:solidFill>
                    <w14:schemeClr w14:val="tx1"/>
                  </w14:solidFill>
                </w14:textFill>
              </w:rPr>
            </w:pPr>
            <w:r>
              <w:rPr>
                <w:rFonts w:hint="eastAsia" w:ascii="Times New Roman" w:hAnsi="Times New Roman" w:eastAsia="宋体" w:cs="Times New Roman"/>
                <w:b w:val="0"/>
                <w:bCs w:val="0"/>
                <w:i w:val="0"/>
                <w:color w:val="000000" w:themeColor="text1"/>
                <w:sz w:val="20"/>
                <w:szCs w:val="20"/>
                <w:u w:val="none"/>
                <w:lang w:val="en-US" w:eastAsia="zh-CN"/>
                <w14:textFill>
                  <w14:solidFill>
                    <w14:schemeClr w14:val="tx1"/>
                  </w14:solidFill>
                </w14:textFill>
              </w:rPr>
              <w:t>支持做强龙头企业激励奖补</w:t>
            </w:r>
          </w:p>
        </w:tc>
        <w:tc>
          <w:tcPr>
            <w:tcW w:w="3227" w:type="dxa"/>
            <w:tcBorders>
              <w:tl2br w:val="nil"/>
              <w:tr2bl w:val="nil"/>
            </w:tcBorders>
            <w:shd w:val="clear" w:color="auto" w:fill="auto"/>
            <w:tcMar>
              <w:top w:w="15" w:type="dxa"/>
              <w:left w:w="15" w:type="dxa"/>
              <w:right w:w="15" w:type="dxa"/>
            </w:tcMar>
            <w:vAlign w:val="center"/>
          </w:tcPr>
          <w:p w14:paraId="3FE2DB6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对新认定/复核（之前未获得过奖励）的国家级专精</w:t>
            </w:r>
            <w:r>
              <w:rPr>
                <w:rFonts w:hint="eastAsia" w:asciiTheme="minorEastAsia" w:hAnsiTheme="minorEastAsia" w:eastAsiaTheme="minorEastAsia" w:cstheme="minorEastAsia"/>
                <w:b w:val="0"/>
                <w:bCs w:val="0"/>
                <w:i w:val="0"/>
                <w:color w:val="000000"/>
                <w:kern w:val="0"/>
                <w:sz w:val="20"/>
                <w:szCs w:val="20"/>
                <w:u w:val="none"/>
                <w:lang w:val="en-US" w:eastAsia="zh-CN" w:bidi="ar"/>
              </w:rPr>
              <w:t>特新“小巨人”企业，</w:t>
            </w:r>
            <w:r>
              <w:rPr>
                <w:rFonts w:hint="default" w:ascii="Times New Roman" w:hAnsi="Times New Roman" w:eastAsia="宋体" w:cs="Times New Roman"/>
                <w:b w:val="0"/>
                <w:bCs w:val="0"/>
                <w:i w:val="0"/>
                <w:color w:val="000000"/>
                <w:kern w:val="0"/>
                <w:sz w:val="20"/>
                <w:szCs w:val="20"/>
                <w:u w:val="none"/>
                <w:lang w:val="en-US" w:eastAsia="zh-CN" w:bidi="ar"/>
              </w:rPr>
              <w:t>一次性奖励50万元。对新认定的省</w:t>
            </w:r>
            <w:r>
              <w:rPr>
                <w:rFonts w:hint="eastAsia" w:asciiTheme="minorEastAsia" w:hAnsiTheme="minorEastAsia" w:eastAsiaTheme="minorEastAsia" w:cstheme="minorEastAsia"/>
                <w:b w:val="0"/>
                <w:bCs w:val="0"/>
                <w:i w:val="0"/>
                <w:color w:val="000000"/>
                <w:kern w:val="0"/>
                <w:sz w:val="20"/>
                <w:szCs w:val="20"/>
                <w:u w:val="none"/>
                <w:lang w:val="en-US" w:eastAsia="zh-CN" w:bidi="ar"/>
              </w:rPr>
              <w:t>级“专精特新”企业</w:t>
            </w:r>
            <w:r>
              <w:rPr>
                <w:rFonts w:hint="default" w:ascii="Times New Roman" w:hAnsi="Times New Roman" w:eastAsia="宋体" w:cs="Times New Roman"/>
                <w:b w:val="0"/>
                <w:bCs w:val="0"/>
                <w:i w:val="0"/>
                <w:color w:val="000000"/>
                <w:kern w:val="0"/>
                <w:sz w:val="20"/>
                <w:szCs w:val="20"/>
                <w:u w:val="none"/>
                <w:lang w:val="en-US" w:eastAsia="zh-CN" w:bidi="ar"/>
              </w:rPr>
              <w:t>，一次性奖励20万元。</w:t>
            </w:r>
          </w:p>
        </w:tc>
        <w:tc>
          <w:tcPr>
            <w:tcW w:w="2334" w:type="dxa"/>
            <w:tcBorders>
              <w:tl2br w:val="nil"/>
              <w:tr2bl w:val="nil"/>
            </w:tcBorders>
            <w:shd w:val="clear" w:color="auto" w:fill="auto"/>
            <w:tcMar>
              <w:top w:w="15" w:type="dxa"/>
              <w:left w:w="15" w:type="dxa"/>
              <w:right w:w="15" w:type="dxa"/>
            </w:tcMar>
            <w:vAlign w:val="center"/>
          </w:tcPr>
          <w:p w14:paraId="283983D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w:t>
            </w:r>
            <w:r>
              <w:rPr>
                <w:rFonts w:hint="default" w:ascii="Times New Roman" w:hAnsi="Times New Roman" w:eastAsia="宋体" w:cs="Times New Roman"/>
                <w:b w:val="0"/>
                <w:bCs w:val="0"/>
                <w:i w:val="0"/>
                <w:color w:val="000000"/>
                <w:kern w:val="0"/>
                <w:sz w:val="20"/>
                <w:szCs w:val="20"/>
                <w:u w:val="none"/>
                <w:lang w:val="en-US" w:eastAsia="zh-CN" w:bidi="ar"/>
              </w:rPr>
              <w:t>关于印发</w:t>
            </w:r>
            <w:r>
              <w:rPr>
                <w:rFonts w:hint="eastAsia" w:ascii="Times New Roman" w:hAnsi="Times New Roman" w:eastAsia="宋体" w:cs="Times New Roman"/>
                <w:b w:val="0"/>
                <w:bCs w:val="0"/>
                <w:i w:val="0"/>
                <w:color w:val="000000"/>
                <w:kern w:val="0"/>
                <w:sz w:val="20"/>
                <w:szCs w:val="20"/>
                <w:u w:val="none"/>
                <w:lang w:val="en-US" w:eastAsia="zh-CN" w:bidi="ar"/>
              </w:rPr>
              <w:t>&lt;</w:t>
            </w:r>
            <w:r>
              <w:rPr>
                <w:rFonts w:hint="default" w:ascii="Times New Roman" w:hAnsi="Times New Roman" w:eastAsia="宋体" w:cs="Times New Roman"/>
                <w:b w:val="0"/>
                <w:bCs w:val="0"/>
                <w:i w:val="0"/>
                <w:color w:val="000000"/>
                <w:kern w:val="0"/>
                <w:sz w:val="20"/>
                <w:szCs w:val="20"/>
                <w:u w:val="none"/>
                <w:lang w:val="en-US" w:eastAsia="zh-CN" w:bidi="ar"/>
              </w:rPr>
              <w:t>广安市培</w:t>
            </w:r>
            <w:r>
              <w:rPr>
                <w:rFonts w:hint="eastAsia" w:asciiTheme="minorEastAsia" w:hAnsiTheme="minorEastAsia" w:eastAsiaTheme="minorEastAsia" w:cstheme="minorEastAsia"/>
                <w:b w:val="0"/>
                <w:bCs w:val="0"/>
                <w:i w:val="0"/>
                <w:color w:val="000000"/>
                <w:kern w:val="0"/>
                <w:sz w:val="20"/>
                <w:szCs w:val="20"/>
                <w:u w:val="none"/>
                <w:lang w:val="en-US" w:eastAsia="zh-CN" w:bidi="ar"/>
              </w:rPr>
              <w:t>育“</w:t>
            </w:r>
            <w:r>
              <w:rPr>
                <w:rFonts w:hint="default" w:ascii="Times New Roman" w:hAnsi="Times New Roman" w:eastAsia="宋体" w:cs="Times New Roman"/>
                <w:b w:val="0"/>
                <w:bCs w:val="0"/>
                <w:i w:val="0"/>
                <w:color w:val="000000"/>
                <w:kern w:val="0"/>
                <w:sz w:val="20"/>
                <w:szCs w:val="20"/>
                <w:u w:val="none"/>
                <w:lang w:val="en-US" w:eastAsia="zh-CN" w:bidi="ar"/>
              </w:rPr>
              <w:t>331</w:t>
            </w:r>
            <w:r>
              <w:rPr>
                <w:rFonts w:hint="eastAsia" w:asciiTheme="minorEastAsia" w:hAnsiTheme="minorEastAsia" w:eastAsiaTheme="minorEastAsia" w:cstheme="minorEastAsia"/>
                <w:b w:val="0"/>
                <w:bCs w:val="0"/>
                <w:i w:val="0"/>
                <w:color w:val="000000"/>
                <w:kern w:val="0"/>
                <w:sz w:val="20"/>
                <w:szCs w:val="20"/>
                <w:u w:val="none"/>
                <w:lang w:val="en-US" w:eastAsia="zh-CN" w:bidi="ar"/>
              </w:rPr>
              <w:t>”</w:t>
            </w:r>
            <w:r>
              <w:rPr>
                <w:rFonts w:hint="default" w:ascii="Times New Roman" w:hAnsi="Times New Roman" w:eastAsia="宋体" w:cs="Times New Roman"/>
                <w:b w:val="0"/>
                <w:bCs w:val="0"/>
                <w:i w:val="0"/>
                <w:color w:val="000000"/>
                <w:kern w:val="0"/>
                <w:sz w:val="20"/>
                <w:szCs w:val="20"/>
                <w:u w:val="none"/>
                <w:lang w:val="en-US" w:eastAsia="zh-CN" w:bidi="ar"/>
              </w:rPr>
              <w:t>现代工业产业体系加快建设重庆都市圈北部制造业副中心支持政策</w:t>
            </w:r>
            <w:r>
              <w:rPr>
                <w:rFonts w:hint="eastAsia" w:ascii="Times New Roman" w:hAnsi="Times New Roman" w:eastAsia="宋体" w:cs="Times New Roman"/>
                <w:b w:val="0"/>
                <w:bCs w:val="0"/>
                <w:i w:val="0"/>
                <w:color w:val="000000"/>
                <w:kern w:val="0"/>
                <w:sz w:val="20"/>
                <w:szCs w:val="20"/>
                <w:u w:val="none"/>
                <w:lang w:val="en-US" w:eastAsia="zh-CN" w:bidi="ar"/>
              </w:rPr>
              <w:t>&gt;</w:t>
            </w:r>
            <w:r>
              <w:rPr>
                <w:rFonts w:hint="default" w:ascii="Times New Roman" w:hAnsi="Times New Roman" w:eastAsia="宋体" w:cs="Times New Roman"/>
                <w:b w:val="0"/>
                <w:bCs w:val="0"/>
                <w:i w:val="0"/>
                <w:color w:val="000000"/>
                <w:kern w:val="0"/>
                <w:sz w:val="20"/>
                <w:szCs w:val="20"/>
                <w:u w:val="none"/>
                <w:lang w:val="en-US" w:eastAsia="zh-CN" w:bidi="ar"/>
              </w:rPr>
              <w:t>的通知</w:t>
            </w:r>
            <w:r>
              <w:rPr>
                <w:rFonts w:hint="eastAsia" w:ascii="Times New Roman" w:hAnsi="Times New Roman" w:eastAsia="宋体" w:cs="Times New Roman"/>
                <w:b w:val="0"/>
                <w:bCs w:val="0"/>
                <w:i w:val="0"/>
                <w:color w:val="000000"/>
                <w:kern w:val="0"/>
                <w:sz w:val="20"/>
                <w:szCs w:val="20"/>
                <w:u w:val="none"/>
                <w:lang w:val="en-US" w:eastAsia="zh-CN" w:bidi="ar"/>
              </w:rPr>
              <w:t>》（广市产业〔2024〕1号）</w:t>
            </w:r>
          </w:p>
        </w:tc>
        <w:tc>
          <w:tcPr>
            <w:tcW w:w="770" w:type="dxa"/>
            <w:tcBorders>
              <w:tl2br w:val="nil"/>
              <w:tr2bl w:val="nil"/>
            </w:tcBorders>
            <w:shd w:val="clear" w:color="auto" w:fill="auto"/>
            <w:tcMar>
              <w:top w:w="15" w:type="dxa"/>
              <w:left w:w="15" w:type="dxa"/>
              <w:right w:w="15" w:type="dxa"/>
            </w:tcMar>
            <w:vAlign w:val="center"/>
          </w:tcPr>
          <w:p w14:paraId="02CA2F0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lang w:val="en-US" w:eastAsia="zh-CN"/>
                <w14:textFill>
                  <w14:solidFill>
                    <w14:schemeClr w14:val="tx1"/>
                  </w14:solidFill>
                </w14:textFill>
              </w:rPr>
            </w:pPr>
            <w:r>
              <w:rPr>
                <w:rFonts w:hint="eastAsia" w:ascii="Times New Roman" w:hAnsi="Times New Roman" w:eastAsia="宋体" w:cs="Times New Roman"/>
                <w:b w:val="0"/>
                <w:bCs w:val="0"/>
                <w:i w:val="0"/>
                <w:color w:val="000000" w:themeColor="text1"/>
                <w:sz w:val="20"/>
                <w:szCs w:val="20"/>
                <w:u w:val="none"/>
                <w:lang w:eastAsia="zh-CN"/>
                <w14:textFill>
                  <w14:solidFill>
                    <w14:schemeClr w14:val="tx1"/>
                  </w14:solidFill>
                </w14:textFill>
              </w:rPr>
              <w:t>奖补类</w:t>
            </w:r>
          </w:p>
        </w:tc>
        <w:tc>
          <w:tcPr>
            <w:tcW w:w="770" w:type="dxa"/>
            <w:tcBorders>
              <w:tl2br w:val="nil"/>
              <w:tr2bl w:val="nil"/>
            </w:tcBorders>
            <w:shd w:val="clear" w:color="auto" w:fill="auto"/>
            <w:tcMar>
              <w:top w:w="15" w:type="dxa"/>
              <w:left w:w="15" w:type="dxa"/>
              <w:right w:w="15" w:type="dxa"/>
            </w:tcMar>
            <w:vAlign w:val="center"/>
          </w:tcPr>
          <w:p w14:paraId="4B918B4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b w:val="0"/>
                <w:bCs w:val="0"/>
                <w:i w:val="0"/>
                <w:color w:val="000000" w:themeColor="text1"/>
                <w:sz w:val="20"/>
                <w:szCs w:val="20"/>
                <w:u w:val="none"/>
                <w:lang w:eastAsia="zh-CN"/>
                <w14:textFill>
                  <w14:solidFill>
                    <w14:schemeClr w14:val="tx1"/>
                  </w14:solidFill>
                </w14:textFill>
              </w:rPr>
              <w:t>广安市</w:t>
            </w:r>
          </w:p>
        </w:tc>
        <w:tc>
          <w:tcPr>
            <w:tcW w:w="770" w:type="dxa"/>
            <w:tcBorders>
              <w:tl2br w:val="nil"/>
              <w:tr2bl w:val="nil"/>
            </w:tcBorders>
            <w:shd w:val="clear" w:color="auto" w:fill="auto"/>
            <w:tcMar>
              <w:top w:w="15" w:type="dxa"/>
              <w:left w:w="15" w:type="dxa"/>
              <w:right w:w="15" w:type="dxa"/>
            </w:tcMar>
            <w:vAlign w:val="center"/>
          </w:tcPr>
          <w:p w14:paraId="3D6150E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b w:val="0"/>
                <w:bCs w:val="0"/>
                <w:i w:val="0"/>
                <w:color w:val="000000" w:themeColor="text1"/>
                <w:sz w:val="20"/>
                <w:szCs w:val="20"/>
                <w:u w:val="none"/>
                <w:lang w:eastAsia="zh-CN"/>
                <w14:textFill>
                  <w14:solidFill>
                    <w14:schemeClr w14:val="tx1"/>
                  </w14:solidFill>
                </w14:textFill>
              </w:rPr>
              <w:t>广安市</w:t>
            </w:r>
          </w:p>
        </w:tc>
        <w:tc>
          <w:tcPr>
            <w:tcW w:w="888" w:type="dxa"/>
            <w:tcBorders>
              <w:tl2br w:val="nil"/>
              <w:tr2bl w:val="nil"/>
            </w:tcBorders>
            <w:shd w:val="clear" w:color="auto" w:fill="auto"/>
            <w:tcMar>
              <w:top w:w="15" w:type="dxa"/>
              <w:left w:w="15" w:type="dxa"/>
              <w:right w:w="15" w:type="dxa"/>
            </w:tcMar>
            <w:vAlign w:val="center"/>
          </w:tcPr>
          <w:p w14:paraId="21D6D36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lang w:val="en-US" w:eastAsia="zh-CN"/>
                <w14:textFill>
                  <w14:solidFill>
                    <w14:schemeClr w14:val="tx1"/>
                  </w14:solidFill>
                </w14:textFill>
              </w:rPr>
            </w:pPr>
            <w:r>
              <w:rPr>
                <w:rFonts w:hint="eastAsia" w:ascii="Times New Roman" w:hAnsi="Times New Roman" w:eastAsia="宋体" w:cs="Times New Roman"/>
                <w:b w:val="0"/>
                <w:bCs w:val="0"/>
                <w:i w:val="0"/>
                <w:color w:val="000000" w:themeColor="text1"/>
                <w:sz w:val="20"/>
                <w:szCs w:val="20"/>
                <w:u w:val="none"/>
                <w:lang w:eastAsia="zh-CN"/>
                <w14:textFill>
                  <w14:solidFill>
                    <w14:schemeClr w14:val="tx1"/>
                  </w14:solidFill>
                </w14:textFill>
              </w:rPr>
              <w:t>市</w:t>
            </w:r>
            <w:r>
              <w:rPr>
                <w:rFonts w:hint="default" w:ascii="Times New Roman" w:hAnsi="Times New Roman" w:eastAsia="宋体" w:cs="Times New Roman"/>
                <w:b w:val="0"/>
                <w:bCs w:val="0"/>
                <w:i w:val="0"/>
                <w:color w:val="000000" w:themeColor="text1"/>
                <w:sz w:val="20"/>
                <w:szCs w:val="20"/>
                <w:u w:val="none"/>
                <w:lang w:eastAsia="zh-CN"/>
                <w14:textFill>
                  <w14:solidFill>
                    <w14:schemeClr w14:val="tx1"/>
                  </w14:solidFill>
                </w14:textFill>
              </w:rPr>
              <w:t>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649EF21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b w:val="0"/>
                <w:bCs w:val="0"/>
                <w:i w:val="0"/>
                <w:color w:val="000000" w:themeColor="text1"/>
                <w:sz w:val="20"/>
                <w:szCs w:val="20"/>
                <w:u w:val="none"/>
                <w:lang w:eastAsia="zh-CN"/>
                <w14:textFill>
                  <w14:solidFill>
                    <w14:schemeClr w14:val="tx1"/>
                  </w14:solidFill>
                </w14:textFill>
              </w:rPr>
              <w:t>市经济信息化局</w:t>
            </w:r>
          </w:p>
        </w:tc>
        <w:tc>
          <w:tcPr>
            <w:tcW w:w="1085" w:type="dxa"/>
            <w:tcBorders>
              <w:tl2br w:val="nil"/>
              <w:tr2bl w:val="nil"/>
            </w:tcBorders>
            <w:shd w:val="clear" w:color="auto" w:fill="auto"/>
            <w:tcMar>
              <w:top w:w="15" w:type="dxa"/>
              <w:left w:w="15" w:type="dxa"/>
              <w:right w:w="15" w:type="dxa"/>
            </w:tcMar>
            <w:vAlign w:val="center"/>
          </w:tcPr>
          <w:p w14:paraId="67CBCE7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sz w:val="20"/>
                <w:szCs w:val="20"/>
                <w:u w:val="none"/>
                <w:lang w:val="en-US" w:eastAsia="zh-CN"/>
                <w14:textFill>
                  <w14:solidFill>
                    <w14:schemeClr w14:val="tx1"/>
                  </w14:solidFill>
                </w14:textFill>
              </w:rPr>
            </w:pPr>
            <w:r>
              <w:rPr>
                <w:rFonts w:hint="eastAsia" w:ascii="Times New Roman" w:hAnsi="Times New Roman" w:eastAsia="宋体" w:cs="Times New Roman"/>
                <w:b w:val="0"/>
                <w:bCs w:val="0"/>
                <w:i w:val="0"/>
                <w:color w:val="000000" w:themeColor="text1"/>
                <w:sz w:val="20"/>
                <w:szCs w:val="20"/>
                <w:u w:val="none"/>
                <w:lang w:val="en-US" w:eastAsia="zh-CN"/>
                <w14:textFill>
                  <w14:solidFill>
                    <w14:schemeClr w14:val="tx1"/>
                  </w14:solidFill>
                </w14:textFill>
              </w:rPr>
              <w:t>新认定/复核（之前未获得过奖励）的国家级专精特新“小巨人”企业和省级“专精特新”企业</w:t>
            </w:r>
          </w:p>
        </w:tc>
        <w:tc>
          <w:tcPr>
            <w:tcW w:w="705" w:type="dxa"/>
            <w:tcBorders>
              <w:tl2br w:val="nil"/>
              <w:tr2bl w:val="nil"/>
            </w:tcBorders>
            <w:shd w:val="clear" w:color="auto" w:fill="auto"/>
            <w:tcMar>
              <w:top w:w="15" w:type="dxa"/>
              <w:left w:w="15" w:type="dxa"/>
              <w:right w:w="15" w:type="dxa"/>
            </w:tcMar>
            <w:vAlign w:val="center"/>
          </w:tcPr>
          <w:p w14:paraId="2D1A153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b w:val="0"/>
                <w:bCs w:val="0"/>
                <w:i w:val="0"/>
                <w:color w:val="000000" w:themeColor="text1"/>
                <w:sz w:val="20"/>
                <w:szCs w:val="20"/>
                <w:u w:val="none"/>
                <w:lang w:val="en-US" w:eastAsia="zh-CN"/>
                <w14:textFill>
                  <w14:solidFill>
                    <w14:schemeClr w14:val="tx1"/>
                  </w14:solidFill>
                </w14:textFill>
              </w:rPr>
              <w:t>免申即享</w:t>
            </w:r>
          </w:p>
        </w:tc>
        <w:tc>
          <w:tcPr>
            <w:tcW w:w="1171" w:type="dxa"/>
            <w:tcBorders>
              <w:tl2br w:val="nil"/>
              <w:tr2bl w:val="nil"/>
            </w:tcBorders>
            <w:shd w:val="clear" w:color="auto" w:fill="auto"/>
            <w:tcMar>
              <w:top w:w="15" w:type="dxa"/>
              <w:left w:w="15" w:type="dxa"/>
              <w:right w:w="15" w:type="dxa"/>
            </w:tcMar>
            <w:vAlign w:val="center"/>
          </w:tcPr>
          <w:p w14:paraId="03C6211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lang w:val="en-US" w:eastAsia="zh-CN"/>
                <w14:textFill>
                  <w14:solidFill>
                    <w14:schemeClr w14:val="tx1"/>
                  </w14:solidFill>
                </w14:textFill>
              </w:rPr>
            </w:pPr>
            <w:r>
              <w:rPr>
                <w:rFonts w:hint="eastAsia" w:ascii="Times New Roman" w:hAnsi="Times New Roman" w:eastAsia="宋体" w:cs="Times New Roman"/>
                <w:b w:val="0"/>
                <w:bCs w:val="0"/>
                <w:i w:val="0"/>
                <w:color w:val="000000" w:themeColor="text1"/>
                <w:sz w:val="20"/>
                <w:szCs w:val="20"/>
                <w:u w:val="none"/>
                <w:lang w:eastAsia="zh-CN"/>
                <w14:textFill>
                  <w14:solidFill>
                    <w14:schemeClr w14:val="tx1"/>
                  </w14:solidFill>
                </w14:textFill>
              </w:rPr>
              <w:t>省级激励奖补资金到位后</w:t>
            </w:r>
            <w:r>
              <w:rPr>
                <w:rFonts w:hint="eastAsia" w:ascii="Times New Roman" w:hAnsi="Times New Roman" w:eastAsia="宋体" w:cs="Times New Roman"/>
                <w:b w:val="0"/>
                <w:bCs w:val="0"/>
                <w:i w:val="0"/>
                <w:color w:val="000000" w:themeColor="text1"/>
                <w:sz w:val="20"/>
                <w:szCs w:val="20"/>
                <w:u w:val="none"/>
                <w:lang w:val="en-US" w:eastAsia="zh-CN"/>
                <w14:textFill>
                  <w14:solidFill>
                    <w14:schemeClr w14:val="tx1"/>
                  </w14:solidFill>
                </w14:textFill>
              </w:rPr>
              <w:t>7日内</w:t>
            </w:r>
          </w:p>
        </w:tc>
        <w:tc>
          <w:tcPr>
            <w:tcW w:w="1095" w:type="dxa"/>
            <w:tcBorders>
              <w:tl2br w:val="nil"/>
              <w:tr2bl w:val="nil"/>
            </w:tcBorders>
            <w:shd w:val="clear" w:color="auto" w:fill="auto"/>
            <w:tcMar>
              <w:top w:w="15" w:type="dxa"/>
              <w:left w:w="15" w:type="dxa"/>
              <w:right w:w="15" w:type="dxa"/>
            </w:tcMar>
            <w:vAlign w:val="center"/>
          </w:tcPr>
          <w:p w14:paraId="5FF731B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2024年11月19日—2027年11月19日</w:t>
            </w:r>
          </w:p>
        </w:tc>
      </w:tr>
      <w:tr w14:paraId="75247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81" w:hRule="atLeast"/>
          <w:jc w:val="center"/>
        </w:trPr>
        <w:tc>
          <w:tcPr>
            <w:tcW w:w="500" w:type="dxa"/>
            <w:tcBorders>
              <w:tl2br w:val="nil"/>
              <w:tr2bl w:val="nil"/>
            </w:tcBorders>
            <w:shd w:val="clear" w:color="auto" w:fill="auto"/>
            <w:tcMar>
              <w:top w:w="15" w:type="dxa"/>
              <w:left w:w="15" w:type="dxa"/>
              <w:right w:w="15" w:type="dxa"/>
            </w:tcMar>
            <w:vAlign w:val="center"/>
          </w:tcPr>
          <w:p w14:paraId="6126982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22</w:t>
            </w:r>
          </w:p>
        </w:tc>
        <w:tc>
          <w:tcPr>
            <w:tcW w:w="906" w:type="dxa"/>
            <w:tcBorders>
              <w:tl2br w:val="nil"/>
              <w:tr2bl w:val="nil"/>
            </w:tcBorders>
            <w:shd w:val="clear" w:color="auto" w:fill="auto"/>
            <w:tcMar>
              <w:top w:w="15" w:type="dxa"/>
              <w:left w:w="15" w:type="dxa"/>
              <w:right w:w="15" w:type="dxa"/>
            </w:tcMar>
            <w:vAlign w:val="center"/>
          </w:tcPr>
          <w:p w14:paraId="4B682F6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heme="minorEastAsia" w:hAnsiTheme="minorEastAsia" w:eastAsiaTheme="minorEastAsia" w:cstheme="minorEastAsia"/>
                <w:b w:val="0"/>
                <w:bCs w:val="0"/>
                <w:i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t>“个转企”激励奖补</w:t>
            </w:r>
          </w:p>
        </w:tc>
        <w:tc>
          <w:tcPr>
            <w:tcW w:w="3227" w:type="dxa"/>
            <w:tcBorders>
              <w:tl2br w:val="nil"/>
              <w:tr2bl w:val="nil"/>
            </w:tcBorders>
            <w:shd w:val="clear" w:color="auto" w:fill="auto"/>
            <w:tcMar>
              <w:top w:w="15" w:type="dxa"/>
              <w:left w:w="15" w:type="dxa"/>
              <w:right w:w="15" w:type="dxa"/>
            </w:tcMar>
            <w:vAlign w:val="center"/>
          </w:tcPr>
          <w:p w14:paraId="45D8052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成立时间1年以上、达到小微企业划型标准或小规模纳税人标准的个体工商户，转型为有限责任公司的，按照每户0.8万元标准（含统筹省级激励奖补资金）进行激励奖补。</w:t>
            </w:r>
          </w:p>
        </w:tc>
        <w:tc>
          <w:tcPr>
            <w:tcW w:w="2334" w:type="dxa"/>
            <w:tcBorders>
              <w:tl2br w:val="nil"/>
              <w:tr2bl w:val="nil"/>
            </w:tcBorders>
            <w:shd w:val="clear" w:color="auto" w:fill="auto"/>
            <w:tcMar>
              <w:top w:w="15" w:type="dxa"/>
              <w:left w:w="15" w:type="dxa"/>
              <w:right w:w="15" w:type="dxa"/>
            </w:tcMar>
            <w:vAlign w:val="center"/>
          </w:tcPr>
          <w:p w14:paraId="116EF1C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广安市人民政府办公室关于印发《广安市关于推动经济持续回升向好的若干政策措施》的通知（广安府办规〔2024〕4号）</w:t>
            </w:r>
          </w:p>
        </w:tc>
        <w:tc>
          <w:tcPr>
            <w:tcW w:w="770" w:type="dxa"/>
            <w:tcBorders>
              <w:tl2br w:val="nil"/>
              <w:tr2bl w:val="nil"/>
            </w:tcBorders>
            <w:shd w:val="clear" w:color="auto" w:fill="auto"/>
            <w:tcMar>
              <w:top w:w="15" w:type="dxa"/>
              <w:left w:w="15" w:type="dxa"/>
              <w:right w:w="15" w:type="dxa"/>
            </w:tcMar>
            <w:vAlign w:val="center"/>
          </w:tcPr>
          <w:p w14:paraId="67FA7BA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奖补类</w:t>
            </w:r>
          </w:p>
        </w:tc>
        <w:tc>
          <w:tcPr>
            <w:tcW w:w="770" w:type="dxa"/>
            <w:tcBorders>
              <w:tl2br w:val="nil"/>
              <w:tr2bl w:val="nil"/>
            </w:tcBorders>
            <w:shd w:val="clear" w:color="auto" w:fill="auto"/>
            <w:tcMar>
              <w:top w:w="15" w:type="dxa"/>
              <w:left w:w="15" w:type="dxa"/>
              <w:right w:w="15" w:type="dxa"/>
            </w:tcMar>
            <w:vAlign w:val="center"/>
          </w:tcPr>
          <w:p w14:paraId="7E5FA1C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770" w:type="dxa"/>
            <w:tcBorders>
              <w:tl2br w:val="nil"/>
              <w:tr2bl w:val="nil"/>
            </w:tcBorders>
            <w:shd w:val="clear" w:color="auto" w:fill="auto"/>
            <w:tcMar>
              <w:top w:w="15" w:type="dxa"/>
              <w:left w:w="15" w:type="dxa"/>
              <w:right w:w="15" w:type="dxa"/>
            </w:tcMar>
            <w:vAlign w:val="center"/>
          </w:tcPr>
          <w:p w14:paraId="206183E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888" w:type="dxa"/>
            <w:tcBorders>
              <w:tl2br w:val="nil"/>
              <w:tr2bl w:val="nil"/>
            </w:tcBorders>
            <w:shd w:val="clear" w:color="auto" w:fill="auto"/>
            <w:tcMar>
              <w:top w:w="15" w:type="dxa"/>
              <w:left w:w="15" w:type="dxa"/>
              <w:right w:w="15" w:type="dxa"/>
            </w:tcMar>
            <w:vAlign w:val="center"/>
          </w:tcPr>
          <w:p w14:paraId="6A46080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2E25B65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市经济信息化局</w:t>
            </w:r>
          </w:p>
        </w:tc>
        <w:tc>
          <w:tcPr>
            <w:tcW w:w="1085" w:type="dxa"/>
            <w:tcBorders>
              <w:tl2br w:val="nil"/>
              <w:tr2bl w:val="nil"/>
            </w:tcBorders>
            <w:shd w:val="clear" w:color="auto" w:fill="auto"/>
            <w:tcMar>
              <w:top w:w="15" w:type="dxa"/>
              <w:left w:w="15" w:type="dxa"/>
              <w:right w:w="15" w:type="dxa"/>
            </w:tcMar>
            <w:vAlign w:val="center"/>
          </w:tcPr>
          <w:p w14:paraId="681EC67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sz w:val="20"/>
                <w:szCs w:val="20"/>
                <w:u w:val="none"/>
                <w:lang w:val="en-US" w:eastAsia="zh-CN"/>
                <w14:textFill>
                  <w14:solidFill>
                    <w14:schemeClr w14:val="tx1"/>
                  </w14:solidFill>
                </w14:textFill>
              </w:rPr>
              <w:t>成立时间1年以上、达到小微企业划型标准或小规模纳税人标准的个体工商户</w:t>
            </w:r>
          </w:p>
        </w:tc>
        <w:tc>
          <w:tcPr>
            <w:tcW w:w="705" w:type="dxa"/>
            <w:tcBorders>
              <w:tl2br w:val="nil"/>
              <w:tr2bl w:val="nil"/>
            </w:tcBorders>
            <w:shd w:val="clear" w:color="auto" w:fill="auto"/>
            <w:tcMar>
              <w:top w:w="15" w:type="dxa"/>
              <w:left w:w="15" w:type="dxa"/>
              <w:right w:w="15" w:type="dxa"/>
            </w:tcMar>
            <w:vAlign w:val="center"/>
          </w:tcPr>
          <w:p w14:paraId="460344A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sz w:val="20"/>
                <w:szCs w:val="20"/>
                <w:u w:val="none"/>
                <w:lang w:eastAsia="zh-CN"/>
                <w14:textFill>
                  <w14:solidFill>
                    <w14:schemeClr w14:val="tx1"/>
                  </w14:solidFill>
                </w14:textFill>
              </w:rPr>
              <w:t>免申即享</w:t>
            </w:r>
          </w:p>
        </w:tc>
        <w:tc>
          <w:tcPr>
            <w:tcW w:w="1171" w:type="dxa"/>
            <w:tcBorders>
              <w:tl2br w:val="nil"/>
              <w:tr2bl w:val="nil"/>
            </w:tcBorders>
            <w:shd w:val="clear" w:color="auto" w:fill="auto"/>
            <w:tcMar>
              <w:top w:w="15" w:type="dxa"/>
              <w:left w:w="15" w:type="dxa"/>
              <w:right w:w="15" w:type="dxa"/>
            </w:tcMar>
            <w:vAlign w:val="center"/>
          </w:tcPr>
          <w:p w14:paraId="3F13D6A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省级激励奖补资金到位后30日内</w:t>
            </w:r>
          </w:p>
        </w:tc>
        <w:tc>
          <w:tcPr>
            <w:tcW w:w="1095" w:type="dxa"/>
            <w:tcBorders>
              <w:tl2br w:val="nil"/>
              <w:tr2bl w:val="nil"/>
            </w:tcBorders>
            <w:shd w:val="clear" w:color="auto" w:fill="auto"/>
            <w:tcMar>
              <w:top w:w="15" w:type="dxa"/>
              <w:left w:w="15" w:type="dxa"/>
              <w:right w:w="15" w:type="dxa"/>
            </w:tcMar>
            <w:vAlign w:val="center"/>
          </w:tcPr>
          <w:p w14:paraId="32619A6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sz w:val="20"/>
                <w:szCs w:val="20"/>
                <w:u w:val="none"/>
                <w:lang w:val="en-US" w:eastAsia="zh-CN"/>
                <w14:textFill>
                  <w14:solidFill>
                    <w14:schemeClr w14:val="tx1"/>
                  </w14:solidFill>
                </w14:textFill>
              </w:rPr>
              <w:t>2025年1月1日-2025年12月31日</w:t>
            </w:r>
          </w:p>
        </w:tc>
      </w:tr>
      <w:tr w14:paraId="1D0F8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00" w:type="dxa"/>
            <w:tcBorders>
              <w:tl2br w:val="nil"/>
              <w:tr2bl w:val="nil"/>
            </w:tcBorders>
            <w:shd w:val="clear" w:color="auto" w:fill="auto"/>
            <w:tcMar>
              <w:top w:w="15" w:type="dxa"/>
              <w:left w:w="15" w:type="dxa"/>
              <w:right w:w="15" w:type="dxa"/>
            </w:tcMar>
            <w:vAlign w:val="center"/>
          </w:tcPr>
          <w:p w14:paraId="6BC9C8D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sz w:val="20"/>
                <w:szCs w:val="20"/>
                <w:u w:val="none"/>
                <w:lang w:val="en-US" w:eastAsia="zh-CN"/>
              </w:rPr>
            </w:pPr>
            <w:r>
              <w:rPr>
                <w:rFonts w:hint="default" w:ascii="Times New Roman" w:hAnsi="Times New Roman" w:eastAsia="宋体" w:cs="Times New Roman"/>
                <w:b w:val="0"/>
                <w:bCs w:val="0"/>
                <w:i w:val="0"/>
                <w:color w:val="auto"/>
                <w:sz w:val="20"/>
                <w:szCs w:val="20"/>
                <w:u w:val="none"/>
                <w:lang w:val="en-US" w:eastAsia="zh-CN"/>
              </w:rPr>
              <w:t>23</w:t>
            </w:r>
          </w:p>
        </w:tc>
        <w:tc>
          <w:tcPr>
            <w:tcW w:w="906" w:type="dxa"/>
            <w:tcBorders>
              <w:tl2br w:val="nil"/>
              <w:tr2bl w:val="nil"/>
            </w:tcBorders>
            <w:shd w:val="clear" w:color="auto" w:fill="auto"/>
            <w:tcMar>
              <w:top w:w="15" w:type="dxa"/>
              <w:left w:w="15" w:type="dxa"/>
              <w:right w:w="15" w:type="dxa"/>
            </w:tcMar>
            <w:vAlign w:val="center"/>
          </w:tcPr>
          <w:p w14:paraId="1BC5A84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heme="minorEastAsia" w:hAnsiTheme="minorEastAsia" w:eastAsiaTheme="minorEastAsia" w:cstheme="minorEastAsia"/>
                <w:b w:val="0"/>
                <w:bCs w:val="0"/>
                <w:i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t>工业企业“小升规”激励奖补</w:t>
            </w:r>
          </w:p>
        </w:tc>
        <w:tc>
          <w:tcPr>
            <w:tcW w:w="3227" w:type="dxa"/>
            <w:tcBorders>
              <w:tl2br w:val="nil"/>
              <w:tr2bl w:val="nil"/>
            </w:tcBorders>
            <w:shd w:val="clear" w:color="auto" w:fill="auto"/>
            <w:tcMar>
              <w:top w:w="15" w:type="dxa"/>
              <w:left w:w="15" w:type="dxa"/>
              <w:right w:w="15" w:type="dxa"/>
            </w:tcMar>
            <w:vAlign w:val="center"/>
          </w:tcPr>
          <w:p w14:paraId="42EE894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工业企业首次由小微企业升级为规上企业的，按升规时间在一季度、二季度、三季度、四季度每户给予20万元、15万元、10万元、8万元激励。</w:t>
            </w:r>
          </w:p>
        </w:tc>
        <w:tc>
          <w:tcPr>
            <w:tcW w:w="2334" w:type="dxa"/>
            <w:tcBorders>
              <w:tl2br w:val="nil"/>
              <w:tr2bl w:val="nil"/>
            </w:tcBorders>
            <w:shd w:val="clear" w:color="auto" w:fill="auto"/>
            <w:tcMar>
              <w:top w:w="15" w:type="dxa"/>
              <w:left w:w="15" w:type="dxa"/>
              <w:right w:w="15" w:type="dxa"/>
            </w:tcMar>
            <w:vAlign w:val="center"/>
          </w:tcPr>
          <w:p w14:paraId="6168248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广安市人民政府办公室关于印发</w:t>
            </w:r>
            <w:r>
              <w:rPr>
                <w:rFonts w:hint="eastAsia" w:ascii="Times New Roman" w:hAnsi="Times New Roman" w:eastAsia="宋体" w:cs="Times New Roman"/>
                <w:b w:val="0"/>
                <w:bCs w:val="0"/>
                <w:i w:val="0"/>
                <w:color w:val="000000"/>
                <w:kern w:val="0"/>
                <w:sz w:val="20"/>
                <w:szCs w:val="20"/>
                <w:u w:val="none"/>
                <w:lang w:val="en-US" w:eastAsia="zh-CN" w:bidi="ar"/>
              </w:rPr>
              <w:t>《</w:t>
            </w:r>
            <w:r>
              <w:rPr>
                <w:rFonts w:hint="default" w:ascii="Times New Roman" w:hAnsi="Times New Roman" w:eastAsia="宋体" w:cs="Times New Roman"/>
                <w:b w:val="0"/>
                <w:bCs w:val="0"/>
                <w:i w:val="0"/>
                <w:color w:val="000000"/>
                <w:kern w:val="0"/>
                <w:sz w:val="20"/>
                <w:szCs w:val="20"/>
                <w:u w:val="none"/>
                <w:lang w:val="en-US" w:eastAsia="zh-CN" w:bidi="ar"/>
              </w:rPr>
              <w:t>广安市关于推动经济持续回升向好的若干政策措施》的通知（广安府办规〔2024〕4号）</w:t>
            </w:r>
          </w:p>
        </w:tc>
        <w:tc>
          <w:tcPr>
            <w:tcW w:w="770" w:type="dxa"/>
            <w:tcBorders>
              <w:tl2br w:val="nil"/>
              <w:tr2bl w:val="nil"/>
            </w:tcBorders>
            <w:shd w:val="clear" w:color="auto" w:fill="auto"/>
            <w:tcMar>
              <w:top w:w="15" w:type="dxa"/>
              <w:left w:w="15" w:type="dxa"/>
              <w:right w:w="15" w:type="dxa"/>
            </w:tcMar>
            <w:vAlign w:val="center"/>
          </w:tcPr>
          <w:p w14:paraId="3A97BE8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奖补类</w:t>
            </w:r>
          </w:p>
        </w:tc>
        <w:tc>
          <w:tcPr>
            <w:tcW w:w="770" w:type="dxa"/>
            <w:tcBorders>
              <w:tl2br w:val="nil"/>
              <w:tr2bl w:val="nil"/>
            </w:tcBorders>
            <w:shd w:val="clear" w:color="auto" w:fill="auto"/>
            <w:tcMar>
              <w:top w:w="15" w:type="dxa"/>
              <w:left w:w="15" w:type="dxa"/>
              <w:right w:w="15" w:type="dxa"/>
            </w:tcMar>
            <w:vAlign w:val="center"/>
          </w:tcPr>
          <w:p w14:paraId="7A3550C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770" w:type="dxa"/>
            <w:tcBorders>
              <w:tl2br w:val="nil"/>
              <w:tr2bl w:val="nil"/>
            </w:tcBorders>
            <w:shd w:val="clear" w:color="auto" w:fill="auto"/>
            <w:tcMar>
              <w:top w:w="15" w:type="dxa"/>
              <w:left w:w="15" w:type="dxa"/>
              <w:right w:w="15" w:type="dxa"/>
            </w:tcMar>
            <w:vAlign w:val="center"/>
          </w:tcPr>
          <w:p w14:paraId="6923F19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888" w:type="dxa"/>
            <w:tcBorders>
              <w:tl2br w:val="nil"/>
              <w:tr2bl w:val="nil"/>
            </w:tcBorders>
            <w:shd w:val="clear" w:color="auto" w:fill="auto"/>
            <w:tcMar>
              <w:top w:w="15" w:type="dxa"/>
              <w:left w:w="15" w:type="dxa"/>
              <w:right w:w="15" w:type="dxa"/>
            </w:tcMar>
            <w:vAlign w:val="center"/>
          </w:tcPr>
          <w:p w14:paraId="53B1F3E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5E818DD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市经济</w:t>
            </w:r>
          </w:p>
          <w:p w14:paraId="7A9AC87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信息化局</w:t>
            </w:r>
          </w:p>
        </w:tc>
        <w:tc>
          <w:tcPr>
            <w:tcW w:w="1085" w:type="dxa"/>
            <w:tcBorders>
              <w:tl2br w:val="nil"/>
              <w:tr2bl w:val="nil"/>
            </w:tcBorders>
            <w:shd w:val="clear" w:color="auto" w:fill="auto"/>
            <w:tcMar>
              <w:top w:w="15" w:type="dxa"/>
              <w:left w:w="15" w:type="dxa"/>
              <w:right w:w="15" w:type="dxa"/>
            </w:tcMar>
            <w:vAlign w:val="center"/>
          </w:tcPr>
          <w:p w14:paraId="033120C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新培育的规上工业企业</w:t>
            </w:r>
          </w:p>
        </w:tc>
        <w:tc>
          <w:tcPr>
            <w:tcW w:w="705" w:type="dxa"/>
            <w:tcBorders>
              <w:tl2br w:val="nil"/>
              <w:tr2bl w:val="nil"/>
            </w:tcBorders>
            <w:shd w:val="clear" w:color="auto" w:fill="auto"/>
            <w:tcMar>
              <w:top w:w="15" w:type="dxa"/>
              <w:left w:w="15" w:type="dxa"/>
              <w:right w:w="15" w:type="dxa"/>
            </w:tcMar>
            <w:vAlign w:val="center"/>
          </w:tcPr>
          <w:p w14:paraId="3CF191E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免申</w:t>
            </w:r>
          </w:p>
          <w:p w14:paraId="61EF4E3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即享</w:t>
            </w:r>
          </w:p>
        </w:tc>
        <w:tc>
          <w:tcPr>
            <w:tcW w:w="1171" w:type="dxa"/>
            <w:tcBorders>
              <w:tl2br w:val="nil"/>
              <w:tr2bl w:val="nil"/>
            </w:tcBorders>
            <w:shd w:val="clear" w:color="auto" w:fill="auto"/>
            <w:tcMar>
              <w:top w:w="15" w:type="dxa"/>
              <w:left w:w="15" w:type="dxa"/>
              <w:right w:w="15" w:type="dxa"/>
            </w:tcMar>
            <w:vAlign w:val="center"/>
          </w:tcPr>
          <w:p w14:paraId="263B19C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w:t>
            </w:r>
          </w:p>
        </w:tc>
        <w:tc>
          <w:tcPr>
            <w:tcW w:w="1095" w:type="dxa"/>
            <w:tcBorders>
              <w:tl2br w:val="nil"/>
              <w:tr2bl w:val="nil"/>
            </w:tcBorders>
            <w:shd w:val="clear" w:color="auto" w:fill="auto"/>
            <w:tcMar>
              <w:top w:w="15" w:type="dxa"/>
              <w:left w:w="15" w:type="dxa"/>
              <w:right w:w="15" w:type="dxa"/>
            </w:tcMar>
            <w:vAlign w:val="center"/>
          </w:tcPr>
          <w:p w14:paraId="40649AF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000000" w:themeColor="text1"/>
                <w:sz w:val="20"/>
                <w:szCs w:val="20"/>
                <w:u w:val="none"/>
                <w:lang w:val="en-US" w:eastAsia="zh-CN"/>
                <w14:textFill>
                  <w14:solidFill>
                    <w14:schemeClr w14:val="tx1"/>
                  </w14:solidFill>
                </w14:textFill>
              </w:rPr>
              <w:t>2025年1月1日-2025年12月31日</w:t>
            </w:r>
          </w:p>
        </w:tc>
      </w:tr>
      <w:tr w14:paraId="176DC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jc w:val="center"/>
        </w:trPr>
        <w:tc>
          <w:tcPr>
            <w:tcW w:w="500" w:type="dxa"/>
            <w:tcBorders>
              <w:tl2br w:val="nil"/>
              <w:tr2bl w:val="nil"/>
            </w:tcBorders>
            <w:shd w:val="clear" w:color="auto" w:fill="auto"/>
            <w:tcMar>
              <w:top w:w="15" w:type="dxa"/>
              <w:left w:w="15" w:type="dxa"/>
              <w:right w:w="15" w:type="dxa"/>
            </w:tcMar>
            <w:vAlign w:val="center"/>
          </w:tcPr>
          <w:p w14:paraId="48B0409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sz w:val="20"/>
                <w:szCs w:val="20"/>
                <w:u w:val="none"/>
                <w:lang w:val="en-US" w:eastAsia="zh-CN"/>
              </w:rPr>
            </w:pPr>
            <w:r>
              <w:rPr>
                <w:rFonts w:hint="default" w:ascii="Times New Roman" w:hAnsi="Times New Roman" w:eastAsia="宋体" w:cs="Times New Roman"/>
                <w:b w:val="0"/>
                <w:bCs w:val="0"/>
                <w:i w:val="0"/>
                <w:color w:val="auto"/>
                <w:sz w:val="20"/>
                <w:szCs w:val="20"/>
                <w:u w:val="none"/>
                <w:lang w:val="en-US" w:eastAsia="zh-CN"/>
              </w:rPr>
              <w:t>24</w:t>
            </w:r>
          </w:p>
        </w:tc>
        <w:tc>
          <w:tcPr>
            <w:tcW w:w="906" w:type="dxa"/>
            <w:tcBorders>
              <w:tl2br w:val="nil"/>
              <w:tr2bl w:val="nil"/>
            </w:tcBorders>
            <w:shd w:val="clear" w:color="auto" w:fill="auto"/>
            <w:tcMar>
              <w:top w:w="15" w:type="dxa"/>
              <w:left w:w="15" w:type="dxa"/>
              <w:right w:w="15" w:type="dxa"/>
            </w:tcMar>
            <w:vAlign w:val="center"/>
          </w:tcPr>
          <w:p w14:paraId="5C38AC3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heme="minorEastAsia" w:hAnsiTheme="minorEastAsia" w:eastAsiaTheme="minorEastAsia" w:cstheme="minorEastAsia"/>
                <w:b w:val="0"/>
                <w:bCs w:val="0"/>
                <w:i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b w:val="0"/>
                <w:bCs w:val="0"/>
                <w:i w:val="0"/>
                <w:color w:val="auto"/>
                <w:kern w:val="0"/>
                <w:sz w:val="20"/>
                <w:szCs w:val="20"/>
                <w:u w:val="none"/>
                <w:lang w:val="en-US" w:eastAsia="zh-CN" w:bidi="ar"/>
              </w:rPr>
              <w:t>支持数字化转型</w:t>
            </w:r>
          </w:p>
        </w:tc>
        <w:tc>
          <w:tcPr>
            <w:tcW w:w="3227" w:type="dxa"/>
            <w:tcBorders>
              <w:tl2br w:val="nil"/>
              <w:tr2bl w:val="nil"/>
            </w:tcBorders>
            <w:shd w:val="clear" w:color="auto" w:fill="auto"/>
            <w:tcMar>
              <w:top w:w="15" w:type="dxa"/>
              <w:left w:w="15" w:type="dxa"/>
              <w:right w:w="15" w:type="dxa"/>
            </w:tcMar>
            <w:vAlign w:val="center"/>
          </w:tcPr>
          <w:p w14:paraId="7EC77C8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auto"/>
                <w:spacing w:val="-6"/>
                <w:kern w:val="0"/>
                <w:sz w:val="20"/>
                <w:szCs w:val="20"/>
                <w:u w:val="none"/>
                <w:lang w:val="en" w:eastAsia="zh-CN" w:bidi="ar"/>
              </w:rPr>
              <w:t>对实施以设备换芯、生产换线、机器换人等为主要内容且总投资额在</w:t>
            </w:r>
            <w:r>
              <w:rPr>
                <w:rFonts w:hint="eastAsia" w:ascii="Times New Roman" w:hAnsi="Times New Roman" w:eastAsia="宋体" w:cs="Times New Roman"/>
                <w:b w:val="0"/>
                <w:bCs w:val="0"/>
                <w:i w:val="0"/>
                <w:color w:val="auto"/>
                <w:spacing w:val="-6"/>
                <w:kern w:val="0"/>
                <w:sz w:val="20"/>
                <w:szCs w:val="20"/>
                <w:u w:val="none"/>
                <w:lang w:val="en-US" w:eastAsia="zh-CN" w:bidi="ar"/>
              </w:rPr>
              <w:t>300</w:t>
            </w:r>
            <w:r>
              <w:rPr>
                <w:rFonts w:hint="eastAsia" w:ascii="Times New Roman" w:hAnsi="Times New Roman" w:eastAsia="宋体" w:cs="Times New Roman"/>
                <w:b w:val="0"/>
                <w:bCs w:val="0"/>
                <w:i w:val="0"/>
                <w:color w:val="auto"/>
                <w:spacing w:val="-6"/>
                <w:kern w:val="0"/>
                <w:sz w:val="20"/>
                <w:szCs w:val="20"/>
                <w:u w:val="none"/>
                <w:lang w:val="en" w:eastAsia="zh-CN" w:bidi="ar"/>
              </w:rPr>
              <w:t>万元以上的数字化智能化技术改造项目，按其购买智能设备（含软件）支出额（不含税）的5%给予奖励，单户奖励不超过</w:t>
            </w:r>
            <w:r>
              <w:rPr>
                <w:rFonts w:hint="eastAsia" w:ascii="Times New Roman" w:hAnsi="Times New Roman" w:eastAsia="宋体" w:cs="Times New Roman"/>
                <w:b w:val="0"/>
                <w:bCs w:val="0"/>
                <w:i w:val="0"/>
                <w:color w:val="auto"/>
                <w:spacing w:val="-6"/>
                <w:kern w:val="0"/>
                <w:sz w:val="20"/>
                <w:szCs w:val="20"/>
                <w:u w:val="none"/>
                <w:lang w:val="en-US" w:eastAsia="zh-CN" w:bidi="ar"/>
              </w:rPr>
              <w:t>3</w:t>
            </w:r>
            <w:r>
              <w:rPr>
                <w:rFonts w:hint="eastAsia" w:ascii="Times New Roman" w:hAnsi="Times New Roman" w:eastAsia="宋体" w:cs="Times New Roman"/>
                <w:b w:val="0"/>
                <w:bCs w:val="0"/>
                <w:i w:val="0"/>
                <w:color w:val="auto"/>
                <w:spacing w:val="-6"/>
                <w:kern w:val="0"/>
                <w:sz w:val="20"/>
                <w:szCs w:val="20"/>
                <w:u w:val="none"/>
                <w:lang w:val="en" w:eastAsia="zh-CN" w:bidi="ar"/>
              </w:rPr>
              <w:t>00万元。对新获批的国家级、省级跨行业跨领域工业互联网平台、工业互联网试点示范、数字领航企业、智能制造示范工厂、智能制造优秀场景、绿色工厂、绿色供应链等支撑项目，分别一次性奖励</w:t>
            </w:r>
            <w:r>
              <w:rPr>
                <w:rFonts w:hint="eastAsia" w:ascii="Times New Roman" w:hAnsi="Times New Roman" w:eastAsia="宋体" w:cs="Times New Roman"/>
                <w:b w:val="0"/>
                <w:bCs w:val="0"/>
                <w:i w:val="0"/>
                <w:color w:val="auto"/>
                <w:spacing w:val="-6"/>
                <w:kern w:val="0"/>
                <w:sz w:val="20"/>
                <w:szCs w:val="20"/>
                <w:u w:val="none"/>
                <w:lang w:val="en-US" w:eastAsia="zh-CN" w:bidi="ar"/>
              </w:rPr>
              <w:t>200万元、50万元。</w:t>
            </w:r>
            <w:r>
              <w:rPr>
                <w:rFonts w:hint="eastAsia" w:ascii="Times New Roman" w:hAnsi="Times New Roman" w:eastAsia="宋体" w:cs="Times New Roman"/>
                <w:b w:val="0"/>
                <w:bCs w:val="0"/>
                <w:i w:val="0"/>
                <w:color w:val="auto"/>
                <w:spacing w:val="-6"/>
                <w:kern w:val="0"/>
                <w:sz w:val="20"/>
                <w:szCs w:val="20"/>
                <w:u w:val="none"/>
                <w:lang w:val="en" w:eastAsia="zh-CN" w:bidi="ar"/>
              </w:rPr>
              <w:t>对新创建的国家级、省级制造业数字化转型促进中心，分别一次性奖励</w:t>
            </w:r>
            <w:r>
              <w:rPr>
                <w:rFonts w:hint="eastAsia" w:ascii="Times New Roman" w:hAnsi="Times New Roman" w:eastAsia="宋体" w:cs="Times New Roman"/>
                <w:b w:val="0"/>
                <w:bCs w:val="0"/>
                <w:i w:val="0"/>
                <w:color w:val="auto"/>
                <w:spacing w:val="-6"/>
                <w:kern w:val="0"/>
                <w:sz w:val="20"/>
                <w:szCs w:val="20"/>
                <w:u w:val="none"/>
                <w:lang w:val="en-US" w:eastAsia="zh-CN" w:bidi="ar"/>
              </w:rPr>
              <w:t>500万元、200万元。</w:t>
            </w:r>
          </w:p>
        </w:tc>
        <w:tc>
          <w:tcPr>
            <w:tcW w:w="2334" w:type="dxa"/>
            <w:tcBorders>
              <w:tl2br w:val="nil"/>
              <w:tr2bl w:val="nil"/>
            </w:tcBorders>
            <w:shd w:val="clear" w:color="auto" w:fill="auto"/>
            <w:tcMar>
              <w:top w:w="15" w:type="dxa"/>
              <w:left w:w="15" w:type="dxa"/>
              <w:right w:w="15" w:type="dxa"/>
            </w:tcMar>
            <w:vAlign w:val="center"/>
          </w:tcPr>
          <w:p w14:paraId="69253F7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广安市产业支持领导小组关于印发《广安市培育“331”现代工业产业体系加快建设重庆都市圈北部制造业副中心支持政策》的通知 （广市产业〔2024〕1号）</w:t>
            </w:r>
          </w:p>
        </w:tc>
        <w:tc>
          <w:tcPr>
            <w:tcW w:w="770" w:type="dxa"/>
            <w:tcBorders>
              <w:tl2br w:val="nil"/>
              <w:tr2bl w:val="nil"/>
            </w:tcBorders>
            <w:shd w:val="clear" w:color="auto" w:fill="auto"/>
            <w:tcMar>
              <w:top w:w="15" w:type="dxa"/>
              <w:left w:w="15" w:type="dxa"/>
              <w:right w:w="15" w:type="dxa"/>
            </w:tcMar>
            <w:vAlign w:val="center"/>
          </w:tcPr>
          <w:p w14:paraId="5A46454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auto"/>
                <w:kern w:val="0"/>
                <w:sz w:val="20"/>
                <w:szCs w:val="20"/>
                <w:u w:val="none"/>
                <w:lang w:val="en-US" w:eastAsia="zh-CN" w:bidi="ar"/>
              </w:rPr>
              <w:t>奖补类</w:t>
            </w:r>
          </w:p>
        </w:tc>
        <w:tc>
          <w:tcPr>
            <w:tcW w:w="770" w:type="dxa"/>
            <w:tcBorders>
              <w:tl2br w:val="nil"/>
              <w:tr2bl w:val="nil"/>
            </w:tcBorders>
            <w:shd w:val="clear" w:color="auto" w:fill="auto"/>
            <w:tcMar>
              <w:top w:w="15" w:type="dxa"/>
              <w:left w:w="15" w:type="dxa"/>
              <w:right w:w="15" w:type="dxa"/>
            </w:tcMar>
            <w:vAlign w:val="center"/>
          </w:tcPr>
          <w:p w14:paraId="2D0FD92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auto"/>
                <w:kern w:val="0"/>
                <w:sz w:val="20"/>
                <w:szCs w:val="20"/>
                <w:u w:val="none"/>
                <w:lang w:val="en-US" w:eastAsia="zh-CN" w:bidi="ar"/>
              </w:rPr>
              <w:t>广安市</w:t>
            </w:r>
          </w:p>
        </w:tc>
        <w:tc>
          <w:tcPr>
            <w:tcW w:w="770" w:type="dxa"/>
            <w:tcBorders>
              <w:tl2br w:val="nil"/>
              <w:tr2bl w:val="nil"/>
            </w:tcBorders>
            <w:shd w:val="clear" w:color="auto" w:fill="auto"/>
            <w:tcMar>
              <w:top w:w="15" w:type="dxa"/>
              <w:left w:w="15" w:type="dxa"/>
              <w:right w:w="15" w:type="dxa"/>
            </w:tcMar>
            <w:vAlign w:val="center"/>
          </w:tcPr>
          <w:p w14:paraId="0B64F62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auto"/>
                <w:kern w:val="0"/>
                <w:sz w:val="20"/>
                <w:szCs w:val="20"/>
                <w:u w:val="none"/>
                <w:lang w:val="en-US" w:eastAsia="zh-CN" w:bidi="ar"/>
              </w:rPr>
              <w:t>广安市</w:t>
            </w:r>
          </w:p>
        </w:tc>
        <w:tc>
          <w:tcPr>
            <w:tcW w:w="888" w:type="dxa"/>
            <w:tcBorders>
              <w:tl2br w:val="nil"/>
              <w:tr2bl w:val="nil"/>
            </w:tcBorders>
            <w:shd w:val="clear" w:color="auto" w:fill="auto"/>
            <w:tcMar>
              <w:top w:w="15" w:type="dxa"/>
              <w:left w:w="15" w:type="dxa"/>
              <w:right w:w="15" w:type="dxa"/>
            </w:tcMar>
            <w:vAlign w:val="center"/>
          </w:tcPr>
          <w:p w14:paraId="51D41C4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auto"/>
                <w:kern w:val="0"/>
                <w:sz w:val="20"/>
                <w:szCs w:val="20"/>
                <w:u w:val="none"/>
                <w:lang w:val="en-US" w:eastAsia="zh-CN" w:bidi="ar"/>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60BC68E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市经济</w:t>
            </w:r>
          </w:p>
          <w:p w14:paraId="35B99D7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auto"/>
                <w:kern w:val="0"/>
                <w:sz w:val="20"/>
                <w:szCs w:val="20"/>
                <w:u w:val="none"/>
                <w:lang w:val="en-US" w:eastAsia="zh-CN" w:bidi="ar"/>
              </w:rPr>
              <w:t>信息化局</w:t>
            </w:r>
          </w:p>
        </w:tc>
        <w:tc>
          <w:tcPr>
            <w:tcW w:w="1085" w:type="dxa"/>
            <w:tcBorders>
              <w:tl2br w:val="nil"/>
              <w:tr2bl w:val="nil"/>
            </w:tcBorders>
            <w:shd w:val="clear" w:color="auto" w:fill="auto"/>
            <w:tcMar>
              <w:top w:w="15" w:type="dxa"/>
              <w:left w:w="15" w:type="dxa"/>
              <w:right w:w="15" w:type="dxa"/>
            </w:tcMar>
            <w:vAlign w:val="center"/>
          </w:tcPr>
          <w:p w14:paraId="1835D8B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auto"/>
                <w:kern w:val="0"/>
                <w:sz w:val="20"/>
                <w:szCs w:val="20"/>
                <w:u w:val="none"/>
                <w:lang w:val="en-US" w:eastAsia="zh-CN" w:bidi="ar"/>
              </w:rPr>
              <w:t>符合条件的企业</w:t>
            </w:r>
          </w:p>
        </w:tc>
        <w:tc>
          <w:tcPr>
            <w:tcW w:w="705" w:type="dxa"/>
            <w:tcBorders>
              <w:tl2br w:val="nil"/>
              <w:tr2bl w:val="nil"/>
            </w:tcBorders>
            <w:shd w:val="clear" w:color="auto" w:fill="auto"/>
            <w:tcMar>
              <w:top w:w="15" w:type="dxa"/>
              <w:left w:w="15" w:type="dxa"/>
              <w:right w:w="15" w:type="dxa"/>
            </w:tcMar>
            <w:vAlign w:val="center"/>
          </w:tcPr>
          <w:p w14:paraId="5CC176C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快审</w:t>
            </w:r>
          </w:p>
          <w:p w14:paraId="1D94102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auto"/>
                <w:kern w:val="0"/>
                <w:sz w:val="20"/>
                <w:szCs w:val="20"/>
                <w:u w:val="none"/>
                <w:lang w:val="en-US" w:eastAsia="zh-CN" w:bidi="ar"/>
              </w:rPr>
              <w:t>快享</w:t>
            </w:r>
          </w:p>
        </w:tc>
        <w:tc>
          <w:tcPr>
            <w:tcW w:w="1171" w:type="dxa"/>
            <w:tcBorders>
              <w:tl2br w:val="nil"/>
              <w:tr2bl w:val="nil"/>
            </w:tcBorders>
            <w:shd w:val="clear" w:color="auto" w:fill="auto"/>
            <w:tcMar>
              <w:top w:w="15" w:type="dxa"/>
              <w:left w:w="15" w:type="dxa"/>
              <w:right w:w="15" w:type="dxa"/>
            </w:tcMar>
            <w:vAlign w:val="center"/>
          </w:tcPr>
          <w:p w14:paraId="4708CBD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auto"/>
                <w:sz w:val="20"/>
                <w:szCs w:val="20"/>
                <w:u w:val="none"/>
                <w:lang w:val="en-US" w:eastAsia="zh-CN"/>
              </w:rPr>
              <w:t>核查验收后6个月内</w:t>
            </w:r>
          </w:p>
        </w:tc>
        <w:tc>
          <w:tcPr>
            <w:tcW w:w="1095" w:type="dxa"/>
            <w:tcBorders>
              <w:tl2br w:val="nil"/>
              <w:tr2bl w:val="nil"/>
            </w:tcBorders>
            <w:shd w:val="clear" w:color="auto" w:fill="auto"/>
            <w:tcMar>
              <w:top w:w="15" w:type="dxa"/>
              <w:left w:w="15" w:type="dxa"/>
              <w:right w:w="15" w:type="dxa"/>
            </w:tcMar>
            <w:vAlign w:val="center"/>
          </w:tcPr>
          <w:p w14:paraId="3178487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sz w:val="20"/>
                <w:szCs w:val="20"/>
                <w:u w:val="none"/>
                <w14:textFill>
                  <w14:solidFill>
                    <w14:schemeClr w14:val="tx1"/>
                  </w14:solidFill>
                </w14:textFill>
              </w:rPr>
            </w:pPr>
            <w:r>
              <w:rPr>
                <w:rFonts w:hint="default" w:ascii="Times New Roman" w:hAnsi="Times New Roman" w:eastAsia="宋体" w:cs="Times New Roman"/>
                <w:b w:val="0"/>
                <w:bCs w:val="0"/>
                <w:i w:val="0"/>
                <w:color w:val="auto"/>
                <w:kern w:val="0"/>
                <w:sz w:val="20"/>
                <w:szCs w:val="20"/>
                <w:u w:val="none"/>
                <w:lang w:val="en-US" w:eastAsia="zh-CN" w:bidi="ar"/>
              </w:rPr>
              <w:t>2023年9月27日至2025年12月31日</w:t>
            </w:r>
          </w:p>
        </w:tc>
      </w:tr>
      <w:tr w14:paraId="226C1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jc w:val="center"/>
        </w:trPr>
        <w:tc>
          <w:tcPr>
            <w:tcW w:w="500" w:type="dxa"/>
            <w:tcBorders>
              <w:tl2br w:val="nil"/>
              <w:tr2bl w:val="nil"/>
            </w:tcBorders>
            <w:shd w:val="clear" w:color="auto" w:fill="auto"/>
            <w:tcMar>
              <w:top w:w="15" w:type="dxa"/>
              <w:left w:w="15" w:type="dxa"/>
              <w:right w:w="15" w:type="dxa"/>
            </w:tcMar>
            <w:vAlign w:val="center"/>
          </w:tcPr>
          <w:p w14:paraId="425840B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25</w:t>
            </w:r>
          </w:p>
          <w:p w14:paraId="65A16BA4">
            <w:pPr>
              <w:pStyle w:val="2"/>
              <w:keepNext w:val="0"/>
              <w:keepLines w:val="0"/>
              <w:pageBreakBefore w:val="0"/>
              <w:kinsoku/>
              <w:wordWrap/>
              <w:overflowPunct/>
              <w:topLinePunct w:val="0"/>
              <w:autoSpaceDE/>
              <w:bidi w:val="0"/>
              <w:adjustRightInd/>
              <w:spacing w:line="270" w:lineRule="exact"/>
              <w:rPr>
                <w:rFonts w:hint="default" w:ascii="Times New Roman" w:hAnsi="Times New Roman" w:cs="Times New Roman"/>
                <w:color w:val="auto"/>
                <w:lang w:val="en-US" w:eastAsia="zh-CN"/>
              </w:rPr>
            </w:pPr>
          </w:p>
        </w:tc>
        <w:tc>
          <w:tcPr>
            <w:tcW w:w="906" w:type="dxa"/>
            <w:tcBorders>
              <w:tl2br w:val="nil"/>
              <w:tr2bl w:val="nil"/>
            </w:tcBorders>
            <w:shd w:val="clear" w:color="auto" w:fill="auto"/>
            <w:tcMar>
              <w:top w:w="15" w:type="dxa"/>
              <w:left w:w="15" w:type="dxa"/>
              <w:right w:w="15" w:type="dxa"/>
            </w:tcMar>
            <w:vAlign w:val="center"/>
          </w:tcPr>
          <w:p w14:paraId="1E580BB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0" w:leftChars="0" w:right="0" w:rightChars="0"/>
              <w:jc w:val="center"/>
              <w:textAlignment w:val="cente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t>支持市内企业创建国家，省级，市级企业技术中心</w:t>
            </w:r>
          </w:p>
        </w:tc>
        <w:tc>
          <w:tcPr>
            <w:tcW w:w="3227" w:type="dxa"/>
            <w:tcBorders>
              <w:tl2br w:val="nil"/>
              <w:tr2bl w:val="nil"/>
            </w:tcBorders>
            <w:shd w:val="clear" w:color="auto" w:fill="auto"/>
            <w:tcMar>
              <w:top w:w="15" w:type="dxa"/>
              <w:left w:w="15" w:type="dxa"/>
              <w:right w:w="15" w:type="dxa"/>
            </w:tcMar>
            <w:vAlign w:val="center"/>
          </w:tcPr>
          <w:p w14:paraId="1342114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对首次成功创建国家、省级、市级企业技术中心的，分别给予50万元、20万元、10万元奖补支持。</w:t>
            </w:r>
          </w:p>
        </w:tc>
        <w:tc>
          <w:tcPr>
            <w:tcW w:w="2334" w:type="dxa"/>
            <w:tcBorders>
              <w:tl2br w:val="nil"/>
              <w:tr2bl w:val="nil"/>
            </w:tcBorders>
            <w:shd w:val="clear" w:color="auto" w:fill="auto"/>
            <w:tcMar>
              <w:top w:w="15" w:type="dxa"/>
              <w:left w:w="15" w:type="dxa"/>
              <w:right w:w="15" w:type="dxa"/>
            </w:tcMar>
            <w:vAlign w:val="center"/>
          </w:tcPr>
          <w:p w14:paraId="703E5610">
            <w:pPr>
              <w:pStyle w:val="8"/>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广安市</w:t>
            </w:r>
            <w:r>
              <w:rPr>
                <w:rFonts w:hint="eastAsia" w:ascii="Times New Roman" w:hAnsi="Times New Roman" w:eastAsia="宋体" w:cs="Times New Roman"/>
                <w:b w:val="0"/>
                <w:bCs w:val="0"/>
                <w:i w:val="0"/>
                <w:color w:val="000000"/>
                <w:kern w:val="0"/>
                <w:sz w:val="20"/>
                <w:szCs w:val="20"/>
                <w:u w:val="none"/>
                <w:lang w:val="en-US" w:eastAsia="zh-CN" w:bidi="ar"/>
              </w:rPr>
              <w:t>科学技术局 广安市经济和信息化局广安市财政局关于</w:t>
            </w:r>
            <w:r>
              <w:rPr>
                <w:rFonts w:hint="default" w:ascii="Times New Roman" w:hAnsi="Times New Roman" w:eastAsia="宋体" w:cs="Times New Roman"/>
                <w:b w:val="0"/>
                <w:bCs w:val="0"/>
                <w:i w:val="0"/>
                <w:color w:val="000000"/>
                <w:kern w:val="0"/>
                <w:sz w:val="20"/>
                <w:szCs w:val="20"/>
                <w:u w:val="none"/>
                <w:lang w:val="en-US" w:eastAsia="zh-CN" w:bidi="ar"/>
              </w:rPr>
              <w:t>印发《</w:t>
            </w:r>
            <w:r>
              <w:rPr>
                <w:rFonts w:hint="eastAsia" w:ascii="Times New Roman" w:hAnsi="Times New Roman" w:eastAsia="宋体" w:cs="Times New Roman"/>
                <w:b w:val="0"/>
                <w:bCs w:val="0"/>
                <w:i w:val="0"/>
                <w:color w:val="000000"/>
                <w:kern w:val="0"/>
                <w:sz w:val="20"/>
                <w:szCs w:val="20"/>
                <w:u w:val="none"/>
                <w:lang w:val="en-US" w:eastAsia="zh-CN" w:bidi="ar"/>
              </w:rPr>
              <w:t>广安市支持工业科技创新平台发展若干措施</w:t>
            </w:r>
            <w:r>
              <w:rPr>
                <w:rFonts w:hint="default" w:ascii="Times New Roman" w:hAnsi="Times New Roman" w:eastAsia="宋体" w:cs="Times New Roman"/>
                <w:b w:val="0"/>
                <w:bCs w:val="0"/>
                <w:i w:val="0"/>
                <w:color w:val="000000"/>
                <w:kern w:val="0"/>
                <w:sz w:val="20"/>
                <w:szCs w:val="20"/>
                <w:u w:val="none"/>
                <w:lang w:val="en-US" w:eastAsia="zh-CN" w:bidi="ar"/>
              </w:rPr>
              <w:t>》的通知</w:t>
            </w:r>
            <w:r>
              <w:rPr>
                <w:rFonts w:hint="eastAsia" w:ascii="Times New Roman" w:hAnsi="Times New Roman" w:eastAsia="宋体" w:cs="Times New Roman"/>
                <w:b w:val="0"/>
                <w:bCs w:val="0"/>
                <w:i w:val="0"/>
                <w:color w:val="000000"/>
                <w:kern w:val="0"/>
                <w:sz w:val="20"/>
                <w:szCs w:val="20"/>
                <w:u w:val="none"/>
                <w:lang w:val="en-US" w:eastAsia="zh-CN" w:bidi="ar"/>
              </w:rPr>
              <w:t>（广科技发〔2024〕29号）</w:t>
            </w:r>
          </w:p>
        </w:tc>
        <w:tc>
          <w:tcPr>
            <w:tcW w:w="770" w:type="dxa"/>
            <w:tcBorders>
              <w:tl2br w:val="nil"/>
              <w:tr2bl w:val="nil"/>
            </w:tcBorders>
            <w:shd w:val="clear" w:color="auto" w:fill="auto"/>
            <w:tcMar>
              <w:top w:w="15" w:type="dxa"/>
              <w:left w:w="15" w:type="dxa"/>
              <w:right w:w="15" w:type="dxa"/>
            </w:tcMar>
            <w:vAlign w:val="center"/>
          </w:tcPr>
          <w:p w14:paraId="781A861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4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资质类、奖补类</w:t>
            </w:r>
          </w:p>
        </w:tc>
        <w:tc>
          <w:tcPr>
            <w:tcW w:w="770" w:type="dxa"/>
            <w:tcBorders>
              <w:tl2br w:val="nil"/>
              <w:tr2bl w:val="nil"/>
            </w:tcBorders>
            <w:shd w:val="clear" w:color="auto" w:fill="auto"/>
            <w:tcMar>
              <w:top w:w="15" w:type="dxa"/>
              <w:left w:w="15" w:type="dxa"/>
              <w:right w:w="15" w:type="dxa"/>
            </w:tcMar>
            <w:vAlign w:val="center"/>
          </w:tcPr>
          <w:p w14:paraId="5A11501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4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770" w:type="dxa"/>
            <w:tcBorders>
              <w:tl2br w:val="nil"/>
              <w:tr2bl w:val="nil"/>
            </w:tcBorders>
            <w:shd w:val="clear" w:color="auto" w:fill="auto"/>
            <w:tcMar>
              <w:top w:w="15" w:type="dxa"/>
              <w:left w:w="15" w:type="dxa"/>
              <w:right w:w="15" w:type="dxa"/>
            </w:tcMar>
            <w:vAlign w:val="center"/>
          </w:tcPr>
          <w:p w14:paraId="238801F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4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888" w:type="dxa"/>
            <w:tcBorders>
              <w:tl2br w:val="nil"/>
              <w:tr2bl w:val="nil"/>
            </w:tcBorders>
            <w:shd w:val="clear" w:color="auto" w:fill="auto"/>
            <w:tcMar>
              <w:top w:w="15" w:type="dxa"/>
              <w:left w:w="15" w:type="dxa"/>
              <w:right w:w="15" w:type="dxa"/>
            </w:tcMar>
            <w:vAlign w:val="center"/>
          </w:tcPr>
          <w:p w14:paraId="7603C70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4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09A6771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4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市经济</w:t>
            </w:r>
          </w:p>
          <w:p w14:paraId="4B77F5D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4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信息化局</w:t>
            </w:r>
          </w:p>
        </w:tc>
        <w:tc>
          <w:tcPr>
            <w:tcW w:w="1085" w:type="dxa"/>
            <w:tcBorders>
              <w:tl2br w:val="nil"/>
              <w:tr2bl w:val="nil"/>
            </w:tcBorders>
            <w:shd w:val="clear" w:color="auto" w:fill="auto"/>
            <w:tcMar>
              <w:top w:w="15" w:type="dxa"/>
              <w:left w:w="15" w:type="dxa"/>
              <w:right w:w="15" w:type="dxa"/>
            </w:tcMar>
            <w:vAlign w:val="center"/>
          </w:tcPr>
          <w:p w14:paraId="140D4DA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4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符合条件的企业</w:t>
            </w:r>
          </w:p>
        </w:tc>
        <w:tc>
          <w:tcPr>
            <w:tcW w:w="705" w:type="dxa"/>
            <w:tcBorders>
              <w:tl2br w:val="nil"/>
              <w:tr2bl w:val="nil"/>
            </w:tcBorders>
            <w:shd w:val="clear" w:color="auto" w:fill="auto"/>
            <w:tcMar>
              <w:top w:w="15" w:type="dxa"/>
              <w:left w:w="15" w:type="dxa"/>
              <w:right w:w="15" w:type="dxa"/>
            </w:tcMar>
            <w:vAlign w:val="center"/>
          </w:tcPr>
          <w:p w14:paraId="63182A3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4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免申</w:t>
            </w:r>
          </w:p>
          <w:p w14:paraId="6F01754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4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即享</w:t>
            </w:r>
          </w:p>
        </w:tc>
        <w:tc>
          <w:tcPr>
            <w:tcW w:w="1171" w:type="dxa"/>
            <w:tcBorders>
              <w:tl2br w:val="nil"/>
              <w:tr2bl w:val="nil"/>
            </w:tcBorders>
            <w:shd w:val="clear" w:color="auto" w:fill="auto"/>
            <w:tcMar>
              <w:top w:w="15" w:type="dxa"/>
              <w:left w:w="15" w:type="dxa"/>
              <w:right w:w="15" w:type="dxa"/>
            </w:tcMar>
            <w:vAlign w:val="center"/>
          </w:tcPr>
          <w:p w14:paraId="16AE17A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4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财政资金到位后，30个工作日内</w:t>
            </w:r>
          </w:p>
        </w:tc>
        <w:tc>
          <w:tcPr>
            <w:tcW w:w="1095" w:type="dxa"/>
            <w:tcBorders>
              <w:tl2br w:val="nil"/>
              <w:tr2bl w:val="nil"/>
            </w:tcBorders>
            <w:shd w:val="clear" w:color="auto" w:fill="auto"/>
            <w:tcMar>
              <w:top w:w="15" w:type="dxa"/>
              <w:left w:w="15" w:type="dxa"/>
              <w:right w:w="15" w:type="dxa"/>
            </w:tcMar>
            <w:vAlign w:val="center"/>
          </w:tcPr>
          <w:p w14:paraId="525CAB88">
            <w:pPr>
              <w:pStyle w:val="8"/>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2024年12月2日—2029年12月2日</w:t>
            </w:r>
          </w:p>
        </w:tc>
      </w:tr>
      <w:tr w14:paraId="25FE3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jc w:val="center"/>
        </w:trPr>
        <w:tc>
          <w:tcPr>
            <w:tcW w:w="500" w:type="dxa"/>
            <w:tcBorders>
              <w:tl2br w:val="nil"/>
              <w:tr2bl w:val="nil"/>
            </w:tcBorders>
            <w:shd w:val="clear" w:color="auto" w:fill="auto"/>
            <w:tcMar>
              <w:top w:w="15" w:type="dxa"/>
              <w:left w:w="15" w:type="dxa"/>
              <w:right w:w="15" w:type="dxa"/>
            </w:tcMar>
            <w:vAlign w:val="center"/>
          </w:tcPr>
          <w:p w14:paraId="4C18224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26</w:t>
            </w:r>
          </w:p>
        </w:tc>
        <w:tc>
          <w:tcPr>
            <w:tcW w:w="906" w:type="dxa"/>
            <w:tcBorders>
              <w:tl2br w:val="nil"/>
              <w:tr2bl w:val="nil"/>
            </w:tcBorders>
            <w:shd w:val="clear" w:color="auto" w:fill="auto"/>
            <w:tcMar>
              <w:top w:w="15" w:type="dxa"/>
              <w:left w:w="15" w:type="dxa"/>
              <w:right w:w="15" w:type="dxa"/>
            </w:tcMar>
            <w:vAlign w:val="center"/>
          </w:tcPr>
          <w:p w14:paraId="3CF843B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0"/>
                <w:szCs w:val="20"/>
                <w:u w:val="none"/>
                <w:lang w:val="en-US" w:eastAsia="zh-CN" w:bidi="ar"/>
                <w14:textFill>
                  <w14:solidFill>
                    <w14:schemeClr w14:val="tx1"/>
                  </w14:solidFill>
                </w14:textFill>
              </w:rPr>
              <w:t>实施工业企业稳岗就业促进激励</w:t>
            </w:r>
          </w:p>
        </w:tc>
        <w:tc>
          <w:tcPr>
            <w:tcW w:w="3227" w:type="dxa"/>
            <w:tcBorders>
              <w:tl2br w:val="nil"/>
              <w:tr2bl w:val="nil"/>
            </w:tcBorders>
            <w:shd w:val="clear" w:color="auto" w:fill="auto"/>
            <w:tcMar>
              <w:top w:w="15" w:type="dxa"/>
              <w:left w:w="15" w:type="dxa"/>
              <w:right w:w="15" w:type="dxa"/>
            </w:tcMar>
            <w:vAlign w:val="center"/>
          </w:tcPr>
          <w:p w14:paraId="461004B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对2025年月均社保用工比2024年增长500人以上的工业企业，月均社保用工每新增500人奖励50万元，最高奖励300万元。</w:t>
            </w:r>
          </w:p>
        </w:tc>
        <w:tc>
          <w:tcPr>
            <w:tcW w:w="2334" w:type="dxa"/>
            <w:tcBorders>
              <w:tl2br w:val="nil"/>
              <w:tr2bl w:val="nil"/>
            </w:tcBorders>
            <w:shd w:val="clear" w:color="auto" w:fill="auto"/>
            <w:tcMar>
              <w:top w:w="15" w:type="dxa"/>
              <w:left w:w="15" w:type="dxa"/>
              <w:right w:w="15" w:type="dxa"/>
            </w:tcMar>
            <w:vAlign w:val="center"/>
          </w:tcPr>
          <w:p w14:paraId="57298DB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关于实施工业企业稳岗就业激励政策的通知（广经信发〔2025〕23 号）</w:t>
            </w:r>
          </w:p>
        </w:tc>
        <w:tc>
          <w:tcPr>
            <w:tcW w:w="770" w:type="dxa"/>
            <w:tcBorders>
              <w:tl2br w:val="nil"/>
              <w:tr2bl w:val="nil"/>
            </w:tcBorders>
            <w:shd w:val="clear" w:color="auto" w:fill="auto"/>
            <w:tcMar>
              <w:top w:w="15" w:type="dxa"/>
              <w:left w:w="15" w:type="dxa"/>
              <w:right w:w="15" w:type="dxa"/>
            </w:tcMar>
            <w:vAlign w:val="center"/>
          </w:tcPr>
          <w:p w14:paraId="19F706A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奖补类</w:t>
            </w:r>
          </w:p>
        </w:tc>
        <w:tc>
          <w:tcPr>
            <w:tcW w:w="770" w:type="dxa"/>
            <w:tcBorders>
              <w:tl2br w:val="nil"/>
              <w:tr2bl w:val="nil"/>
            </w:tcBorders>
            <w:shd w:val="clear" w:color="auto" w:fill="auto"/>
            <w:tcMar>
              <w:top w:w="15" w:type="dxa"/>
              <w:left w:w="15" w:type="dxa"/>
              <w:right w:w="15" w:type="dxa"/>
            </w:tcMar>
            <w:vAlign w:val="center"/>
          </w:tcPr>
          <w:p w14:paraId="3ED8F43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770" w:type="dxa"/>
            <w:tcBorders>
              <w:tl2br w:val="nil"/>
              <w:tr2bl w:val="nil"/>
            </w:tcBorders>
            <w:shd w:val="clear" w:color="auto" w:fill="auto"/>
            <w:tcMar>
              <w:top w:w="15" w:type="dxa"/>
              <w:left w:w="15" w:type="dxa"/>
              <w:right w:w="15" w:type="dxa"/>
            </w:tcMar>
            <w:vAlign w:val="center"/>
          </w:tcPr>
          <w:p w14:paraId="39E72D3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广安市</w:t>
            </w:r>
          </w:p>
        </w:tc>
        <w:tc>
          <w:tcPr>
            <w:tcW w:w="888" w:type="dxa"/>
            <w:tcBorders>
              <w:tl2br w:val="nil"/>
              <w:tr2bl w:val="nil"/>
            </w:tcBorders>
            <w:shd w:val="clear" w:color="auto" w:fill="auto"/>
            <w:tcMar>
              <w:top w:w="15" w:type="dxa"/>
              <w:left w:w="15" w:type="dxa"/>
              <w:right w:w="15" w:type="dxa"/>
            </w:tcMar>
            <w:vAlign w:val="center"/>
          </w:tcPr>
          <w:p w14:paraId="6817303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46BF37C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市经济</w:t>
            </w:r>
          </w:p>
          <w:p w14:paraId="3158BB6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信息化局</w:t>
            </w:r>
          </w:p>
        </w:tc>
        <w:tc>
          <w:tcPr>
            <w:tcW w:w="1085" w:type="dxa"/>
            <w:tcBorders>
              <w:tl2br w:val="nil"/>
              <w:tr2bl w:val="nil"/>
            </w:tcBorders>
            <w:shd w:val="clear" w:color="auto" w:fill="auto"/>
            <w:tcMar>
              <w:top w:w="15" w:type="dxa"/>
              <w:left w:w="15" w:type="dxa"/>
              <w:right w:w="15" w:type="dxa"/>
            </w:tcMar>
            <w:vAlign w:val="center"/>
          </w:tcPr>
          <w:p w14:paraId="49A56A5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符合条件的企业</w:t>
            </w:r>
          </w:p>
        </w:tc>
        <w:tc>
          <w:tcPr>
            <w:tcW w:w="705" w:type="dxa"/>
            <w:tcBorders>
              <w:tl2br w:val="nil"/>
              <w:tr2bl w:val="nil"/>
            </w:tcBorders>
            <w:shd w:val="clear" w:color="auto" w:fill="auto"/>
            <w:tcMar>
              <w:top w:w="15" w:type="dxa"/>
              <w:left w:w="15" w:type="dxa"/>
              <w:right w:w="15" w:type="dxa"/>
            </w:tcMar>
            <w:vAlign w:val="center"/>
          </w:tcPr>
          <w:p w14:paraId="0FED009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免申即享</w:t>
            </w:r>
          </w:p>
        </w:tc>
        <w:tc>
          <w:tcPr>
            <w:tcW w:w="1171" w:type="dxa"/>
            <w:tcBorders>
              <w:tl2br w:val="nil"/>
              <w:tr2bl w:val="nil"/>
            </w:tcBorders>
            <w:shd w:val="clear" w:color="auto" w:fill="auto"/>
            <w:tcMar>
              <w:top w:w="15" w:type="dxa"/>
              <w:left w:w="15" w:type="dxa"/>
              <w:right w:w="15" w:type="dxa"/>
            </w:tcMar>
            <w:vAlign w:val="center"/>
          </w:tcPr>
          <w:p w14:paraId="50DE4DC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次年一季度</w:t>
            </w:r>
          </w:p>
        </w:tc>
        <w:tc>
          <w:tcPr>
            <w:tcW w:w="1095" w:type="dxa"/>
            <w:tcBorders>
              <w:tl2br w:val="nil"/>
              <w:tr2bl w:val="nil"/>
            </w:tcBorders>
            <w:shd w:val="clear" w:color="auto" w:fill="auto"/>
            <w:tcMar>
              <w:top w:w="15" w:type="dxa"/>
              <w:left w:w="15" w:type="dxa"/>
              <w:right w:w="15" w:type="dxa"/>
            </w:tcMar>
            <w:vAlign w:val="center"/>
          </w:tcPr>
          <w:p w14:paraId="5DD2923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2025年1月1日-2025年12月31日</w:t>
            </w:r>
          </w:p>
        </w:tc>
      </w:tr>
      <w:tr w14:paraId="3A5A7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jc w:val="center"/>
        </w:trPr>
        <w:tc>
          <w:tcPr>
            <w:tcW w:w="500" w:type="dxa"/>
            <w:tcBorders>
              <w:tl2br w:val="nil"/>
              <w:tr2bl w:val="nil"/>
            </w:tcBorders>
            <w:shd w:val="clear" w:color="auto" w:fill="auto"/>
            <w:tcMar>
              <w:top w:w="15" w:type="dxa"/>
              <w:left w:w="15" w:type="dxa"/>
              <w:right w:w="15" w:type="dxa"/>
            </w:tcMar>
            <w:vAlign w:val="center"/>
          </w:tcPr>
          <w:p w14:paraId="7C4DC6A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27</w:t>
            </w:r>
          </w:p>
        </w:tc>
        <w:tc>
          <w:tcPr>
            <w:tcW w:w="906" w:type="dxa"/>
            <w:tcBorders>
              <w:tl2br w:val="nil"/>
              <w:tr2bl w:val="nil"/>
            </w:tcBorders>
            <w:shd w:val="clear" w:color="auto" w:fill="auto"/>
            <w:tcMar>
              <w:top w:w="15" w:type="dxa"/>
              <w:left w:w="15" w:type="dxa"/>
              <w:right w:w="15" w:type="dxa"/>
            </w:tcMar>
            <w:vAlign w:val="center"/>
          </w:tcPr>
          <w:p w14:paraId="2CD9E85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民办养老机构运营补贴</w:t>
            </w:r>
          </w:p>
        </w:tc>
        <w:tc>
          <w:tcPr>
            <w:tcW w:w="3227" w:type="dxa"/>
            <w:tcBorders>
              <w:tl2br w:val="nil"/>
              <w:tr2bl w:val="nil"/>
            </w:tcBorders>
            <w:shd w:val="clear" w:color="auto" w:fill="auto"/>
            <w:tcMar>
              <w:top w:w="15" w:type="dxa"/>
              <w:left w:w="15" w:type="dxa"/>
              <w:right w:w="15" w:type="dxa"/>
            </w:tcMar>
            <w:vAlign w:val="center"/>
          </w:tcPr>
          <w:p w14:paraId="5626FD3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收住年满60周岁以上的老年人，且老年人连续入住期限不低于30天的：一级民办养老机构，每人每月补助不低于50元；二级民办养老机构，每人每月补助不低于100元；三级民办养老机构，每人每月补助不低于150元；四级民办养老机构，每人每月补助不低于200元；五级民办养老机构，每人每月补助不低于300元。</w:t>
            </w:r>
          </w:p>
        </w:tc>
        <w:tc>
          <w:tcPr>
            <w:tcW w:w="2334" w:type="dxa"/>
            <w:tcBorders>
              <w:tl2br w:val="nil"/>
              <w:tr2bl w:val="nil"/>
            </w:tcBorders>
            <w:shd w:val="clear" w:color="auto" w:fill="auto"/>
            <w:tcMar>
              <w:top w:w="15" w:type="dxa"/>
              <w:left w:w="15" w:type="dxa"/>
              <w:right w:w="15" w:type="dxa"/>
            </w:tcMar>
            <w:vAlign w:val="center"/>
          </w:tcPr>
          <w:p w14:paraId="750E092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《广安市民政局关于做好民办养老机构运营补贴和社区老年人日间照料中心运营补贴工作的通知</w:t>
            </w:r>
          </w:p>
          <w:p w14:paraId="5DFA613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w:t>
            </w:r>
            <w:r>
              <w:rPr>
                <w:rFonts w:hint="default" w:ascii="Times New Roman" w:hAnsi="Times New Roman" w:eastAsia="宋体" w:cs="Times New Roman"/>
                <w:b w:val="0"/>
                <w:bCs w:val="0"/>
                <w:i w:val="0"/>
                <w:color w:val="000000"/>
                <w:kern w:val="0"/>
                <w:sz w:val="20"/>
                <w:szCs w:val="20"/>
                <w:u w:val="none"/>
                <w:lang w:val="en-US" w:eastAsia="zh-CN" w:bidi="ar"/>
              </w:rPr>
              <w:t>（广</w:t>
            </w:r>
            <w:r>
              <w:rPr>
                <w:rFonts w:hint="eastAsia" w:ascii="Times New Roman" w:hAnsi="Times New Roman" w:eastAsia="宋体" w:cs="Times New Roman"/>
                <w:b w:val="0"/>
                <w:bCs w:val="0"/>
                <w:i w:val="0"/>
                <w:color w:val="000000"/>
                <w:kern w:val="0"/>
                <w:sz w:val="20"/>
                <w:szCs w:val="20"/>
                <w:u w:val="none"/>
                <w:lang w:val="en-US" w:eastAsia="zh-CN" w:bidi="ar"/>
              </w:rPr>
              <w:t>市民</w:t>
            </w:r>
            <w:r>
              <w:rPr>
                <w:rFonts w:hint="default" w:ascii="Times New Roman" w:hAnsi="Times New Roman" w:eastAsia="宋体" w:cs="Times New Roman"/>
                <w:b w:val="0"/>
                <w:bCs w:val="0"/>
                <w:i w:val="0"/>
                <w:color w:val="000000"/>
                <w:kern w:val="0"/>
                <w:sz w:val="20"/>
                <w:szCs w:val="20"/>
                <w:u w:val="none"/>
                <w:lang w:val="en-US" w:eastAsia="zh-CN" w:bidi="ar"/>
              </w:rPr>
              <w:t>〔202</w:t>
            </w:r>
            <w:r>
              <w:rPr>
                <w:rFonts w:hint="eastAsia" w:ascii="Times New Roman" w:hAnsi="Times New Roman" w:eastAsia="宋体" w:cs="Times New Roman"/>
                <w:b w:val="0"/>
                <w:bCs w:val="0"/>
                <w:i w:val="0"/>
                <w:color w:val="000000"/>
                <w:kern w:val="0"/>
                <w:sz w:val="20"/>
                <w:szCs w:val="20"/>
                <w:u w:val="none"/>
                <w:lang w:val="en-US" w:eastAsia="zh-CN" w:bidi="ar"/>
              </w:rPr>
              <w:t>1</w:t>
            </w:r>
            <w:r>
              <w:rPr>
                <w:rFonts w:hint="default" w:ascii="Times New Roman" w:hAnsi="Times New Roman" w:eastAsia="宋体" w:cs="Times New Roman"/>
                <w:b w:val="0"/>
                <w:bCs w:val="0"/>
                <w:i w:val="0"/>
                <w:color w:val="000000"/>
                <w:kern w:val="0"/>
                <w:sz w:val="20"/>
                <w:szCs w:val="20"/>
                <w:u w:val="none"/>
                <w:lang w:val="en-US" w:eastAsia="zh-CN" w:bidi="ar"/>
              </w:rPr>
              <w:t>〕</w:t>
            </w:r>
            <w:r>
              <w:rPr>
                <w:rFonts w:hint="eastAsia" w:ascii="Times New Roman" w:hAnsi="Times New Roman" w:eastAsia="宋体" w:cs="Times New Roman"/>
                <w:b w:val="0"/>
                <w:bCs w:val="0"/>
                <w:i w:val="0"/>
                <w:color w:val="000000"/>
                <w:kern w:val="0"/>
                <w:sz w:val="20"/>
                <w:szCs w:val="20"/>
                <w:u w:val="none"/>
                <w:lang w:val="en-US" w:eastAsia="zh-CN" w:bidi="ar"/>
              </w:rPr>
              <w:t>53</w:t>
            </w:r>
            <w:r>
              <w:rPr>
                <w:rFonts w:hint="default" w:ascii="Times New Roman" w:hAnsi="Times New Roman" w:eastAsia="宋体" w:cs="Times New Roman"/>
                <w:b w:val="0"/>
                <w:bCs w:val="0"/>
                <w:i w:val="0"/>
                <w:color w:val="000000"/>
                <w:kern w:val="0"/>
                <w:sz w:val="20"/>
                <w:szCs w:val="20"/>
                <w:u w:val="none"/>
                <w:lang w:val="en-US" w:eastAsia="zh-CN" w:bidi="ar"/>
              </w:rPr>
              <w:t>号）</w:t>
            </w:r>
          </w:p>
        </w:tc>
        <w:tc>
          <w:tcPr>
            <w:tcW w:w="770" w:type="dxa"/>
            <w:tcBorders>
              <w:tl2br w:val="nil"/>
              <w:tr2bl w:val="nil"/>
            </w:tcBorders>
            <w:shd w:val="clear" w:color="auto" w:fill="auto"/>
            <w:tcMar>
              <w:top w:w="15" w:type="dxa"/>
              <w:left w:w="15" w:type="dxa"/>
              <w:right w:w="15" w:type="dxa"/>
            </w:tcMar>
            <w:vAlign w:val="center"/>
          </w:tcPr>
          <w:p w14:paraId="5C74149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auto"/>
                <w:kern w:val="0"/>
                <w:sz w:val="20"/>
                <w:szCs w:val="20"/>
                <w:u w:val="none"/>
                <w:lang w:val="en-US" w:eastAsia="zh-CN" w:bidi="ar"/>
              </w:rPr>
              <w:t>奖补类</w:t>
            </w:r>
          </w:p>
        </w:tc>
        <w:tc>
          <w:tcPr>
            <w:tcW w:w="770" w:type="dxa"/>
            <w:tcBorders>
              <w:tl2br w:val="nil"/>
              <w:tr2bl w:val="nil"/>
            </w:tcBorders>
            <w:shd w:val="clear" w:color="auto" w:fill="auto"/>
            <w:tcMar>
              <w:top w:w="15" w:type="dxa"/>
              <w:left w:w="15" w:type="dxa"/>
              <w:right w:w="15" w:type="dxa"/>
            </w:tcMar>
            <w:vAlign w:val="center"/>
          </w:tcPr>
          <w:p w14:paraId="7E1531A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auto"/>
                <w:kern w:val="0"/>
                <w:sz w:val="20"/>
                <w:szCs w:val="20"/>
                <w:u w:val="none"/>
                <w:lang w:val="en-US" w:eastAsia="zh-CN" w:bidi="ar"/>
              </w:rPr>
              <w:t>广安市</w:t>
            </w:r>
          </w:p>
        </w:tc>
        <w:tc>
          <w:tcPr>
            <w:tcW w:w="770" w:type="dxa"/>
            <w:tcBorders>
              <w:tl2br w:val="nil"/>
              <w:tr2bl w:val="nil"/>
            </w:tcBorders>
            <w:shd w:val="clear" w:color="auto" w:fill="auto"/>
            <w:tcMar>
              <w:top w:w="15" w:type="dxa"/>
              <w:left w:w="15" w:type="dxa"/>
              <w:right w:w="15" w:type="dxa"/>
            </w:tcMar>
            <w:vAlign w:val="center"/>
          </w:tcPr>
          <w:p w14:paraId="60FBF9D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auto"/>
                <w:kern w:val="0"/>
                <w:sz w:val="20"/>
                <w:szCs w:val="20"/>
                <w:u w:val="none"/>
                <w:lang w:val="en-US" w:eastAsia="zh-CN" w:bidi="ar"/>
              </w:rPr>
              <w:t>广安市</w:t>
            </w:r>
          </w:p>
        </w:tc>
        <w:tc>
          <w:tcPr>
            <w:tcW w:w="888" w:type="dxa"/>
            <w:tcBorders>
              <w:tl2br w:val="nil"/>
              <w:tr2bl w:val="nil"/>
            </w:tcBorders>
            <w:shd w:val="clear" w:color="auto" w:fill="auto"/>
            <w:tcMar>
              <w:top w:w="15" w:type="dxa"/>
              <w:left w:w="15" w:type="dxa"/>
              <w:right w:w="15" w:type="dxa"/>
            </w:tcMar>
            <w:vAlign w:val="center"/>
          </w:tcPr>
          <w:p w14:paraId="0D98293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kern w:val="0"/>
                <w:sz w:val="20"/>
                <w:szCs w:val="20"/>
                <w:u w:val="none"/>
                <w:lang w:val="en-US" w:eastAsia="zh-CN" w:bidi="ar"/>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78FF02B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auto"/>
                <w:kern w:val="0"/>
                <w:sz w:val="20"/>
                <w:szCs w:val="20"/>
                <w:u w:val="none"/>
                <w:lang w:val="en-US" w:eastAsia="zh-CN" w:bidi="ar"/>
              </w:rPr>
              <w:t>市、</w:t>
            </w:r>
            <w:r>
              <w:rPr>
                <w:rFonts w:hint="default" w:ascii="Times New Roman" w:hAnsi="Times New Roman" w:eastAsia="宋体" w:cs="Times New Roman"/>
                <w:b w:val="0"/>
                <w:bCs w:val="0"/>
                <w:i w:val="0"/>
                <w:color w:val="auto"/>
                <w:kern w:val="0"/>
                <w:sz w:val="20"/>
                <w:szCs w:val="20"/>
                <w:u w:val="none"/>
                <w:lang w:val="en-US" w:eastAsia="zh-CN" w:bidi="ar"/>
              </w:rPr>
              <w:t>县（市、区）</w:t>
            </w:r>
            <w:r>
              <w:rPr>
                <w:rFonts w:hint="eastAsia" w:ascii="Times New Roman" w:hAnsi="Times New Roman" w:eastAsia="宋体" w:cs="Times New Roman"/>
                <w:b w:val="0"/>
                <w:bCs w:val="0"/>
                <w:i w:val="0"/>
                <w:color w:val="auto"/>
                <w:kern w:val="0"/>
                <w:sz w:val="20"/>
                <w:szCs w:val="20"/>
                <w:u w:val="none"/>
                <w:lang w:val="en-US" w:eastAsia="zh-CN" w:bidi="ar"/>
              </w:rPr>
              <w:t>民政</w:t>
            </w:r>
            <w:r>
              <w:rPr>
                <w:rFonts w:hint="default" w:ascii="Times New Roman" w:hAnsi="Times New Roman" w:eastAsia="宋体" w:cs="Times New Roman"/>
                <w:b w:val="0"/>
                <w:bCs w:val="0"/>
                <w:i w:val="0"/>
                <w:color w:val="auto"/>
                <w:kern w:val="0"/>
                <w:sz w:val="20"/>
                <w:szCs w:val="20"/>
                <w:u w:val="none"/>
                <w:lang w:val="en-US" w:eastAsia="zh-CN" w:bidi="ar"/>
              </w:rPr>
              <w:t>局，</w:t>
            </w:r>
            <w:r>
              <w:rPr>
                <w:rFonts w:hint="eastAsia" w:ascii="Times New Roman" w:hAnsi="Times New Roman" w:eastAsia="宋体" w:cs="Times New Roman"/>
                <w:b w:val="0"/>
                <w:bCs w:val="0"/>
                <w:i w:val="0"/>
                <w:color w:val="auto"/>
                <w:kern w:val="0"/>
                <w:sz w:val="20"/>
                <w:szCs w:val="20"/>
                <w:u w:val="none"/>
                <w:lang w:val="en-US" w:eastAsia="zh-CN" w:bidi="ar"/>
              </w:rPr>
              <w:t>广安经开区社会事务局</w:t>
            </w:r>
          </w:p>
        </w:tc>
        <w:tc>
          <w:tcPr>
            <w:tcW w:w="1085" w:type="dxa"/>
            <w:tcBorders>
              <w:tl2br w:val="nil"/>
              <w:tr2bl w:val="nil"/>
            </w:tcBorders>
            <w:shd w:val="clear" w:color="auto" w:fill="auto"/>
            <w:tcMar>
              <w:top w:w="15" w:type="dxa"/>
              <w:left w:w="15" w:type="dxa"/>
              <w:right w:w="15" w:type="dxa"/>
            </w:tcMar>
            <w:vAlign w:val="center"/>
          </w:tcPr>
          <w:p w14:paraId="76A2D69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both"/>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cs="Times New Roman"/>
                <w:b w:val="0"/>
                <w:bCs w:val="0"/>
                <w:i w:val="0"/>
                <w:color w:val="auto"/>
                <w:kern w:val="0"/>
                <w:sz w:val="20"/>
                <w:szCs w:val="20"/>
                <w:u w:val="none"/>
                <w:lang w:val="en-US" w:eastAsia="zh-CN" w:bidi="ar"/>
              </w:rPr>
              <w:t>广安市内符合相关条件的民办养老机构</w:t>
            </w:r>
          </w:p>
        </w:tc>
        <w:tc>
          <w:tcPr>
            <w:tcW w:w="705" w:type="dxa"/>
            <w:tcBorders>
              <w:tl2br w:val="nil"/>
              <w:tr2bl w:val="nil"/>
            </w:tcBorders>
            <w:shd w:val="clear" w:color="auto" w:fill="auto"/>
            <w:tcMar>
              <w:top w:w="15" w:type="dxa"/>
              <w:left w:w="15" w:type="dxa"/>
              <w:right w:w="15" w:type="dxa"/>
            </w:tcMar>
            <w:vAlign w:val="center"/>
          </w:tcPr>
          <w:p w14:paraId="2718200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auto"/>
                <w:kern w:val="0"/>
                <w:sz w:val="20"/>
                <w:szCs w:val="20"/>
                <w:u w:val="none"/>
                <w:lang w:val="en-US" w:eastAsia="zh-CN" w:bidi="ar"/>
              </w:rPr>
              <w:t>其他</w:t>
            </w:r>
          </w:p>
        </w:tc>
        <w:tc>
          <w:tcPr>
            <w:tcW w:w="1171" w:type="dxa"/>
            <w:tcBorders>
              <w:tl2br w:val="nil"/>
              <w:tr2bl w:val="nil"/>
            </w:tcBorders>
            <w:shd w:val="clear" w:color="auto" w:fill="auto"/>
            <w:tcMar>
              <w:top w:w="15" w:type="dxa"/>
              <w:left w:w="15" w:type="dxa"/>
              <w:right w:w="15" w:type="dxa"/>
            </w:tcMar>
            <w:vAlign w:val="center"/>
          </w:tcPr>
          <w:p w14:paraId="5987704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按照相关</w:t>
            </w:r>
          </w:p>
          <w:p w14:paraId="573B707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auto"/>
                <w:kern w:val="0"/>
                <w:sz w:val="20"/>
                <w:szCs w:val="20"/>
                <w:u w:val="none"/>
                <w:lang w:val="en-US" w:eastAsia="zh-CN" w:bidi="ar"/>
              </w:rPr>
              <w:t>规定兑现</w:t>
            </w:r>
          </w:p>
        </w:tc>
        <w:tc>
          <w:tcPr>
            <w:tcW w:w="1095" w:type="dxa"/>
            <w:tcBorders>
              <w:tl2br w:val="nil"/>
              <w:tr2bl w:val="nil"/>
            </w:tcBorders>
            <w:shd w:val="clear" w:color="auto" w:fill="auto"/>
            <w:tcMar>
              <w:top w:w="15" w:type="dxa"/>
              <w:left w:w="15" w:type="dxa"/>
              <w:right w:w="15" w:type="dxa"/>
            </w:tcMar>
            <w:vAlign w:val="center"/>
          </w:tcPr>
          <w:p w14:paraId="705CFA6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auto"/>
                <w:kern w:val="0"/>
                <w:sz w:val="20"/>
                <w:szCs w:val="20"/>
                <w:u w:val="none"/>
                <w:lang w:val="en-US" w:eastAsia="zh-CN" w:bidi="ar"/>
              </w:rPr>
              <w:t>未经废止长期有效</w:t>
            </w:r>
          </w:p>
        </w:tc>
      </w:tr>
      <w:tr w14:paraId="4D796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871" w:hRule="atLeast"/>
          <w:jc w:val="center"/>
        </w:trPr>
        <w:tc>
          <w:tcPr>
            <w:tcW w:w="500" w:type="dxa"/>
            <w:tcBorders>
              <w:tl2br w:val="nil"/>
              <w:tr2bl w:val="nil"/>
            </w:tcBorders>
            <w:shd w:val="clear" w:color="auto" w:fill="auto"/>
            <w:tcMar>
              <w:top w:w="15" w:type="dxa"/>
              <w:left w:w="15" w:type="dxa"/>
              <w:right w:w="15" w:type="dxa"/>
            </w:tcMar>
            <w:vAlign w:val="center"/>
          </w:tcPr>
          <w:p w14:paraId="274A2BC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28</w:t>
            </w:r>
          </w:p>
        </w:tc>
        <w:tc>
          <w:tcPr>
            <w:tcW w:w="906" w:type="dxa"/>
            <w:tcBorders>
              <w:tl2br w:val="nil"/>
              <w:tr2bl w:val="nil"/>
            </w:tcBorders>
            <w:shd w:val="clear" w:color="auto" w:fill="auto"/>
            <w:tcMar>
              <w:top w:w="15" w:type="dxa"/>
              <w:left w:w="15" w:type="dxa"/>
              <w:right w:w="15" w:type="dxa"/>
            </w:tcMar>
            <w:vAlign w:val="center"/>
          </w:tcPr>
          <w:p w14:paraId="4A06435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支持产业创新平台建设</w:t>
            </w:r>
          </w:p>
        </w:tc>
        <w:tc>
          <w:tcPr>
            <w:tcW w:w="3227" w:type="dxa"/>
            <w:tcBorders>
              <w:tl2br w:val="nil"/>
              <w:tr2bl w:val="nil"/>
            </w:tcBorders>
            <w:shd w:val="clear" w:color="auto" w:fill="auto"/>
            <w:tcMar>
              <w:top w:w="15" w:type="dxa"/>
              <w:left w:w="15" w:type="dxa"/>
              <w:right w:w="15" w:type="dxa"/>
            </w:tcMar>
            <w:vAlign w:val="center"/>
          </w:tcPr>
          <w:p w14:paraId="315EE5B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对获批国家、省级产业创新中心，进入“国家队”“省队”行列的工程研究中心，新创建的国家、省级“双创”示范基地并开展省级以上创新能力项目建设的，成功创建省级数字化转型促进中心，成功创建国家级企业技术中心的给予一定的奖补。</w:t>
            </w:r>
          </w:p>
        </w:tc>
        <w:tc>
          <w:tcPr>
            <w:tcW w:w="2334" w:type="dxa"/>
            <w:tcBorders>
              <w:tl2br w:val="nil"/>
              <w:tr2bl w:val="nil"/>
            </w:tcBorders>
            <w:shd w:val="clear" w:color="auto" w:fill="auto"/>
            <w:tcMar>
              <w:top w:w="15" w:type="dxa"/>
              <w:left w:w="15" w:type="dxa"/>
              <w:right w:w="15" w:type="dxa"/>
            </w:tcMar>
            <w:vAlign w:val="center"/>
          </w:tcPr>
          <w:p w14:paraId="358D1DF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广安市发展和改革委员会 广安市财政局 广安市数据局关于印发《广安市支持产业创新平台建设实施办法》的通知（广安发改〔2024〕379号）</w:t>
            </w:r>
          </w:p>
        </w:tc>
        <w:tc>
          <w:tcPr>
            <w:tcW w:w="770" w:type="dxa"/>
            <w:tcBorders>
              <w:tl2br w:val="nil"/>
              <w:tr2bl w:val="nil"/>
            </w:tcBorders>
            <w:shd w:val="clear" w:color="auto" w:fill="auto"/>
            <w:tcMar>
              <w:top w:w="15" w:type="dxa"/>
              <w:left w:w="15" w:type="dxa"/>
              <w:right w:w="15" w:type="dxa"/>
            </w:tcMar>
            <w:vAlign w:val="center"/>
          </w:tcPr>
          <w:p w14:paraId="70F2902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color w:val="auto"/>
                <w:sz w:val="20"/>
                <w:szCs w:val="20"/>
                <w:lang w:eastAsia="zh-CN"/>
              </w:rPr>
              <w:t>奖补类</w:t>
            </w:r>
          </w:p>
        </w:tc>
        <w:tc>
          <w:tcPr>
            <w:tcW w:w="770" w:type="dxa"/>
            <w:tcBorders>
              <w:tl2br w:val="nil"/>
              <w:tr2bl w:val="nil"/>
            </w:tcBorders>
            <w:shd w:val="clear" w:color="auto" w:fill="auto"/>
            <w:tcMar>
              <w:top w:w="15" w:type="dxa"/>
              <w:left w:w="15" w:type="dxa"/>
              <w:right w:w="15" w:type="dxa"/>
            </w:tcMar>
            <w:vAlign w:val="center"/>
          </w:tcPr>
          <w:p w14:paraId="288F827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color w:val="auto"/>
                <w:sz w:val="20"/>
                <w:szCs w:val="20"/>
                <w:lang w:eastAsia="zh-CN"/>
              </w:rPr>
              <w:t>广安市</w:t>
            </w:r>
          </w:p>
        </w:tc>
        <w:tc>
          <w:tcPr>
            <w:tcW w:w="770" w:type="dxa"/>
            <w:tcBorders>
              <w:tl2br w:val="nil"/>
              <w:tr2bl w:val="nil"/>
            </w:tcBorders>
            <w:shd w:val="clear" w:color="auto" w:fill="auto"/>
            <w:tcMar>
              <w:top w:w="15" w:type="dxa"/>
              <w:left w:w="15" w:type="dxa"/>
              <w:right w:w="15" w:type="dxa"/>
            </w:tcMar>
            <w:vAlign w:val="center"/>
          </w:tcPr>
          <w:p w14:paraId="1EDA045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color w:val="auto"/>
                <w:sz w:val="20"/>
                <w:szCs w:val="20"/>
                <w:lang w:eastAsia="zh-CN"/>
              </w:rPr>
              <w:t>广安市</w:t>
            </w:r>
          </w:p>
        </w:tc>
        <w:tc>
          <w:tcPr>
            <w:tcW w:w="888" w:type="dxa"/>
            <w:tcBorders>
              <w:tl2br w:val="nil"/>
              <w:tr2bl w:val="nil"/>
            </w:tcBorders>
            <w:shd w:val="clear" w:color="auto" w:fill="auto"/>
            <w:tcMar>
              <w:top w:w="15" w:type="dxa"/>
              <w:left w:w="15" w:type="dxa"/>
              <w:right w:w="15" w:type="dxa"/>
            </w:tcMar>
            <w:vAlign w:val="center"/>
          </w:tcPr>
          <w:p w14:paraId="5CEAF32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cs="Times New Roman"/>
                <w:color w:val="auto"/>
                <w:sz w:val="20"/>
                <w:szCs w:val="20"/>
                <w:lang w:eastAsia="zh-CN"/>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18C7340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color w:val="auto"/>
                <w:sz w:val="20"/>
                <w:szCs w:val="20"/>
                <w:lang w:eastAsia="zh-CN"/>
              </w:rPr>
              <w:t>市发展改革委</w:t>
            </w:r>
            <w:r>
              <w:rPr>
                <w:rFonts w:hint="eastAsia" w:ascii="Times New Roman" w:hAnsi="Times New Roman" w:cs="Times New Roman"/>
                <w:color w:val="auto"/>
                <w:sz w:val="20"/>
                <w:szCs w:val="20"/>
                <w:lang w:eastAsia="zh-CN"/>
              </w:rPr>
              <w:t>、市数据局</w:t>
            </w:r>
          </w:p>
        </w:tc>
        <w:tc>
          <w:tcPr>
            <w:tcW w:w="1085" w:type="dxa"/>
            <w:tcBorders>
              <w:tl2br w:val="nil"/>
              <w:tr2bl w:val="nil"/>
            </w:tcBorders>
            <w:shd w:val="clear" w:color="auto" w:fill="auto"/>
            <w:tcMar>
              <w:top w:w="15" w:type="dxa"/>
              <w:left w:w="15" w:type="dxa"/>
              <w:right w:w="15" w:type="dxa"/>
            </w:tcMar>
            <w:vAlign w:val="center"/>
          </w:tcPr>
          <w:p w14:paraId="4167A2B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both"/>
              <w:textAlignment w:val="center"/>
              <w:rPr>
                <w:rFonts w:hint="eastAsia" w:ascii="Times New Roman" w:hAnsi="Times New Roman" w:cs="Times New Roman"/>
                <w:b w:val="0"/>
                <w:bCs w:val="0"/>
                <w:i w:val="0"/>
                <w:color w:val="auto"/>
                <w:kern w:val="0"/>
                <w:sz w:val="20"/>
                <w:szCs w:val="20"/>
                <w:u w:val="none"/>
                <w:lang w:val="en-US" w:eastAsia="zh-CN" w:bidi="ar"/>
              </w:rPr>
            </w:pPr>
            <w:r>
              <w:rPr>
                <w:rFonts w:hint="default" w:ascii="Times New Roman" w:hAnsi="Times New Roman" w:eastAsia="宋体" w:cs="Times New Roman"/>
                <w:color w:val="auto"/>
                <w:sz w:val="20"/>
                <w:szCs w:val="20"/>
                <w:lang w:eastAsia="zh-CN"/>
              </w:rPr>
              <w:t>创建成功的</w:t>
            </w:r>
            <w:r>
              <w:rPr>
                <w:rFonts w:hint="default" w:ascii="Times New Roman" w:hAnsi="Times New Roman" w:eastAsia="宋体" w:cs="Times New Roman"/>
                <w:color w:val="auto"/>
                <w:sz w:val="20"/>
                <w:szCs w:val="20"/>
                <w:lang w:val="en-US" w:eastAsia="zh-CN"/>
              </w:rPr>
              <w:t>5</w:t>
            </w:r>
            <w:r>
              <w:rPr>
                <w:rFonts w:hint="default" w:ascii="Times New Roman" w:hAnsi="Times New Roman" w:eastAsia="宋体" w:cs="Times New Roman"/>
                <w:color w:val="auto"/>
                <w:sz w:val="20"/>
                <w:szCs w:val="20"/>
                <w:lang w:eastAsia="zh-CN"/>
              </w:rPr>
              <w:t>类产业创新平台</w:t>
            </w:r>
            <w:r>
              <w:rPr>
                <w:rFonts w:hint="eastAsia" w:ascii="Times New Roman" w:hAnsi="Times New Roman" w:eastAsia="宋体" w:cs="Times New Roman"/>
                <w:color w:val="auto"/>
                <w:sz w:val="20"/>
                <w:szCs w:val="20"/>
                <w:lang w:eastAsia="zh-CN"/>
              </w:rPr>
              <w:t>实施主体</w:t>
            </w:r>
          </w:p>
        </w:tc>
        <w:tc>
          <w:tcPr>
            <w:tcW w:w="705" w:type="dxa"/>
            <w:tcBorders>
              <w:tl2br w:val="nil"/>
              <w:tr2bl w:val="nil"/>
            </w:tcBorders>
            <w:shd w:val="clear" w:color="auto" w:fill="auto"/>
            <w:tcMar>
              <w:top w:w="15" w:type="dxa"/>
              <w:left w:w="15" w:type="dxa"/>
              <w:right w:w="15" w:type="dxa"/>
            </w:tcMar>
            <w:vAlign w:val="center"/>
          </w:tcPr>
          <w:p w14:paraId="2B3F15F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cs="Times New Roman"/>
                <w:color w:val="auto"/>
                <w:sz w:val="20"/>
                <w:szCs w:val="20"/>
                <w:lang w:eastAsia="zh-CN"/>
              </w:rPr>
              <w:t>即</w:t>
            </w:r>
            <w:r>
              <w:rPr>
                <w:rFonts w:hint="default" w:ascii="Times New Roman" w:hAnsi="Times New Roman" w:eastAsia="宋体" w:cs="Times New Roman"/>
                <w:color w:val="auto"/>
                <w:sz w:val="20"/>
                <w:szCs w:val="20"/>
                <w:lang w:eastAsia="zh-CN"/>
              </w:rPr>
              <w:t>申即享</w:t>
            </w:r>
          </w:p>
        </w:tc>
        <w:tc>
          <w:tcPr>
            <w:tcW w:w="1171" w:type="dxa"/>
            <w:tcBorders>
              <w:tl2br w:val="nil"/>
              <w:tr2bl w:val="nil"/>
            </w:tcBorders>
            <w:shd w:val="clear" w:color="auto" w:fill="auto"/>
            <w:tcMar>
              <w:top w:w="15" w:type="dxa"/>
              <w:left w:w="15" w:type="dxa"/>
              <w:right w:w="15" w:type="dxa"/>
            </w:tcMar>
            <w:vAlign w:val="center"/>
          </w:tcPr>
          <w:p w14:paraId="4EE127E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eastAsia"/>
                <w:color w:val="auto"/>
                <w:sz w:val="20"/>
                <w:szCs w:val="20"/>
                <w:lang w:eastAsia="zh-CN"/>
              </w:rPr>
              <w:t>按程序执行</w:t>
            </w:r>
          </w:p>
        </w:tc>
        <w:tc>
          <w:tcPr>
            <w:tcW w:w="1095" w:type="dxa"/>
            <w:tcBorders>
              <w:tl2br w:val="nil"/>
              <w:tr2bl w:val="nil"/>
            </w:tcBorders>
            <w:shd w:val="clear" w:color="auto" w:fill="auto"/>
            <w:tcMar>
              <w:top w:w="15" w:type="dxa"/>
              <w:left w:w="15" w:type="dxa"/>
              <w:right w:w="15" w:type="dxa"/>
            </w:tcMar>
            <w:vAlign w:val="center"/>
          </w:tcPr>
          <w:p w14:paraId="759083A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color w:val="auto"/>
                <w:sz w:val="20"/>
                <w:szCs w:val="20"/>
                <w:lang w:val="en-US" w:eastAsia="zh-CN"/>
              </w:rPr>
              <w:t>2026年12月</w:t>
            </w:r>
          </w:p>
        </w:tc>
      </w:tr>
      <w:tr w14:paraId="5A251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jc w:val="center"/>
        </w:trPr>
        <w:tc>
          <w:tcPr>
            <w:tcW w:w="500" w:type="dxa"/>
            <w:tcBorders>
              <w:tl2br w:val="nil"/>
              <w:tr2bl w:val="nil"/>
            </w:tcBorders>
            <w:shd w:val="clear" w:color="auto" w:fill="auto"/>
            <w:tcMar>
              <w:top w:w="15" w:type="dxa"/>
              <w:left w:w="15" w:type="dxa"/>
              <w:right w:w="15" w:type="dxa"/>
            </w:tcMar>
            <w:vAlign w:val="center"/>
          </w:tcPr>
          <w:p w14:paraId="3D27EBB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29</w:t>
            </w:r>
          </w:p>
        </w:tc>
        <w:tc>
          <w:tcPr>
            <w:tcW w:w="906" w:type="dxa"/>
            <w:tcBorders>
              <w:tl2br w:val="nil"/>
              <w:tr2bl w:val="nil"/>
            </w:tcBorders>
            <w:shd w:val="clear" w:color="auto" w:fill="auto"/>
            <w:tcMar>
              <w:top w:w="15" w:type="dxa"/>
              <w:left w:w="15" w:type="dxa"/>
              <w:right w:w="15" w:type="dxa"/>
            </w:tcMar>
            <w:vAlign w:val="center"/>
          </w:tcPr>
          <w:p w14:paraId="303E9A3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sz w:val="20"/>
                <w:szCs w:val="20"/>
                <w:lang w:eastAsia="zh-CN"/>
              </w:rPr>
            </w:pPr>
            <w:r>
              <w:rPr>
                <w:rFonts w:hint="eastAsia" w:ascii="宋体" w:hAnsi="宋体" w:eastAsia="宋体" w:cs="宋体"/>
                <w:color w:val="auto"/>
                <w:sz w:val="20"/>
                <w:szCs w:val="20"/>
                <w:lang w:eastAsia="zh-CN"/>
              </w:rPr>
              <w:t>用户侧储能建设</w:t>
            </w:r>
          </w:p>
        </w:tc>
        <w:tc>
          <w:tcPr>
            <w:tcW w:w="3227" w:type="dxa"/>
            <w:tcBorders>
              <w:tl2br w:val="nil"/>
              <w:tr2bl w:val="nil"/>
            </w:tcBorders>
            <w:shd w:val="clear" w:color="auto" w:fill="auto"/>
            <w:tcMar>
              <w:top w:w="15" w:type="dxa"/>
              <w:left w:w="15" w:type="dxa"/>
              <w:right w:w="15" w:type="dxa"/>
            </w:tcMar>
            <w:vAlign w:val="center"/>
          </w:tcPr>
          <w:p w14:paraId="3580FA2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在广安市域内建设的用户侧新型储能项目（单体规模≥1000kW/2000kWh）给予建设补贴。</w:t>
            </w:r>
          </w:p>
        </w:tc>
        <w:tc>
          <w:tcPr>
            <w:tcW w:w="2334" w:type="dxa"/>
            <w:tcBorders>
              <w:tl2br w:val="nil"/>
              <w:tr2bl w:val="nil"/>
            </w:tcBorders>
            <w:shd w:val="clear" w:color="auto" w:fill="auto"/>
            <w:tcMar>
              <w:top w:w="15" w:type="dxa"/>
              <w:left w:w="15" w:type="dxa"/>
              <w:right w:w="15" w:type="dxa"/>
            </w:tcMar>
            <w:vAlign w:val="center"/>
          </w:tcPr>
          <w:p w14:paraId="02A661E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广安市发展和改革委员会 广安市经济和信息化局 广安市财政局</w:t>
            </w:r>
            <w:r>
              <w:rPr>
                <w:rFonts w:hint="default" w:ascii="Times New Roman" w:hAnsi="Times New Roman" w:eastAsia="宋体" w:cs="Times New Roman"/>
                <w:b w:val="0"/>
                <w:bCs w:val="0"/>
                <w:i w:val="0"/>
                <w:color w:val="000000"/>
                <w:kern w:val="0"/>
                <w:sz w:val="20"/>
                <w:szCs w:val="20"/>
                <w:u w:val="none"/>
                <w:lang w:val="en-US" w:eastAsia="zh-CN" w:bidi="ar"/>
              </w:rPr>
              <w:t>关于支持用户侧储能项目建设的通知</w:t>
            </w:r>
            <w:r>
              <w:rPr>
                <w:rFonts w:hint="eastAsia" w:ascii="Times New Roman" w:hAnsi="Times New Roman" w:eastAsia="宋体" w:cs="Times New Roman"/>
                <w:b w:val="0"/>
                <w:bCs w:val="0"/>
                <w:i w:val="0"/>
                <w:color w:val="000000"/>
                <w:kern w:val="0"/>
                <w:sz w:val="20"/>
                <w:szCs w:val="20"/>
                <w:u w:val="none"/>
                <w:lang w:val="en-US" w:eastAsia="zh-CN" w:bidi="ar"/>
              </w:rPr>
              <w:t>（广安发改</w:t>
            </w:r>
            <w:r>
              <w:rPr>
                <w:rFonts w:hint="default" w:ascii="Times New Roman" w:hAnsi="Times New Roman" w:eastAsia="宋体" w:cs="Times New Roman"/>
                <w:b w:val="0"/>
                <w:bCs w:val="0"/>
                <w:i w:val="0"/>
                <w:color w:val="000000"/>
                <w:kern w:val="0"/>
                <w:sz w:val="20"/>
                <w:szCs w:val="20"/>
                <w:u w:val="none"/>
                <w:lang w:val="en-US" w:eastAsia="zh-CN" w:bidi="ar"/>
              </w:rPr>
              <w:t>〔202</w:t>
            </w:r>
            <w:r>
              <w:rPr>
                <w:rFonts w:hint="eastAsia" w:ascii="Times New Roman" w:hAnsi="Times New Roman" w:eastAsia="宋体" w:cs="Times New Roman"/>
                <w:b w:val="0"/>
                <w:bCs w:val="0"/>
                <w:i w:val="0"/>
                <w:color w:val="000000"/>
                <w:kern w:val="0"/>
                <w:sz w:val="20"/>
                <w:szCs w:val="20"/>
                <w:u w:val="none"/>
                <w:lang w:val="en-US" w:eastAsia="zh-CN" w:bidi="ar"/>
              </w:rPr>
              <w:t>5</w:t>
            </w:r>
            <w:r>
              <w:rPr>
                <w:rFonts w:hint="default" w:ascii="Times New Roman" w:hAnsi="Times New Roman" w:eastAsia="宋体" w:cs="Times New Roman"/>
                <w:b w:val="0"/>
                <w:bCs w:val="0"/>
                <w:i w:val="0"/>
                <w:color w:val="000000"/>
                <w:kern w:val="0"/>
                <w:sz w:val="20"/>
                <w:szCs w:val="20"/>
                <w:u w:val="none"/>
                <w:lang w:val="en-US" w:eastAsia="zh-CN" w:bidi="ar"/>
              </w:rPr>
              <w:t>〕</w:t>
            </w:r>
            <w:r>
              <w:rPr>
                <w:rFonts w:hint="eastAsia" w:ascii="Times New Roman" w:hAnsi="Times New Roman" w:eastAsia="宋体" w:cs="Times New Roman"/>
                <w:b w:val="0"/>
                <w:bCs w:val="0"/>
                <w:i w:val="0"/>
                <w:color w:val="000000"/>
                <w:kern w:val="0"/>
                <w:sz w:val="20"/>
                <w:szCs w:val="20"/>
                <w:u w:val="none"/>
                <w:lang w:val="en-US" w:eastAsia="zh-CN" w:bidi="ar"/>
              </w:rPr>
              <w:t>169</w:t>
            </w:r>
            <w:r>
              <w:rPr>
                <w:rFonts w:hint="default" w:ascii="Times New Roman" w:hAnsi="Times New Roman" w:eastAsia="宋体" w:cs="Times New Roman"/>
                <w:b w:val="0"/>
                <w:bCs w:val="0"/>
                <w:i w:val="0"/>
                <w:color w:val="000000"/>
                <w:kern w:val="0"/>
                <w:sz w:val="20"/>
                <w:szCs w:val="20"/>
                <w:u w:val="none"/>
                <w:lang w:val="en-US" w:eastAsia="zh-CN" w:bidi="ar"/>
              </w:rPr>
              <w:t>号</w:t>
            </w:r>
            <w:r>
              <w:rPr>
                <w:rFonts w:hint="eastAsia" w:ascii="Times New Roman" w:hAnsi="Times New Roman" w:eastAsia="宋体" w:cs="Times New Roman"/>
                <w:b w:val="0"/>
                <w:bCs w:val="0"/>
                <w:i w:val="0"/>
                <w:color w:val="000000"/>
                <w:kern w:val="0"/>
                <w:sz w:val="20"/>
                <w:szCs w:val="20"/>
                <w:u w:val="none"/>
                <w:lang w:val="en-US" w:eastAsia="zh-CN" w:bidi="ar"/>
              </w:rPr>
              <w:t>）</w:t>
            </w:r>
          </w:p>
        </w:tc>
        <w:tc>
          <w:tcPr>
            <w:tcW w:w="770" w:type="dxa"/>
            <w:tcBorders>
              <w:tl2br w:val="nil"/>
              <w:tr2bl w:val="nil"/>
            </w:tcBorders>
            <w:shd w:val="clear" w:color="auto" w:fill="auto"/>
            <w:tcMar>
              <w:top w:w="15" w:type="dxa"/>
              <w:left w:w="15" w:type="dxa"/>
              <w:right w:w="15" w:type="dxa"/>
            </w:tcMar>
            <w:vAlign w:val="center"/>
          </w:tcPr>
          <w:p w14:paraId="2134E42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sz w:val="20"/>
                <w:szCs w:val="20"/>
                <w:lang w:eastAsia="zh-CN"/>
              </w:rPr>
            </w:pPr>
            <w:r>
              <w:rPr>
                <w:rFonts w:hint="eastAsia" w:eastAsia="宋体"/>
                <w:color w:val="auto"/>
                <w:sz w:val="20"/>
                <w:szCs w:val="20"/>
                <w:lang w:eastAsia="zh-CN"/>
              </w:rPr>
              <w:t>奖补类</w:t>
            </w:r>
          </w:p>
        </w:tc>
        <w:tc>
          <w:tcPr>
            <w:tcW w:w="770" w:type="dxa"/>
            <w:tcBorders>
              <w:tl2br w:val="nil"/>
              <w:tr2bl w:val="nil"/>
            </w:tcBorders>
            <w:shd w:val="clear" w:color="auto" w:fill="auto"/>
            <w:tcMar>
              <w:top w:w="15" w:type="dxa"/>
              <w:left w:w="15" w:type="dxa"/>
              <w:right w:w="15" w:type="dxa"/>
            </w:tcMar>
            <w:vAlign w:val="center"/>
          </w:tcPr>
          <w:p w14:paraId="596B28B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sz w:val="20"/>
                <w:szCs w:val="20"/>
                <w:lang w:eastAsia="zh-CN"/>
              </w:rPr>
            </w:pPr>
            <w:r>
              <w:rPr>
                <w:rFonts w:hint="eastAsia" w:eastAsia="宋体"/>
                <w:color w:val="auto"/>
                <w:sz w:val="20"/>
                <w:szCs w:val="20"/>
                <w:lang w:eastAsia="zh-CN"/>
              </w:rPr>
              <w:t>广安市</w:t>
            </w:r>
          </w:p>
        </w:tc>
        <w:tc>
          <w:tcPr>
            <w:tcW w:w="770" w:type="dxa"/>
            <w:tcBorders>
              <w:tl2br w:val="nil"/>
              <w:tr2bl w:val="nil"/>
            </w:tcBorders>
            <w:shd w:val="clear" w:color="auto" w:fill="auto"/>
            <w:tcMar>
              <w:top w:w="15" w:type="dxa"/>
              <w:left w:w="15" w:type="dxa"/>
              <w:right w:w="15" w:type="dxa"/>
            </w:tcMar>
            <w:vAlign w:val="center"/>
          </w:tcPr>
          <w:p w14:paraId="28C26B9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sz w:val="20"/>
                <w:szCs w:val="20"/>
                <w:lang w:eastAsia="zh-CN"/>
              </w:rPr>
            </w:pPr>
            <w:r>
              <w:rPr>
                <w:rFonts w:hint="eastAsia" w:eastAsia="宋体"/>
                <w:color w:val="auto"/>
                <w:sz w:val="20"/>
                <w:szCs w:val="20"/>
                <w:lang w:eastAsia="zh-CN"/>
              </w:rPr>
              <w:t>广安市</w:t>
            </w:r>
          </w:p>
        </w:tc>
        <w:tc>
          <w:tcPr>
            <w:tcW w:w="888" w:type="dxa"/>
            <w:tcBorders>
              <w:tl2br w:val="nil"/>
              <w:tr2bl w:val="nil"/>
            </w:tcBorders>
            <w:shd w:val="clear" w:color="auto" w:fill="auto"/>
            <w:tcMar>
              <w:top w:w="15" w:type="dxa"/>
              <w:left w:w="15" w:type="dxa"/>
              <w:right w:w="15" w:type="dxa"/>
            </w:tcMar>
            <w:vAlign w:val="center"/>
          </w:tcPr>
          <w:p w14:paraId="7FEC407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cs="Times New Roman"/>
                <w:color w:val="auto"/>
                <w:sz w:val="20"/>
                <w:szCs w:val="20"/>
                <w:lang w:eastAsia="zh-CN"/>
              </w:rPr>
            </w:pPr>
            <w:r>
              <w:rPr>
                <w:rFonts w:hint="eastAsia" w:ascii="Times New Roman" w:hAnsi="Times New Roman" w:cs="Times New Roman"/>
                <w:color w:val="auto"/>
                <w:sz w:val="20"/>
                <w:szCs w:val="20"/>
                <w:lang w:eastAsia="zh-CN"/>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4892ACA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sz w:val="20"/>
                <w:szCs w:val="20"/>
                <w:lang w:eastAsia="zh-CN"/>
              </w:rPr>
            </w:pPr>
            <w:r>
              <w:rPr>
                <w:rFonts w:hint="eastAsia" w:eastAsia="宋体"/>
                <w:color w:val="auto"/>
                <w:sz w:val="20"/>
                <w:szCs w:val="20"/>
                <w:lang w:eastAsia="zh-CN"/>
              </w:rPr>
              <w:t>市发展改革委</w:t>
            </w:r>
          </w:p>
        </w:tc>
        <w:tc>
          <w:tcPr>
            <w:tcW w:w="1085" w:type="dxa"/>
            <w:tcBorders>
              <w:tl2br w:val="nil"/>
              <w:tr2bl w:val="nil"/>
            </w:tcBorders>
            <w:shd w:val="clear" w:color="auto" w:fill="auto"/>
            <w:tcMar>
              <w:top w:w="15" w:type="dxa"/>
              <w:left w:w="15" w:type="dxa"/>
              <w:right w:w="15" w:type="dxa"/>
            </w:tcMar>
            <w:vAlign w:val="center"/>
          </w:tcPr>
          <w:p w14:paraId="4789F4C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both"/>
              <w:textAlignment w:val="center"/>
              <w:rPr>
                <w:rFonts w:hint="default" w:ascii="Times New Roman" w:hAnsi="Times New Roman" w:eastAsia="宋体" w:cs="Times New Roman"/>
                <w:color w:val="auto"/>
                <w:sz w:val="20"/>
                <w:szCs w:val="20"/>
                <w:lang w:eastAsia="zh-CN"/>
              </w:rPr>
            </w:pPr>
            <w:r>
              <w:rPr>
                <w:rFonts w:hint="eastAsia" w:eastAsia="宋体"/>
                <w:color w:val="auto"/>
                <w:sz w:val="20"/>
                <w:szCs w:val="20"/>
                <w:lang w:eastAsia="zh-CN"/>
              </w:rPr>
              <w:t>各用户侧储能项目业主单位</w:t>
            </w:r>
          </w:p>
        </w:tc>
        <w:tc>
          <w:tcPr>
            <w:tcW w:w="705" w:type="dxa"/>
            <w:tcBorders>
              <w:tl2br w:val="nil"/>
              <w:tr2bl w:val="nil"/>
            </w:tcBorders>
            <w:shd w:val="clear" w:color="auto" w:fill="auto"/>
            <w:tcMar>
              <w:top w:w="15" w:type="dxa"/>
              <w:left w:w="15" w:type="dxa"/>
              <w:right w:w="15" w:type="dxa"/>
            </w:tcMar>
            <w:vAlign w:val="center"/>
          </w:tcPr>
          <w:p w14:paraId="190AAD1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cs="Times New Roman"/>
                <w:color w:val="auto"/>
                <w:sz w:val="20"/>
                <w:szCs w:val="20"/>
                <w:lang w:eastAsia="zh-CN"/>
              </w:rPr>
            </w:pPr>
            <w:r>
              <w:rPr>
                <w:rFonts w:hint="eastAsia" w:ascii="Times New Roman" w:hAnsi="Times New Roman" w:eastAsia="宋体" w:cs="Times New Roman"/>
                <w:color w:val="auto"/>
                <w:sz w:val="20"/>
                <w:szCs w:val="20"/>
                <w:lang w:eastAsia="zh-CN"/>
              </w:rPr>
              <w:t>快申快享</w:t>
            </w:r>
          </w:p>
        </w:tc>
        <w:tc>
          <w:tcPr>
            <w:tcW w:w="1171" w:type="dxa"/>
            <w:tcBorders>
              <w:tl2br w:val="nil"/>
              <w:tr2bl w:val="nil"/>
            </w:tcBorders>
            <w:shd w:val="clear" w:color="auto" w:fill="auto"/>
            <w:tcMar>
              <w:top w:w="15" w:type="dxa"/>
              <w:left w:w="15" w:type="dxa"/>
              <w:right w:w="15" w:type="dxa"/>
            </w:tcMar>
            <w:vAlign w:val="center"/>
          </w:tcPr>
          <w:p w14:paraId="014A3F3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60个工作日</w:t>
            </w:r>
          </w:p>
        </w:tc>
        <w:tc>
          <w:tcPr>
            <w:tcW w:w="1095" w:type="dxa"/>
            <w:tcBorders>
              <w:tl2br w:val="nil"/>
              <w:tr2bl w:val="nil"/>
            </w:tcBorders>
            <w:shd w:val="clear" w:color="auto" w:fill="auto"/>
            <w:tcMar>
              <w:top w:w="15" w:type="dxa"/>
              <w:left w:w="15" w:type="dxa"/>
              <w:right w:w="15" w:type="dxa"/>
            </w:tcMar>
            <w:vAlign w:val="center"/>
          </w:tcPr>
          <w:p w14:paraId="202603E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2026年6月30日前</w:t>
            </w:r>
          </w:p>
        </w:tc>
      </w:tr>
      <w:tr w14:paraId="29559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871" w:hRule="atLeast"/>
          <w:jc w:val="center"/>
        </w:trPr>
        <w:tc>
          <w:tcPr>
            <w:tcW w:w="500" w:type="dxa"/>
            <w:tcBorders>
              <w:tl2br w:val="nil"/>
              <w:tr2bl w:val="nil"/>
            </w:tcBorders>
            <w:shd w:val="clear" w:color="auto" w:fill="auto"/>
            <w:tcMar>
              <w:top w:w="15" w:type="dxa"/>
              <w:left w:w="15" w:type="dxa"/>
              <w:right w:w="15" w:type="dxa"/>
            </w:tcMar>
            <w:vAlign w:val="center"/>
          </w:tcPr>
          <w:p w14:paraId="732C68F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30</w:t>
            </w:r>
          </w:p>
        </w:tc>
        <w:tc>
          <w:tcPr>
            <w:tcW w:w="906" w:type="dxa"/>
            <w:tcBorders>
              <w:tl2br w:val="nil"/>
              <w:tr2bl w:val="nil"/>
            </w:tcBorders>
            <w:shd w:val="clear" w:color="auto" w:fill="auto"/>
            <w:tcMar>
              <w:top w:w="15" w:type="dxa"/>
              <w:left w:w="15" w:type="dxa"/>
              <w:right w:w="15" w:type="dxa"/>
            </w:tcMar>
            <w:vAlign w:val="center"/>
          </w:tcPr>
          <w:p w14:paraId="7A75735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电网侧储能项目建设奖补</w:t>
            </w:r>
          </w:p>
          <w:p w14:paraId="742F2B0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eastAsia="zh-CN"/>
              </w:rPr>
            </w:pPr>
          </w:p>
        </w:tc>
        <w:tc>
          <w:tcPr>
            <w:tcW w:w="3227" w:type="dxa"/>
            <w:tcBorders>
              <w:tl2br w:val="nil"/>
              <w:tr2bl w:val="nil"/>
            </w:tcBorders>
            <w:shd w:val="clear" w:color="auto" w:fill="auto"/>
            <w:tcMar>
              <w:top w:w="15" w:type="dxa"/>
              <w:left w:w="15" w:type="dxa"/>
              <w:right w:w="15" w:type="dxa"/>
            </w:tcMar>
            <w:vAlign w:val="center"/>
          </w:tcPr>
          <w:p w14:paraId="7E3E92A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在广安市域内建设的电网侧新型储能项目（单体规模≥5000kW/10000kWh）给予建设补贴。</w:t>
            </w:r>
          </w:p>
          <w:p w14:paraId="64CB5DA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p>
        </w:tc>
        <w:tc>
          <w:tcPr>
            <w:tcW w:w="2334" w:type="dxa"/>
            <w:tcBorders>
              <w:tl2br w:val="nil"/>
              <w:tr2bl w:val="nil"/>
            </w:tcBorders>
            <w:shd w:val="clear" w:color="auto" w:fill="auto"/>
            <w:tcMar>
              <w:top w:w="15" w:type="dxa"/>
              <w:left w:w="15" w:type="dxa"/>
              <w:right w:w="15" w:type="dxa"/>
            </w:tcMar>
            <w:vAlign w:val="center"/>
          </w:tcPr>
          <w:p w14:paraId="5763434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spacing w:val="-6"/>
                <w:kern w:val="0"/>
                <w:sz w:val="20"/>
                <w:szCs w:val="20"/>
                <w:u w:val="none"/>
                <w:lang w:val="en-US" w:eastAsia="zh-CN" w:bidi="ar"/>
              </w:rPr>
            </w:pPr>
            <w:r>
              <w:rPr>
                <w:rFonts w:hint="eastAsia" w:ascii="Times New Roman" w:hAnsi="Times New Roman" w:eastAsia="宋体" w:cs="Times New Roman"/>
                <w:b w:val="0"/>
                <w:bCs w:val="0"/>
                <w:i w:val="0"/>
                <w:color w:val="000000"/>
                <w:spacing w:val="-6"/>
                <w:kern w:val="0"/>
                <w:sz w:val="20"/>
                <w:szCs w:val="20"/>
                <w:u w:val="none"/>
                <w:lang w:val="en-US" w:eastAsia="zh-CN" w:bidi="ar"/>
              </w:rPr>
              <w:t xml:space="preserve">《四川省发展和改革委员会关于开展2025年电网侧新型储能项目申报工作的通知》(川发改能源〔2025〕65号)  </w:t>
            </w:r>
            <w:r>
              <w:rPr>
                <w:rFonts w:hint="eastAsia" w:ascii="Times New Roman" w:hAnsi="Times New Roman" w:eastAsia="宋体" w:cs="Times New Roman"/>
                <w:b w:val="0"/>
                <w:bCs w:val="0"/>
                <w:i w:val="0"/>
                <w:color w:val="000000"/>
                <w:kern w:val="0"/>
                <w:sz w:val="20"/>
                <w:szCs w:val="20"/>
                <w:u w:val="none"/>
                <w:lang w:val="en-US" w:eastAsia="zh-CN" w:bidi="ar"/>
              </w:rPr>
              <w:t>广安市发展和改革委员会 广安市经济和信息化局 广安市财政局</w:t>
            </w:r>
            <w:r>
              <w:rPr>
                <w:rFonts w:hint="default" w:ascii="Times New Roman" w:hAnsi="Times New Roman" w:eastAsia="宋体" w:cs="Times New Roman"/>
                <w:b w:val="0"/>
                <w:bCs w:val="0"/>
                <w:i w:val="0"/>
                <w:color w:val="000000"/>
                <w:kern w:val="0"/>
                <w:sz w:val="20"/>
                <w:szCs w:val="20"/>
                <w:u w:val="none"/>
                <w:lang w:val="en-US" w:eastAsia="zh-CN" w:bidi="ar"/>
              </w:rPr>
              <w:t>关于支持用户侧储能项目建设的通知</w:t>
            </w:r>
            <w:r>
              <w:rPr>
                <w:rFonts w:hint="eastAsia" w:ascii="Times New Roman" w:hAnsi="Times New Roman" w:eastAsia="宋体" w:cs="Times New Roman"/>
                <w:b w:val="0"/>
                <w:bCs w:val="0"/>
                <w:i w:val="0"/>
                <w:color w:val="000000"/>
                <w:kern w:val="0"/>
                <w:sz w:val="20"/>
                <w:szCs w:val="20"/>
                <w:u w:val="none"/>
                <w:lang w:val="en-US" w:eastAsia="zh-CN" w:bidi="ar"/>
              </w:rPr>
              <w:t>（广安发改</w:t>
            </w:r>
            <w:r>
              <w:rPr>
                <w:rFonts w:hint="default" w:ascii="Times New Roman" w:hAnsi="Times New Roman" w:eastAsia="宋体" w:cs="Times New Roman"/>
                <w:b w:val="0"/>
                <w:bCs w:val="0"/>
                <w:i w:val="0"/>
                <w:color w:val="000000"/>
                <w:kern w:val="0"/>
                <w:sz w:val="20"/>
                <w:szCs w:val="20"/>
                <w:u w:val="none"/>
                <w:lang w:val="en-US" w:eastAsia="zh-CN" w:bidi="ar"/>
              </w:rPr>
              <w:t>〔202</w:t>
            </w:r>
            <w:r>
              <w:rPr>
                <w:rFonts w:hint="eastAsia" w:ascii="Times New Roman" w:hAnsi="Times New Roman" w:eastAsia="宋体" w:cs="Times New Roman"/>
                <w:b w:val="0"/>
                <w:bCs w:val="0"/>
                <w:i w:val="0"/>
                <w:color w:val="000000"/>
                <w:kern w:val="0"/>
                <w:sz w:val="20"/>
                <w:szCs w:val="20"/>
                <w:u w:val="none"/>
                <w:lang w:val="en-US" w:eastAsia="zh-CN" w:bidi="ar"/>
              </w:rPr>
              <w:t>5</w:t>
            </w:r>
            <w:r>
              <w:rPr>
                <w:rFonts w:hint="default" w:ascii="Times New Roman" w:hAnsi="Times New Roman" w:eastAsia="宋体" w:cs="Times New Roman"/>
                <w:b w:val="0"/>
                <w:bCs w:val="0"/>
                <w:i w:val="0"/>
                <w:color w:val="000000"/>
                <w:kern w:val="0"/>
                <w:sz w:val="20"/>
                <w:szCs w:val="20"/>
                <w:u w:val="none"/>
                <w:lang w:val="en-US" w:eastAsia="zh-CN" w:bidi="ar"/>
              </w:rPr>
              <w:t>〕</w:t>
            </w:r>
            <w:r>
              <w:rPr>
                <w:rFonts w:hint="eastAsia" w:ascii="Times New Roman" w:hAnsi="Times New Roman" w:eastAsia="宋体" w:cs="Times New Roman"/>
                <w:b w:val="0"/>
                <w:bCs w:val="0"/>
                <w:i w:val="0"/>
                <w:color w:val="000000"/>
                <w:kern w:val="0"/>
                <w:sz w:val="20"/>
                <w:szCs w:val="20"/>
                <w:u w:val="none"/>
                <w:lang w:val="en-US" w:eastAsia="zh-CN" w:bidi="ar"/>
              </w:rPr>
              <w:t>169</w:t>
            </w:r>
            <w:r>
              <w:rPr>
                <w:rFonts w:hint="default" w:ascii="Times New Roman" w:hAnsi="Times New Roman" w:eastAsia="宋体" w:cs="Times New Roman"/>
                <w:b w:val="0"/>
                <w:bCs w:val="0"/>
                <w:i w:val="0"/>
                <w:color w:val="000000"/>
                <w:kern w:val="0"/>
                <w:sz w:val="20"/>
                <w:szCs w:val="20"/>
                <w:u w:val="none"/>
                <w:lang w:val="en-US" w:eastAsia="zh-CN" w:bidi="ar"/>
              </w:rPr>
              <w:t>号</w:t>
            </w:r>
            <w:r>
              <w:rPr>
                <w:rFonts w:hint="eastAsia" w:ascii="Times New Roman" w:hAnsi="Times New Roman" w:eastAsia="宋体" w:cs="Times New Roman"/>
                <w:b w:val="0"/>
                <w:bCs w:val="0"/>
                <w:i w:val="0"/>
                <w:color w:val="000000"/>
                <w:kern w:val="0"/>
                <w:sz w:val="20"/>
                <w:szCs w:val="20"/>
                <w:u w:val="none"/>
                <w:lang w:val="en-US" w:eastAsia="zh-CN" w:bidi="ar"/>
              </w:rPr>
              <w:t>）</w:t>
            </w:r>
          </w:p>
        </w:tc>
        <w:tc>
          <w:tcPr>
            <w:tcW w:w="770" w:type="dxa"/>
            <w:tcBorders>
              <w:tl2br w:val="nil"/>
              <w:tr2bl w:val="nil"/>
            </w:tcBorders>
            <w:shd w:val="clear" w:color="auto" w:fill="auto"/>
            <w:tcMar>
              <w:top w:w="15" w:type="dxa"/>
              <w:left w:w="15" w:type="dxa"/>
              <w:right w:w="15" w:type="dxa"/>
            </w:tcMar>
            <w:vAlign w:val="center"/>
          </w:tcPr>
          <w:p w14:paraId="6861AFE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color w:val="auto"/>
                <w:kern w:val="2"/>
                <w:sz w:val="20"/>
                <w:szCs w:val="20"/>
                <w:lang w:val="en-US" w:eastAsia="zh-CN" w:bidi="ar-SA"/>
              </w:rPr>
            </w:pPr>
            <w:r>
              <w:rPr>
                <w:rFonts w:hint="eastAsia" w:eastAsia="宋体"/>
                <w:color w:val="auto"/>
                <w:sz w:val="20"/>
                <w:szCs w:val="20"/>
                <w:lang w:eastAsia="zh-CN"/>
              </w:rPr>
              <w:t>奖补类</w:t>
            </w:r>
          </w:p>
        </w:tc>
        <w:tc>
          <w:tcPr>
            <w:tcW w:w="770" w:type="dxa"/>
            <w:tcBorders>
              <w:tl2br w:val="nil"/>
              <w:tr2bl w:val="nil"/>
            </w:tcBorders>
            <w:shd w:val="clear" w:color="auto" w:fill="auto"/>
            <w:tcMar>
              <w:top w:w="15" w:type="dxa"/>
              <w:left w:w="15" w:type="dxa"/>
              <w:right w:w="15" w:type="dxa"/>
            </w:tcMar>
            <w:vAlign w:val="center"/>
          </w:tcPr>
          <w:p w14:paraId="7C0F4CA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color w:val="auto"/>
                <w:kern w:val="2"/>
                <w:sz w:val="20"/>
                <w:szCs w:val="20"/>
                <w:lang w:val="en-US" w:eastAsia="zh-CN" w:bidi="ar-SA"/>
              </w:rPr>
            </w:pPr>
            <w:r>
              <w:rPr>
                <w:rFonts w:hint="eastAsia" w:eastAsia="宋体"/>
                <w:color w:val="auto"/>
                <w:sz w:val="20"/>
                <w:szCs w:val="20"/>
                <w:lang w:eastAsia="zh-CN"/>
              </w:rPr>
              <w:t>广安市</w:t>
            </w:r>
          </w:p>
        </w:tc>
        <w:tc>
          <w:tcPr>
            <w:tcW w:w="770" w:type="dxa"/>
            <w:tcBorders>
              <w:tl2br w:val="nil"/>
              <w:tr2bl w:val="nil"/>
            </w:tcBorders>
            <w:shd w:val="clear" w:color="auto" w:fill="auto"/>
            <w:tcMar>
              <w:top w:w="15" w:type="dxa"/>
              <w:left w:w="15" w:type="dxa"/>
              <w:right w:w="15" w:type="dxa"/>
            </w:tcMar>
            <w:vAlign w:val="center"/>
          </w:tcPr>
          <w:p w14:paraId="321C729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color w:val="auto"/>
                <w:kern w:val="2"/>
                <w:sz w:val="20"/>
                <w:szCs w:val="20"/>
                <w:lang w:val="en-US" w:eastAsia="zh-CN" w:bidi="ar-SA"/>
              </w:rPr>
            </w:pPr>
            <w:r>
              <w:rPr>
                <w:rFonts w:hint="eastAsia" w:eastAsia="宋体"/>
                <w:color w:val="auto"/>
                <w:sz w:val="20"/>
                <w:szCs w:val="20"/>
                <w:lang w:eastAsia="zh-CN"/>
              </w:rPr>
              <w:t>广安市</w:t>
            </w:r>
          </w:p>
        </w:tc>
        <w:tc>
          <w:tcPr>
            <w:tcW w:w="888" w:type="dxa"/>
            <w:tcBorders>
              <w:tl2br w:val="nil"/>
              <w:tr2bl w:val="nil"/>
            </w:tcBorders>
            <w:shd w:val="clear" w:color="auto" w:fill="auto"/>
            <w:tcMar>
              <w:top w:w="15" w:type="dxa"/>
              <w:left w:w="15" w:type="dxa"/>
              <w:right w:w="15" w:type="dxa"/>
            </w:tcMar>
            <w:vAlign w:val="center"/>
          </w:tcPr>
          <w:p w14:paraId="4C14AC4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cs="Times New Roman" w:eastAsiaTheme="minorEastAsia"/>
                <w:color w:val="auto"/>
                <w:kern w:val="2"/>
                <w:sz w:val="20"/>
                <w:szCs w:val="20"/>
                <w:lang w:val="en-US" w:eastAsia="zh-CN" w:bidi="ar-SA"/>
              </w:rPr>
            </w:pPr>
            <w:r>
              <w:rPr>
                <w:rFonts w:hint="eastAsia" w:ascii="Times New Roman" w:hAnsi="Times New Roman" w:cs="Times New Roman"/>
                <w:color w:val="auto"/>
                <w:sz w:val="20"/>
                <w:szCs w:val="20"/>
                <w:lang w:eastAsia="zh-CN"/>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22400BF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eastAsia="宋体"/>
                <w:color w:val="auto"/>
                <w:sz w:val="20"/>
                <w:szCs w:val="20"/>
                <w:lang w:val="en-US" w:eastAsia="zh-CN"/>
              </w:rPr>
            </w:pPr>
            <w:r>
              <w:rPr>
                <w:rFonts w:hint="eastAsia" w:eastAsia="宋体"/>
                <w:color w:val="auto"/>
                <w:sz w:val="20"/>
                <w:szCs w:val="20"/>
                <w:lang w:eastAsia="zh-CN"/>
              </w:rPr>
              <w:t>市发展改革委</w:t>
            </w:r>
          </w:p>
        </w:tc>
        <w:tc>
          <w:tcPr>
            <w:tcW w:w="1085" w:type="dxa"/>
            <w:tcBorders>
              <w:tl2br w:val="nil"/>
              <w:tr2bl w:val="nil"/>
            </w:tcBorders>
            <w:shd w:val="clear" w:color="auto" w:fill="auto"/>
            <w:tcMar>
              <w:top w:w="15" w:type="dxa"/>
              <w:left w:w="15" w:type="dxa"/>
              <w:right w:w="15" w:type="dxa"/>
            </w:tcMar>
            <w:vAlign w:val="center"/>
          </w:tcPr>
          <w:p w14:paraId="6EB0BAB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both"/>
              <w:textAlignment w:val="center"/>
              <w:rPr>
                <w:rFonts w:hint="eastAsia" w:eastAsia="宋体"/>
                <w:color w:val="auto"/>
                <w:sz w:val="20"/>
                <w:szCs w:val="20"/>
                <w:lang w:eastAsia="zh-CN"/>
              </w:rPr>
            </w:pPr>
            <w:r>
              <w:rPr>
                <w:rFonts w:hint="eastAsia" w:eastAsia="宋体"/>
                <w:color w:val="auto"/>
                <w:sz w:val="20"/>
                <w:szCs w:val="20"/>
                <w:lang w:eastAsia="zh-CN"/>
              </w:rPr>
              <w:t>电网侧新型储能项目运营企业</w:t>
            </w:r>
          </w:p>
        </w:tc>
        <w:tc>
          <w:tcPr>
            <w:tcW w:w="705" w:type="dxa"/>
            <w:tcBorders>
              <w:tl2br w:val="nil"/>
              <w:tr2bl w:val="nil"/>
            </w:tcBorders>
            <w:shd w:val="clear" w:color="auto" w:fill="auto"/>
            <w:tcMar>
              <w:top w:w="15" w:type="dxa"/>
              <w:left w:w="15" w:type="dxa"/>
              <w:right w:w="15" w:type="dxa"/>
            </w:tcMar>
            <w:vAlign w:val="center"/>
          </w:tcPr>
          <w:p w14:paraId="622538C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eastAsia="宋体"/>
                <w:color w:val="auto"/>
                <w:sz w:val="20"/>
                <w:szCs w:val="20"/>
                <w:lang w:eastAsia="zh-CN"/>
              </w:rPr>
            </w:pPr>
            <w:r>
              <w:rPr>
                <w:rFonts w:hint="eastAsia" w:ascii="Times New Roman" w:hAnsi="Times New Roman" w:cs="Times New Roman"/>
                <w:color w:val="auto"/>
                <w:sz w:val="20"/>
                <w:szCs w:val="20"/>
                <w:lang w:eastAsia="zh-CN"/>
              </w:rPr>
              <w:t>即</w:t>
            </w:r>
            <w:r>
              <w:rPr>
                <w:rFonts w:hint="default" w:ascii="Times New Roman" w:hAnsi="Times New Roman" w:eastAsia="宋体" w:cs="Times New Roman"/>
                <w:color w:val="auto"/>
                <w:sz w:val="20"/>
                <w:szCs w:val="20"/>
                <w:lang w:eastAsia="zh-CN"/>
              </w:rPr>
              <w:t>申即享</w:t>
            </w:r>
          </w:p>
        </w:tc>
        <w:tc>
          <w:tcPr>
            <w:tcW w:w="1171" w:type="dxa"/>
            <w:tcBorders>
              <w:tl2br w:val="nil"/>
              <w:tr2bl w:val="nil"/>
            </w:tcBorders>
            <w:shd w:val="clear" w:color="auto" w:fill="auto"/>
            <w:tcMar>
              <w:top w:w="15" w:type="dxa"/>
              <w:left w:w="15" w:type="dxa"/>
              <w:right w:w="15" w:type="dxa"/>
            </w:tcMar>
            <w:vAlign w:val="center"/>
          </w:tcPr>
          <w:p w14:paraId="273CFAA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eastAsia="宋体"/>
                <w:color w:val="auto"/>
                <w:sz w:val="20"/>
                <w:szCs w:val="20"/>
                <w:lang w:eastAsia="zh-CN"/>
              </w:rPr>
            </w:pPr>
            <w:r>
              <w:rPr>
                <w:rFonts w:hint="eastAsia" w:eastAsia="宋体"/>
                <w:color w:val="auto"/>
                <w:sz w:val="20"/>
                <w:szCs w:val="20"/>
                <w:lang w:eastAsia="zh-CN"/>
              </w:rPr>
              <w:t>60个工作日</w:t>
            </w:r>
          </w:p>
          <w:p w14:paraId="46CC030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eastAsia="宋体"/>
                <w:color w:val="auto"/>
                <w:sz w:val="20"/>
                <w:szCs w:val="20"/>
                <w:lang w:eastAsia="zh-CN"/>
              </w:rPr>
            </w:pPr>
          </w:p>
        </w:tc>
        <w:tc>
          <w:tcPr>
            <w:tcW w:w="1095" w:type="dxa"/>
            <w:tcBorders>
              <w:tl2br w:val="nil"/>
              <w:tr2bl w:val="nil"/>
            </w:tcBorders>
            <w:shd w:val="clear" w:color="auto" w:fill="auto"/>
            <w:tcMar>
              <w:top w:w="15" w:type="dxa"/>
              <w:left w:w="15" w:type="dxa"/>
              <w:right w:w="15" w:type="dxa"/>
            </w:tcMar>
            <w:vAlign w:val="center"/>
          </w:tcPr>
          <w:p w14:paraId="7AA8E45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2026年6月30日前</w:t>
            </w:r>
          </w:p>
        </w:tc>
      </w:tr>
      <w:tr w14:paraId="0D2DD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871" w:hRule="atLeast"/>
          <w:jc w:val="center"/>
        </w:trPr>
        <w:tc>
          <w:tcPr>
            <w:tcW w:w="500" w:type="dxa"/>
            <w:tcBorders>
              <w:tl2br w:val="nil"/>
              <w:tr2bl w:val="nil"/>
            </w:tcBorders>
            <w:shd w:val="clear" w:color="auto" w:fill="auto"/>
            <w:tcMar>
              <w:top w:w="15" w:type="dxa"/>
              <w:left w:w="15" w:type="dxa"/>
              <w:right w:w="15" w:type="dxa"/>
            </w:tcMar>
            <w:vAlign w:val="center"/>
          </w:tcPr>
          <w:p w14:paraId="2E4A820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31</w:t>
            </w:r>
          </w:p>
        </w:tc>
        <w:tc>
          <w:tcPr>
            <w:tcW w:w="906" w:type="dxa"/>
            <w:tcBorders>
              <w:tl2br w:val="nil"/>
              <w:tr2bl w:val="nil"/>
            </w:tcBorders>
            <w:shd w:val="clear" w:color="auto" w:fill="auto"/>
            <w:tcMar>
              <w:top w:w="15" w:type="dxa"/>
              <w:left w:w="15" w:type="dxa"/>
              <w:right w:w="15" w:type="dxa"/>
            </w:tcMar>
            <w:vAlign w:val="center"/>
          </w:tcPr>
          <w:p w14:paraId="6046FBE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color w:val="auto"/>
                <w:sz w:val="20"/>
                <w:szCs w:val="20"/>
                <w:lang w:eastAsia="zh-CN"/>
              </w:rPr>
              <w:t>电价减免</w:t>
            </w:r>
          </w:p>
        </w:tc>
        <w:tc>
          <w:tcPr>
            <w:tcW w:w="3227" w:type="dxa"/>
            <w:tcBorders>
              <w:tl2br w:val="nil"/>
              <w:tr2bl w:val="nil"/>
            </w:tcBorders>
            <w:shd w:val="clear" w:color="auto" w:fill="auto"/>
            <w:tcMar>
              <w:top w:w="15" w:type="dxa"/>
              <w:left w:w="15" w:type="dxa"/>
              <w:right w:w="15" w:type="dxa"/>
            </w:tcMar>
            <w:vAlign w:val="center"/>
          </w:tcPr>
          <w:p w14:paraId="0439FD0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公共充电基础设施电价减免</w:t>
            </w:r>
          </w:p>
        </w:tc>
        <w:tc>
          <w:tcPr>
            <w:tcW w:w="2334" w:type="dxa"/>
            <w:tcBorders>
              <w:tl2br w:val="nil"/>
              <w:tr2bl w:val="nil"/>
            </w:tcBorders>
            <w:shd w:val="clear" w:color="auto" w:fill="auto"/>
            <w:tcMar>
              <w:top w:w="15" w:type="dxa"/>
              <w:left w:w="15" w:type="dxa"/>
              <w:right w:w="15" w:type="dxa"/>
            </w:tcMar>
            <w:vAlign w:val="center"/>
          </w:tcPr>
          <w:p w14:paraId="09265BC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spacing w:val="-6"/>
                <w:kern w:val="0"/>
                <w:sz w:val="20"/>
                <w:szCs w:val="20"/>
                <w:u w:val="none"/>
                <w:lang w:val="en-US" w:eastAsia="zh-CN" w:bidi="ar"/>
              </w:rPr>
              <w:t>四川省发展和改革委员会 四川省能源局关于印发《四川省充电基础设施建设运营管理办法》的通知（川发改能源规〔2023〕137号）、四川省人民政府办公厅《关于印发〈四川省充电基础设施发展规划（2024—2030年）〉的通知》（川办发〔2024〕30号）</w:t>
            </w:r>
          </w:p>
        </w:tc>
        <w:tc>
          <w:tcPr>
            <w:tcW w:w="770" w:type="dxa"/>
            <w:tcBorders>
              <w:tl2br w:val="nil"/>
              <w:tr2bl w:val="nil"/>
            </w:tcBorders>
            <w:shd w:val="clear" w:color="auto" w:fill="auto"/>
            <w:tcMar>
              <w:top w:w="15" w:type="dxa"/>
              <w:left w:w="15" w:type="dxa"/>
              <w:right w:w="15" w:type="dxa"/>
            </w:tcMar>
            <w:vAlign w:val="center"/>
          </w:tcPr>
          <w:p w14:paraId="62F7AAA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eastAsia"/>
                <w:color w:val="auto"/>
                <w:sz w:val="20"/>
                <w:szCs w:val="20"/>
                <w:lang w:val="en-US" w:eastAsia="zh-CN"/>
              </w:rPr>
              <w:t>减免类</w:t>
            </w:r>
          </w:p>
        </w:tc>
        <w:tc>
          <w:tcPr>
            <w:tcW w:w="770" w:type="dxa"/>
            <w:tcBorders>
              <w:tl2br w:val="nil"/>
              <w:tr2bl w:val="nil"/>
            </w:tcBorders>
            <w:shd w:val="clear" w:color="auto" w:fill="auto"/>
            <w:tcMar>
              <w:top w:w="15" w:type="dxa"/>
              <w:left w:w="15" w:type="dxa"/>
              <w:right w:w="15" w:type="dxa"/>
            </w:tcMar>
            <w:vAlign w:val="center"/>
          </w:tcPr>
          <w:p w14:paraId="48A26D5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eastAsia" w:eastAsia="宋体"/>
                <w:color w:val="auto"/>
                <w:sz w:val="20"/>
                <w:szCs w:val="20"/>
                <w:lang w:eastAsia="zh-CN"/>
              </w:rPr>
              <w:t>省级</w:t>
            </w:r>
          </w:p>
        </w:tc>
        <w:tc>
          <w:tcPr>
            <w:tcW w:w="770" w:type="dxa"/>
            <w:tcBorders>
              <w:tl2br w:val="nil"/>
              <w:tr2bl w:val="nil"/>
            </w:tcBorders>
            <w:shd w:val="clear" w:color="auto" w:fill="auto"/>
            <w:tcMar>
              <w:top w:w="15" w:type="dxa"/>
              <w:left w:w="15" w:type="dxa"/>
              <w:right w:w="15" w:type="dxa"/>
            </w:tcMar>
            <w:vAlign w:val="center"/>
          </w:tcPr>
          <w:p w14:paraId="45A4B5E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eastAsia"/>
                <w:color w:val="auto"/>
                <w:sz w:val="20"/>
                <w:szCs w:val="20"/>
                <w:lang w:eastAsia="zh-CN"/>
              </w:rPr>
              <w:t>广安市</w:t>
            </w:r>
          </w:p>
        </w:tc>
        <w:tc>
          <w:tcPr>
            <w:tcW w:w="888" w:type="dxa"/>
            <w:tcBorders>
              <w:tl2br w:val="nil"/>
              <w:tr2bl w:val="nil"/>
            </w:tcBorders>
            <w:shd w:val="clear" w:color="auto" w:fill="auto"/>
            <w:tcMar>
              <w:top w:w="15" w:type="dxa"/>
              <w:left w:w="15" w:type="dxa"/>
              <w:right w:w="15" w:type="dxa"/>
            </w:tcMar>
            <w:vAlign w:val="center"/>
          </w:tcPr>
          <w:p w14:paraId="4A47E83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cs="Times New Roman"/>
                <w:color w:val="auto"/>
                <w:sz w:val="20"/>
                <w:szCs w:val="20"/>
                <w:lang w:eastAsia="zh-CN"/>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573591C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b w:val="0"/>
                <w:bCs w:val="0"/>
                <w:i w:val="0"/>
                <w:color w:val="auto"/>
                <w:kern w:val="0"/>
                <w:sz w:val="20"/>
                <w:szCs w:val="20"/>
                <w:u w:val="none"/>
                <w:lang w:val="en-US" w:eastAsia="zh-CN" w:bidi="ar"/>
              </w:rPr>
            </w:pPr>
            <w:r>
              <w:rPr>
                <w:rFonts w:hint="eastAsia"/>
                <w:color w:val="auto"/>
                <w:sz w:val="20"/>
                <w:szCs w:val="20"/>
                <w:lang w:eastAsia="zh-CN"/>
              </w:rPr>
              <w:t>各</w:t>
            </w:r>
            <w:r>
              <w:rPr>
                <w:rFonts w:hint="eastAsia" w:eastAsia="宋体"/>
                <w:color w:val="auto"/>
                <w:sz w:val="20"/>
                <w:szCs w:val="20"/>
                <w:lang w:eastAsia="zh-CN"/>
              </w:rPr>
              <w:t>电网</w:t>
            </w:r>
            <w:r>
              <w:rPr>
                <w:rFonts w:hint="eastAsia"/>
                <w:color w:val="auto"/>
                <w:sz w:val="20"/>
                <w:szCs w:val="20"/>
                <w:lang w:eastAsia="zh-CN"/>
              </w:rPr>
              <w:t>公司</w:t>
            </w:r>
          </w:p>
        </w:tc>
        <w:tc>
          <w:tcPr>
            <w:tcW w:w="1085" w:type="dxa"/>
            <w:tcBorders>
              <w:tl2br w:val="nil"/>
              <w:tr2bl w:val="nil"/>
            </w:tcBorders>
            <w:shd w:val="clear" w:color="auto" w:fill="auto"/>
            <w:tcMar>
              <w:top w:w="15" w:type="dxa"/>
              <w:left w:w="15" w:type="dxa"/>
              <w:right w:w="15" w:type="dxa"/>
            </w:tcMar>
            <w:vAlign w:val="center"/>
          </w:tcPr>
          <w:p w14:paraId="20CFF9E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both"/>
              <w:textAlignment w:val="center"/>
              <w:rPr>
                <w:rFonts w:hint="eastAsia" w:ascii="Times New Roman" w:hAnsi="Times New Roman" w:cs="Times New Roman"/>
                <w:b w:val="0"/>
                <w:bCs w:val="0"/>
                <w:i w:val="0"/>
                <w:color w:val="auto"/>
                <w:kern w:val="0"/>
                <w:sz w:val="20"/>
                <w:szCs w:val="20"/>
                <w:u w:val="none"/>
                <w:lang w:val="en-US" w:eastAsia="zh-CN" w:bidi="ar"/>
              </w:rPr>
            </w:pPr>
            <w:r>
              <w:rPr>
                <w:rFonts w:hint="eastAsia" w:eastAsia="宋体"/>
                <w:color w:val="auto"/>
                <w:sz w:val="20"/>
                <w:szCs w:val="20"/>
                <w:lang w:eastAsia="zh-CN"/>
              </w:rPr>
              <w:t>各公共充电基础设施业主单位</w:t>
            </w:r>
          </w:p>
        </w:tc>
        <w:tc>
          <w:tcPr>
            <w:tcW w:w="705" w:type="dxa"/>
            <w:tcBorders>
              <w:tl2br w:val="nil"/>
              <w:tr2bl w:val="nil"/>
            </w:tcBorders>
            <w:shd w:val="clear" w:color="auto" w:fill="auto"/>
            <w:tcMar>
              <w:top w:w="15" w:type="dxa"/>
              <w:left w:w="15" w:type="dxa"/>
              <w:right w:w="15" w:type="dxa"/>
            </w:tcMar>
            <w:vAlign w:val="center"/>
          </w:tcPr>
          <w:p w14:paraId="6A169A3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eastAsia" w:eastAsia="宋体"/>
                <w:color w:val="auto"/>
                <w:sz w:val="20"/>
                <w:szCs w:val="20"/>
                <w:lang w:eastAsia="zh-CN"/>
              </w:rPr>
              <w:t>即申即享</w:t>
            </w:r>
          </w:p>
        </w:tc>
        <w:tc>
          <w:tcPr>
            <w:tcW w:w="1171" w:type="dxa"/>
            <w:tcBorders>
              <w:tl2br w:val="nil"/>
              <w:tr2bl w:val="nil"/>
            </w:tcBorders>
            <w:shd w:val="clear" w:color="auto" w:fill="auto"/>
            <w:tcMar>
              <w:top w:w="15" w:type="dxa"/>
              <w:left w:w="15" w:type="dxa"/>
              <w:right w:w="15" w:type="dxa"/>
            </w:tcMar>
            <w:vAlign w:val="center"/>
          </w:tcPr>
          <w:p w14:paraId="49BB0DE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eastAsia" w:eastAsia="宋体"/>
                <w:color w:val="auto"/>
                <w:sz w:val="20"/>
                <w:szCs w:val="20"/>
                <w:lang w:eastAsia="zh-CN"/>
              </w:rPr>
              <w:t>按程序执行</w:t>
            </w:r>
          </w:p>
        </w:tc>
        <w:tc>
          <w:tcPr>
            <w:tcW w:w="1095" w:type="dxa"/>
            <w:tcBorders>
              <w:tl2br w:val="nil"/>
              <w:tr2bl w:val="nil"/>
            </w:tcBorders>
            <w:shd w:val="clear" w:color="auto" w:fill="auto"/>
            <w:tcMar>
              <w:top w:w="15" w:type="dxa"/>
              <w:left w:w="15" w:type="dxa"/>
              <w:right w:w="15" w:type="dxa"/>
            </w:tcMar>
            <w:vAlign w:val="center"/>
          </w:tcPr>
          <w:p w14:paraId="17B1E25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2029年12月31日前</w:t>
            </w:r>
          </w:p>
        </w:tc>
      </w:tr>
      <w:tr w14:paraId="0A466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871" w:hRule="atLeast"/>
          <w:jc w:val="center"/>
        </w:trPr>
        <w:tc>
          <w:tcPr>
            <w:tcW w:w="500" w:type="dxa"/>
            <w:tcBorders>
              <w:tl2br w:val="nil"/>
              <w:tr2bl w:val="nil"/>
            </w:tcBorders>
            <w:shd w:val="clear" w:color="auto" w:fill="auto"/>
            <w:tcMar>
              <w:top w:w="15" w:type="dxa"/>
              <w:left w:w="15" w:type="dxa"/>
              <w:right w:w="15" w:type="dxa"/>
            </w:tcMar>
            <w:vAlign w:val="center"/>
          </w:tcPr>
          <w:p w14:paraId="5413749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32</w:t>
            </w:r>
          </w:p>
        </w:tc>
        <w:tc>
          <w:tcPr>
            <w:tcW w:w="906" w:type="dxa"/>
            <w:tcBorders>
              <w:tl2br w:val="nil"/>
              <w:tr2bl w:val="nil"/>
            </w:tcBorders>
            <w:shd w:val="clear" w:color="auto" w:fill="auto"/>
            <w:tcMar>
              <w:top w:w="15" w:type="dxa"/>
              <w:left w:w="15" w:type="dxa"/>
              <w:right w:w="15" w:type="dxa"/>
            </w:tcMar>
            <w:vAlign w:val="center"/>
          </w:tcPr>
          <w:p w14:paraId="6B68314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电价减免</w:t>
            </w:r>
          </w:p>
        </w:tc>
        <w:tc>
          <w:tcPr>
            <w:tcW w:w="3227" w:type="dxa"/>
            <w:tcBorders>
              <w:tl2br w:val="nil"/>
              <w:tr2bl w:val="nil"/>
            </w:tcBorders>
            <w:shd w:val="clear" w:color="auto" w:fill="auto"/>
            <w:tcMar>
              <w:top w:w="15" w:type="dxa"/>
              <w:left w:w="15" w:type="dxa"/>
              <w:right w:w="15" w:type="dxa"/>
            </w:tcMar>
            <w:vAlign w:val="center"/>
          </w:tcPr>
          <w:p w14:paraId="720C3514">
            <w:pPr>
              <w:keepNext w:val="0"/>
              <w:keepLines w:val="0"/>
              <w:pageBreakBefore w:val="0"/>
              <w:kinsoku/>
              <w:wordWrap/>
              <w:overflowPunct/>
              <w:topLinePunct w:val="0"/>
              <w:autoSpaceDE/>
              <w:autoSpaceDN w:val="0"/>
              <w:bidi w:val="0"/>
              <w:adjustRightInd/>
              <w:spacing w:line="270" w:lineRule="exact"/>
              <w:ind w:left="42" w:leftChars="20" w:right="42" w:rightChars="20"/>
              <w:textAlignment w:val="center"/>
              <w:rPr>
                <w:rFonts w:hint="eastAsia" w:ascii="Calibri" w:hAnsi="Calibri" w:eastAsia="宋体" w:cs="Times New Roman"/>
                <w:color w:val="auto"/>
                <w:kern w:val="2"/>
                <w:sz w:val="20"/>
                <w:szCs w:val="20"/>
                <w:lang w:val="en-US" w:eastAsia="zh-CN" w:bidi="ar-SA"/>
              </w:rPr>
            </w:pPr>
            <w:r>
              <w:rPr>
                <w:rFonts w:hint="eastAsia" w:ascii="Calibri" w:hAnsi="Calibri" w:eastAsia="宋体" w:cs="Times New Roman"/>
                <w:color w:val="auto"/>
                <w:kern w:val="2"/>
                <w:sz w:val="20"/>
                <w:szCs w:val="20"/>
                <w:lang w:val="en-US" w:eastAsia="zh-CN" w:bidi="ar-SA"/>
              </w:rPr>
              <w:t>对污水处理厂免收电价容（需）量费，污水处理厂可根据实际用电情况自愿选择执行峰谷分时电价或平段电价。</w:t>
            </w:r>
          </w:p>
        </w:tc>
        <w:tc>
          <w:tcPr>
            <w:tcW w:w="2334" w:type="dxa"/>
            <w:tcBorders>
              <w:tl2br w:val="nil"/>
              <w:tr2bl w:val="nil"/>
            </w:tcBorders>
            <w:shd w:val="clear" w:color="auto" w:fill="auto"/>
            <w:tcMar>
              <w:top w:w="15" w:type="dxa"/>
              <w:left w:w="15" w:type="dxa"/>
              <w:right w:w="15" w:type="dxa"/>
            </w:tcMar>
            <w:vAlign w:val="center"/>
          </w:tcPr>
          <w:p w14:paraId="12ED375E">
            <w:pPr>
              <w:keepNext w:val="0"/>
              <w:keepLines w:val="0"/>
              <w:pageBreakBefore w:val="0"/>
              <w:widowControl w:val="0"/>
              <w:kinsoku/>
              <w:wordWrap/>
              <w:overflowPunct/>
              <w:topLinePunct w:val="0"/>
              <w:autoSpaceDE/>
              <w:autoSpaceDN w:val="0"/>
              <w:bidi w:val="0"/>
              <w:adjustRightInd/>
              <w:snapToGrid/>
              <w:spacing w:line="270" w:lineRule="exact"/>
              <w:ind w:left="42" w:leftChars="20" w:right="42" w:rightChars="20"/>
              <w:textAlignment w:val="center"/>
              <w:rPr>
                <w:rFonts w:hint="eastAsia" w:ascii="Calibri" w:hAnsi="Calibri"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四川省发展和改革委员会 关于明确我省污水处理厂电价政策有关事项的通知（川发改价格〔2020〕519号）</w:t>
            </w:r>
          </w:p>
        </w:tc>
        <w:tc>
          <w:tcPr>
            <w:tcW w:w="770" w:type="dxa"/>
            <w:tcBorders>
              <w:tl2br w:val="nil"/>
              <w:tr2bl w:val="nil"/>
            </w:tcBorders>
            <w:shd w:val="clear" w:color="auto" w:fill="auto"/>
            <w:tcMar>
              <w:top w:w="15" w:type="dxa"/>
              <w:left w:w="15" w:type="dxa"/>
              <w:right w:w="15" w:type="dxa"/>
            </w:tcMar>
            <w:vAlign w:val="center"/>
          </w:tcPr>
          <w:p w14:paraId="438DC53C">
            <w:pPr>
              <w:keepNext w:val="0"/>
              <w:keepLines w:val="0"/>
              <w:pageBreakBefore w:val="0"/>
              <w:kinsoku/>
              <w:wordWrap/>
              <w:overflowPunct/>
              <w:topLinePunct w:val="0"/>
              <w:autoSpaceDE/>
              <w:autoSpaceDN w:val="0"/>
              <w:bidi w:val="0"/>
              <w:adjustRightInd/>
              <w:spacing w:line="270" w:lineRule="exact"/>
              <w:ind w:left="42" w:leftChars="20" w:right="42" w:rightChars="20"/>
              <w:jc w:val="center"/>
              <w:textAlignment w:val="center"/>
              <w:rPr>
                <w:rFonts w:hint="eastAsia" w:ascii="Calibri" w:hAnsi="Calibri" w:eastAsia="宋体" w:cs="Times New Roman"/>
                <w:color w:val="auto"/>
                <w:kern w:val="2"/>
                <w:sz w:val="20"/>
                <w:szCs w:val="20"/>
                <w:lang w:val="en-US" w:eastAsia="zh-CN" w:bidi="ar-SA"/>
              </w:rPr>
            </w:pPr>
            <w:r>
              <w:rPr>
                <w:rFonts w:hint="eastAsia" w:eastAsia="宋体"/>
                <w:color w:val="auto"/>
                <w:sz w:val="20"/>
                <w:szCs w:val="20"/>
                <w:lang w:eastAsia="zh-CN"/>
              </w:rPr>
              <w:t>减免类</w:t>
            </w:r>
          </w:p>
        </w:tc>
        <w:tc>
          <w:tcPr>
            <w:tcW w:w="770" w:type="dxa"/>
            <w:tcBorders>
              <w:tl2br w:val="nil"/>
              <w:tr2bl w:val="nil"/>
            </w:tcBorders>
            <w:shd w:val="clear" w:color="auto" w:fill="auto"/>
            <w:tcMar>
              <w:top w:w="15" w:type="dxa"/>
              <w:left w:w="15" w:type="dxa"/>
              <w:right w:w="15" w:type="dxa"/>
            </w:tcMar>
            <w:vAlign w:val="center"/>
          </w:tcPr>
          <w:p w14:paraId="7264C630">
            <w:pPr>
              <w:keepNext w:val="0"/>
              <w:keepLines w:val="0"/>
              <w:pageBreakBefore w:val="0"/>
              <w:kinsoku/>
              <w:wordWrap/>
              <w:overflowPunct/>
              <w:topLinePunct w:val="0"/>
              <w:autoSpaceDE/>
              <w:autoSpaceDN w:val="0"/>
              <w:bidi w:val="0"/>
              <w:adjustRightInd/>
              <w:spacing w:line="270" w:lineRule="exact"/>
              <w:ind w:left="42" w:leftChars="20" w:right="42" w:rightChars="20"/>
              <w:jc w:val="center"/>
              <w:textAlignment w:val="center"/>
              <w:rPr>
                <w:rFonts w:hint="eastAsia" w:ascii="Calibri" w:hAnsi="Calibri" w:eastAsia="宋体" w:cs="Times New Roman"/>
                <w:color w:val="auto"/>
                <w:kern w:val="2"/>
                <w:sz w:val="20"/>
                <w:szCs w:val="20"/>
                <w:lang w:val="en-US" w:eastAsia="zh-CN" w:bidi="ar-SA"/>
              </w:rPr>
            </w:pPr>
            <w:r>
              <w:rPr>
                <w:rFonts w:hint="eastAsia" w:eastAsia="宋体"/>
                <w:color w:val="auto"/>
                <w:sz w:val="20"/>
                <w:szCs w:val="20"/>
                <w:lang w:eastAsia="zh-CN"/>
              </w:rPr>
              <w:t>省级</w:t>
            </w:r>
          </w:p>
        </w:tc>
        <w:tc>
          <w:tcPr>
            <w:tcW w:w="770" w:type="dxa"/>
            <w:tcBorders>
              <w:tl2br w:val="nil"/>
              <w:tr2bl w:val="nil"/>
            </w:tcBorders>
            <w:shd w:val="clear" w:color="auto" w:fill="auto"/>
            <w:tcMar>
              <w:top w:w="15" w:type="dxa"/>
              <w:left w:w="15" w:type="dxa"/>
              <w:right w:w="15" w:type="dxa"/>
            </w:tcMar>
            <w:vAlign w:val="center"/>
          </w:tcPr>
          <w:p w14:paraId="0C17EA81">
            <w:pPr>
              <w:keepNext w:val="0"/>
              <w:keepLines w:val="0"/>
              <w:pageBreakBefore w:val="0"/>
              <w:kinsoku/>
              <w:wordWrap/>
              <w:overflowPunct/>
              <w:topLinePunct w:val="0"/>
              <w:autoSpaceDE/>
              <w:autoSpaceDN w:val="0"/>
              <w:bidi w:val="0"/>
              <w:adjustRightInd/>
              <w:spacing w:line="270" w:lineRule="exact"/>
              <w:ind w:left="42" w:leftChars="20" w:right="42" w:rightChars="20"/>
              <w:jc w:val="center"/>
              <w:textAlignment w:val="center"/>
              <w:rPr>
                <w:rFonts w:hint="eastAsia" w:ascii="Calibri" w:hAnsi="Calibri" w:eastAsia="宋体" w:cs="Times New Roman"/>
                <w:color w:val="auto"/>
                <w:kern w:val="2"/>
                <w:sz w:val="20"/>
                <w:szCs w:val="20"/>
                <w:lang w:val="en-US" w:eastAsia="zh-CN" w:bidi="ar-SA"/>
              </w:rPr>
            </w:pPr>
            <w:r>
              <w:rPr>
                <w:rFonts w:hint="eastAsia"/>
                <w:color w:val="auto"/>
                <w:sz w:val="20"/>
                <w:szCs w:val="20"/>
                <w:lang w:eastAsia="zh-CN"/>
              </w:rPr>
              <w:t>广安市</w:t>
            </w:r>
          </w:p>
        </w:tc>
        <w:tc>
          <w:tcPr>
            <w:tcW w:w="888" w:type="dxa"/>
            <w:tcBorders>
              <w:tl2br w:val="nil"/>
              <w:tr2bl w:val="nil"/>
            </w:tcBorders>
            <w:shd w:val="clear" w:color="auto" w:fill="auto"/>
            <w:tcMar>
              <w:top w:w="15" w:type="dxa"/>
              <w:left w:w="15" w:type="dxa"/>
              <w:right w:w="15" w:type="dxa"/>
            </w:tcMar>
            <w:vAlign w:val="center"/>
          </w:tcPr>
          <w:p w14:paraId="1A6AAA30">
            <w:pPr>
              <w:keepNext w:val="0"/>
              <w:keepLines w:val="0"/>
              <w:pageBreakBefore w:val="0"/>
              <w:widowControl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Calibri" w:hAnsi="Calibri" w:eastAsia="宋体" w:cs="Times New Roman"/>
                <w:color w:val="auto"/>
                <w:kern w:val="2"/>
                <w:sz w:val="20"/>
                <w:szCs w:val="20"/>
                <w:lang w:val="en-US" w:eastAsia="zh-CN" w:bidi="ar-SA"/>
              </w:rPr>
            </w:pPr>
            <w:r>
              <w:rPr>
                <w:rFonts w:hint="eastAsia" w:ascii="Times New Roman" w:hAnsi="Times New Roman" w:cs="Times New Roman"/>
                <w:color w:val="auto"/>
                <w:sz w:val="20"/>
                <w:szCs w:val="20"/>
                <w:lang w:eastAsia="zh-CN"/>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729F9A23">
            <w:pPr>
              <w:keepNext w:val="0"/>
              <w:keepLines w:val="0"/>
              <w:pageBreakBefore w:val="0"/>
              <w:widowControl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Calibri" w:hAnsi="Calibri" w:eastAsia="宋体" w:cs="Times New Roman"/>
                <w:color w:val="auto"/>
                <w:kern w:val="2"/>
                <w:sz w:val="20"/>
                <w:szCs w:val="20"/>
                <w:lang w:val="en-US" w:eastAsia="zh-CN" w:bidi="ar-SA"/>
              </w:rPr>
            </w:pPr>
            <w:r>
              <w:rPr>
                <w:rFonts w:hint="eastAsia"/>
                <w:color w:val="auto"/>
                <w:sz w:val="20"/>
                <w:szCs w:val="20"/>
                <w:lang w:eastAsia="zh-CN"/>
              </w:rPr>
              <w:t>各</w:t>
            </w:r>
            <w:r>
              <w:rPr>
                <w:rFonts w:hint="eastAsia" w:eastAsia="宋体"/>
                <w:color w:val="auto"/>
                <w:sz w:val="20"/>
                <w:szCs w:val="20"/>
                <w:lang w:eastAsia="zh-CN"/>
              </w:rPr>
              <w:t>电网</w:t>
            </w:r>
            <w:r>
              <w:rPr>
                <w:rFonts w:hint="eastAsia"/>
                <w:color w:val="auto"/>
                <w:sz w:val="20"/>
                <w:szCs w:val="20"/>
                <w:lang w:eastAsia="zh-CN"/>
              </w:rPr>
              <w:t>公司</w:t>
            </w:r>
          </w:p>
        </w:tc>
        <w:tc>
          <w:tcPr>
            <w:tcW w:w="1085" w:type="dxa"/>
            <w:tcBorders>
              <w:tl2br w:val="nil"/>
              <w:tr2bl w:val="nil"/>
            </w:tcBorders>
            <w:shd w:val="clear" w:color="auto" w:fill="auto"/>
            <w:tcMar>
              <w:top w:w="15" w:type="dxa"/>
              <w:left w:w="15" w:type="dxa"/>
              <w:right w:w="15" w:type="dxa"/>
            </w:tcMar>
            <w:vAlign w:val="center"/>
          </w:tcPr>
          <w:p w14:paraId="3F364380">
            <w:pPr>
              <w:keepNext w:val="0"/>
              <w:keepLines w:val="0"/>
              <w:pageBreakBefore w:val="0"/>
              <w:widowControl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Calibri" w:hAnsi="Calibri" w:eastAsia="宋体" w:cs="Times New Roman"/>
                <w:color w:val="auto"/>
                <w:kern w:val="2"/>
                <w:sz w:val="20"/>
                <w:szCs w:val="20"/>
                <w:lang w:val="en-US" w:eastAsia="zh-CN" w:bidi="ar-SA"/>
              </w:rPr>
            </w:pPr>
            <w:r>
              <w:rPr>
                <w:rFonts w:hint="eastAsia" w:eastAsia="宋体"/>
                <w:color w:val="auto"/>
                <w:sz w:val="20"/>
                <w:szCs w:val="20"/>
                <w:lang w:eastAsia="zh-CN"/>
              </w:rPr>
              <w:t>污水处理厂</w:t>
            </w:r>
          </w:p>
        </w:tc>
        <w:tc>
          <w:tcPr>
            <w:tcW w:w="705" w:type="dxa"/>
            <w:tcBorders>
              <w:tl2br w:val="nil"/>
              <w:tr2bl w:val="nil"/>
            </w:tcBorders>
            <w:shd w:val="clear" w:color="auto" w:fill="auto"/>
            <w:tcMar>
              <w:top w:w="15" w:type="dxa"/>
              <w:left w:w="15" w:type="dxa"/>
              <w:right w:w="15" w:type="dxa"/>
            </w:tcMar>
            <w:vAlign w:val="center"/>
          </w:tcPr>
          <w:p w14:paraId="3F166DF0">
            <w:pPr>
              <w:keepNext w:val="0"/>
              <w:keepLines w:val="0"/>
              <w:pageBreakBefore w:val="0"/>
              <w:widowControl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Calibri" w:hAnsi="Calibri" w:eastAsia="宋体" w:cs="Times New Roman"/>
                <w:color w:val="auto"/>
                <w:kern w:val="2"/>
                <w:sz w:val="20"/>
                <w:szCs w:val="20"/>
                <w:lang w:val="en-US" w:eastAsia="zh-CN" w:bidi="ar-SA"/>
              </w:rPr>
            </w:pPr>
            <w:r>
              <w:rPr>
                <w:rFonts w:hint="eastAsia" w:eastAsia="宋体"/>
                <w:color w:val="auto"/>
                <w:sz w:val="20"/>
                <w:szCs w:val="20"/>
                <w:lang w:eastAsia="zh-CN"/>
              </w:rPr>
              <w:t>免申即享</w:t>
            </w:r>
          </w:p>
        </w:tc>
        <w:tc>
          <w:tcPr>
            <w:tcW w:w="1171" w:type="dxa"/>
            <w:tcBorders>
              <w:tl2br w:val="nil"/>
              <w:tr2bl w:val="nil"/>
            </w:tcBorders>
            <w:shd w:val="clear" w:color="auto" w:fill="auto"/>
            <w:tcMar>
              <w:top w:w="15" w:type="dxa"/>
              <w:left w:w="15" w:type="dxa"/>
              <w:right w:w="15" w:type="dxa"/>
            </w:tcMar>
            <w:vAlign w:val="center"/>
          </w:tcPr>
          <w:p w14:paraId="79849580">
            <w:pPr>
              <w:keepNext w:val="0"/>
              <w:keepLines w:val="0"/>
              <w:pageBreakBefore w:val="0"/>
              <w:widowControl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Calibri" w:hAnsi="Calibri" w:eastAsia="宋体" w:cs="Times New Roman"/>
                <w:color w:val="auto"/>
                <w:kern w:val="2"/>
                <w:sz w:val="20"/>
                <w:szCs w:val="20"/>
                <w:lang w:val="en-US" w:eastAsia="zh-CN" w:bidi="ar-SA"/>
              </w:rPr>
            </w:pPr>
            <w:r>
              <w:rPr>
                <w:rFonts w:hint="eastAsia"/>
                <w:color w:val="auto"/>
                <w:sz w:val="20"/>
                <w:szCs w:val="20"/>
                <w:lang w:val="en-US" w:eastAsia="zh-CN"/>
              </w:rPr>
              <w:t>/</w:t>
            </w:r>
          </w:p>
        </w:tc>
        <w:tc>
          <w:tcPr>
            <w:tcW w:w="1095" w:type="dxa"/>
            <w:tcBorders>
              <w:tl2br w:val="nil"/>
              <w:tr2bl w:val="nil"/>
            </w:tcBorders>
            <w:shd w:val="clear" w:color="auto" w:fill="auto"/>
            <w:tcMar>
              <w:top w:w="15" w:type="dxa"/>
              <w:left w:w="15" w:type="dxa"/>
              <w:right w:w="15" w:type="dxa"/>
            </w:tcMar>
            <w:vAlign w:val="center"/>
          </w:tcPr>
          <w:p w14:paraId="4DEB8348">
            <w:pPr>
              <w:keepNext w:val="0"/>
              <w:keepLines w:val="0"/>
              <w:pageBreakBefore w:val="0"/>
              <w:widowControl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Calibri" w:hAnsi="Calibri" w:eastAsia="宋体" w:cs="Times New Roman"/>
                <w:color w:val="auto"/>
                <w:kern w:val="2"/>
                <w:sz w:val="20"/>
                <w:szCs w:val="20"/>
                <w:lang w:val="en-US" w:eastAsia="zh-CN" w:bidi="ar-SA"/>
              </w:rPr>
            </w:pPr>
            <w:r>
              <w:rPr>
                <w:rFonts w:hint="eastAsia" w:cs="Times New Roman"/>
                <w:color w:val="auto"/>
                <w:kern w:val="2"/>
                <w:sz w:val="20"/>
                <w:szCs w:val="20"/>
                <w:lang w:val="en-US" w:eastAsia="zh-CN" w:bidi="ar-SA"/>
              </w:rPr>
              <w:t>长期</w:t>
            </w:r>
          </w:p>
        </w:tc>
      </w:tr>
      <w:tr w14:paraId="0E6E9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 w:hRule="atLeast"/>
          <w:jc w:val="center"/>
        </w:trPr>
        <w:tc>
          <w:tcPr>
            <w:tcW w:w="500" w:type="dxa"/>
            <w:tcBorders>
              <w:tl2br w:val="nil"/>
              <w:tr2bl w:val="nil"/>
            </w:tcBorders>
            <w:shd w:val="clear" w:color="auto" w:fill="auto"/>
            <w:tcMar>
              <w:top w:w="15" w:type="dxa"/>
              <w:left w:w="15" w:type="dxa"/>
              <w:right w:w="15" w:type="dxa"/>
            </w:tcMar>
            <w:vAlign w:val="center"/>
          </w:tcPr>
          <w:p w14:paraId="3BA374D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33</w:t>
            </w:r>
          </w:p>
        </w:tc>
        <w:tc>
          <w:tcPr>
            <w:tcW w:w="906" w:type="dxa"/>
            <w:tcBorders>
              <w:tl2br w:val="nil"/>
              <w:tr2bl w:val="nil"/>
            </w:tcBorders>
            <w:shd w:val="clear" w:color="auto" w:fill="auto"/>
            <w:tcMar>
              <w:top w:w="15" w:type="dxa"/>
              <w:left w:w="15" w:type="dxa"/>
              <w:right w:w="15" w:type="dxa"/>
            </w:tcMar>
            <w:vAlign w:val="center"/>
          </w:tcPr>
          <w:p w14:paraId="3B35AB5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电价减免</w:t>
            </w:r>
          </w:p>
        </w:tc>
        <w:tc>
          <w:tcPr>
            <w:tcW w:w="3227" w:type="dxa"/>
            <w:tcBorders>
              <w:tl2br w:val="nil"/>
              <w:tr2bl w:val="nil"/>
            </w:tcBorders>
            <w:shd w:val="clear" w:color="auto" w:fill="auto"/>
            <w:tcMar>
              <w:top w:w="15" w:type="dxa"/>
              <w:left w:w="15" w:type="dxa"/>
              <w:right w:w="15" w:type="dxa"/>
            </w:tcMar>
            <w:vAlign w:val="center"/>
          </w:tcPr>
          <w:p w14:paraId="1151B679">
            <w:pPr>
              <w:keepNext w:val="0"/>
              <w:keepLines w:val="0"/>
              <w:pageBreakBefore w:val="0"/>
              <w:kinsoku/>
              <w:wordWrap/>
              <w:overflowPunct/>
              <w:topLinePunct w:val="0"/>
              <w:autoSpaceDE/>
              <w:autoSpaceDN w:val="0"/>
              <w:bidi w:val="0"/>
              <w:adjustRightInd/>
              <w:spacing w:line="270" w:lineRule="exact"/>
              <w:ind w:left="42" w:leftChars="20" w:right="42" w:rightChars="20"/>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农村生活污水处理设施</w:t>
            </w:r>
            <w:r>
              <w:rPr>
                <w:rFonts w:hint="eastAsia" w:ascii="Times New Roman" w:hAnsi="Times New Roman" w:cs="Times New Roman"/>
                <w:color w:val="auto"/>
                <w:sz w:val="20"/>
                <w:szCs w:val="20"/>
                <w:lang w:val="en-US" w:eastAsia="zh-CN"/>
              </w:rPr>
              <w:t>电价减免</w:t>
            </w:r>
          </w:p>
        </w:tc>
        <w:tc>
          <w:tcPr>
            <w:tcW w:w="2334" w:type="dxa"/>
            <w:tcBorders>
              <w:tl2br w:val="nil"/>
              <w:tr2bl w:val="nil"/>
            </w:tcBorders>
            <w:shd w:val="clear" w:color="auto" w:fill="auto"/>
            <w:tcMar>
              <w:top w:w="15" w:type="dxa"/>
              <w:left w:w="15" w:type="dxa"/>
              <w:right w:w="15" w:type="dxa"/>
            </w:tcMar>
            <w:vAlign w:val="center"/>
          </w:tcPr>
          <w:p w14:paraId="538BC5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0" w:lineRule="exact"/>
              <w:ind w:left="0" w:leftChars="0" w:right="0" w:rightChars="0" w:firstLine="0" w:firstLineChars="0"/>
              <w:jc w:val="center"/>
              <w:textAlignment w:val="auto"/>
              <w:rPr>
                <w:rFonts w:hint="eastAsia" w:ascii="Calibri" w:hAnsi="Calibri" w:eastAsia="宋体" w:cs="Times New Roman"/>
                <w:b/>
                <w:color w:val="auto"/>
                <w:kern w:val="2"/>
                <w:sz w:val="20"/>
                <w:szCs w:val="20"/>
                <w:lang w:val="en-US" w:eastAsia="zh-CN" w:bidi="ar-SA"/>
              </w:rPr>
            </w:pPr>
            <w:r>
              <w:rPr>
                <w:rFonts w:hint="eastAsia" w:ascii="Times New Roman" w:hAnsi="Times New Roman" w:eastAsia="宋体" w:cs="Times New Roman"/>
                <w:b w:val="0"/>
                <w:color w:val="auto"/>
                <w:kern w:val="2"/>
                <w:sz w:val="20"/>
                <w:szCs w:val="20"/>
                <w:lang w:val="en-US" w:eastAsia="zh-CN" w:bidi="ar-SA"/>
              </w:rPr>
              <w:t>四川省发展和改革委员会关于农村生活污水处理设施用电价格政策有关事项的通知（川发改价格〔2024〕577号）</w:t>
            </w:r>
          </w:p>
        </w:tc>
        <w:tc>
          <w:tcPr>
            <w:tcW w:w="770" w:type="dxa"/>
            <w:tcBorders>
              <w:tl2br w:val="nil"/>
              <w:tr2bl w:val="nil"/>
            </w:tcBorders>
            <w:shd w:val="clear" w:color="auto" w:fill="auto"/>
            <w:tcMar>
              <w:top w:w="15" w:type="dxa"/>
              <w:left w:w="15" w:type="dxa"/>
              <w:right w:w="15" w:type="dxa"/>
            </w:tcMar>
            <w:vAlign w:val="center"/>
          </w:tcPr>
          <w:p w14:paraId="114787B7">
            <w:pPr>
              <w:keepNext w:val="0"/>
              <w:keepLines w:val="0"/>
              <w:pageBreakBefore w:val="0"/>
              <w:kinsoku/>
              <w:wordWrap/>
              <w:overflowPunct/>
              <w:topLinePunct w:val="0"/>
              <w:autoSpaceDE/>
              <w:autoSpaceDN w:val="0"/>
              <w:bidi w:val="0"/>
              <w:adjustRightInd/>
              <w:spacing w:line="270" w:lineRule="exact"/>
              <w:ind w:left="42" w:leftChars="20" w:right="42" w:rightChars="20"/>
              <w:jc w:val="center"/>
              <w:textAlignment w:val="center"/>
              <w:rPr>
                <w:rFonts w:hint="eastAsia" w:ascii="Calibri" w:hAnsi="Calibri" w:eastAsia="宋体" w:cs="Times New Roman"/>
                <w:color w:val="auto"/>
                <w:kern w:val="2"/>
                <w:sz w:val="20"/>
                <w:szCs w:val="20"/>
                <w:lang w:val="en-US" w:eastAsia="zh-CN" w:bidi="ar-SA"/>
              </w:rPr>
            </w:pPr>
            <w:r>
              <w:rPr>
                <w:rFonts w:hint="eastAsia" w:eastAsia="宋体"/>
                <w:color w:val="auto"/>
                <w:sz w:val="20"/>
                <w:szCs w:val="20"/>
                <w:lang w:eastAsia="zh-CN"/>
              </w:rPr>
              <w:t>减免类</w:t>
            </w:r>
          </w:p>
        </w:tc>
        <w:tc>
          <w:tcPr>
            <w:tcW w:w="770" w:type="dxa"/>
            <w:tcBorders>
              <w:tl2br w:val="nil"/>
              <w:tr2bl w:val="nil"/>
            </w:tcBorders>
            <w:shd w:val="clear" w:color="auto" w:fill="auto"/>
            <w:tcMar>
              <w:top w:w="15" w:type="dxa"/>
              <w:left w:w="15" w:type="dxa"/>
              <w:right w:w="15" w:type="dxa"/>
            </w:tcMar>
            <w:vAlign w:val="center"/>
          </w:tcPr>
          <w:p w14:paraId="074B2551">
            <w:pPr>
              <w:keepNext w:val="0"/>
              <w:keepLines w:val="0"/>
              <w:pageBreakBefore w:val="0"/>
              <w:kinsoku/>
              <w:wordWrap/>
              <w:overflowPunct/>
              <w:topLinePunct w:val="0"/>
              <w:autoSpaceDE/>
              <w:autoSpaceDN w:val="0"/>
              <w:bidi w:val="0"/>
              <w:adjustRightInd/>
              <w:spacing w:line="270" w:lineRule="exact"/>
              <w:ind w:left="42" w:leftChars="20" w:right="42" w:rightChars="20"/>
              <w:jc w:val="center"/>
              <w:textAlignment w:val="center"/>
              <w:rPr>
                <w:rFonts w:hint="eastAsia" w:ascii="Calibri" w:hAnsi="Calibri" w:eastAsia="宋体" w:cs="Times New Roman"/>
                <w:color w:val="auto"/>
                <w:kern w:val="2"/>
                <w:sz w:val="20"/>
                <w:szCs w:val="20"/>
                <w:lang w:val="en-US" w:eastAsia="zh-CN" w:bidi="ar-SA"/>
              </w:rPr>
            </w:pPr>
            <w:r>
              <w:rPr>
                <w:rFonts w:hint="eastAsia" w:eastAsia="宋体"/>
                <w:color w:val="auto"/>
                <w:sz w:val="20"/>
                <w:szCs w:val="20"/>
                <w:lang w:eastAsia="zh-CN"/>
              </w:rPr>
              <w:t>省级</w:t>
            </w:r>
          </w:p>
        </w:tc>
        <w:tc>
          <w:tcPr>
            <w:tcW w:w="770" w:type="dxa"/>
            <w:tcBorders>
              <w:tl2br w:val="nil"/>
              <w:tr2bl w:val="nil"/>
            </w:tcBorders>
            <w:shd w:val="clear" w:color="auto" w:fill="auto"/>
            <w:tcMar>
              <w:top w:w="15" w:type="dxa"/>
              <w:left w:w="15" w:type="dxa"/>
              <w:right w:w="15" w:type="dxa"/>
            </w:tcMar>
            <w:vAlign w:val="center"/>
          </w:tcPr>
          <w:p w14:paraId="59209E38">
            <w:pPr>
              <w:keepNext w:val="0"/>
              <w:keepLines w:val="0"/>
              <w:pageBreakBefore w:val="0"/>
              <w:kinsoku/>
              <w:wordWrap/>
              <w:overflowPunct/>
              <w:topLinePunct w:val="0"/>
              <w:autoSpaceDE/>
              <w:autoSpaceDN w:val="0"/>
              <w:bidi w:val="0"/>
              <w:adjustRightInd/>
              <w:spacing w:line="270" w:lineRule="exact"/>
              <w:ind w:left="42" w:leftChars="20" w:right="42" w:rightChars="20"/>
              <w:jc w:val="center"/>
              <w:textAlignment w:val="center"/>
              <w:rPr>
                <w:rFonts w:hint="eastAsia" w:ascii="Calibri" w:hAnsi="Calibri" w:eastAsia="宋体" w:cs="Times New Roman"/>
                <w:color w:val="auto"/>
                <w:kern w:val="2"/>
                <w:sz w:val="20"/>
                <w:szCs w:val="20"/>
                <w:lang w:val="en-US" w:eastAsia="zh-CN" w:bidi="ar-SA"/>
              </w:rPr>
            </w:pPr>
            <w:r>
              <w:rPr>
                <w:rFonts w:hint="eastAsia"/>
                <w:color w:val="auto"/>
                <w:sz w:val="20"/>
                <w:szCs w:val="20"/>
                <w:lang w:eastAsia="zh-CN"/>
              </w:rPr>
              <w:t>广安市</w:t>
            </w:r>
          </w:p>
        </w:tc>
        <w:tc>
          <w:tcPr>
            <w:tcW w:w="888" w:type="dxa"/>
            <w:tcBorders>
              <w:tl2br w:val="nil"/>
              <w:tr2bl w:val="nil"/>
            </w:tcBorders>
            <w:shd w:val="clear" w:color="auto" w:fill="auto"/>
            <w:tcMar>
              <w:top w:w="15" w:type="dxa"/>
              <w:left w:w="15" w:type="dxa"/>
              <w:right w:w="15" w:type="dxa"/>
            </w:tcMar>
            <w:vAlign w:val="center"/>
          </w:tcPr>
          <w:p w14:paraId="58AF3192">
            <w:pPr>
              <w:keepNext w:val="0"/>
              <w:keepLines w:val="0"/>
              <w:pageBreakBefore w:val="0"/>
              <w:widowControl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Calibri" w:hAnsi="Calibri" w:eastAsia="宋体" w:cs="Times New Roman"/>
                <w:color w:val="auto"/>
                <w:kern w:val="2"/>
                <w:sz w:val="20"/>
                <w:szCs w:val="20"/>
                <w:lang w:val="en-US" w:eastAsia="zh-CN" w:bidi="ar-SA"/>
              </w:rPr>
            </w:pPr>
            <w:r>
              <w:rPr>
                <w:rFonts w:hint="eastAsia" w:ascii="Times New Roman" w:hAnsi="Times New Roman" w:cs="Times New Roman"/>
                <w:color w:val="auto"/>
                <w:sz w:val="20"/>
                <w:szCs w:val="20"/>
                <w:lang w:eastAsia="zh-CN"/>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0A71CD85">
            <w:pPr>
              <w:keepNext w:val="0"/>
              <w:keepLines w:val="0"/>
              <w:pageBreakBefore w:val="0"/>
              <w:widowControl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Calibri" w:hAnsi="Calibri" w:eastAsia="宋体" w:cs="Times New Roman"/>
                <w:color w:val="auto"/>
                <w:kern w:val="2"/>
                <w:sz w:val="20"/>
                <w:szCs w:val="20"/>
                <w:lang w:val="en-US" w:eastAsia="zh-CN" w:bidi="ar-SA"/>
              </w:rPr>
            </w:pPr>
            <w:r>
              <w:rPr>
                <w:rFonts w:hint="eastAsia"/>
                <w:color w:val="auto"/>
                <w:sz w:val="20"/>
                <w:szCs w:val="20"/>
                <w:lang w:eastAsia="zh-CN"/>
              </w:rPr>
              <w:t>各</w:t>
            </w:r>
            <w:r>
              <w:rPr>
                <w:rFonts w:hint="eastAsia" w:eastAsia="宋体"/>
                <w:color w:val="auto"/>
                <w:sz w:val="20"/>
                <w:szCs w:val="20"/>
                <w:lang w:eastAsia="zh-CN"/>
              </w:rPr>
              <w:t>电网</w:t>
            </w:r>
            <w:r>
              <w:rPr>
                <w:rFonts w:hint="eastAsia"/>
                <w:color w:val="auto"/>
                <w:sz w:val="20"/>
                <w:szCs w:val="20"/>
                <w:lang w:eastAsia="zh-CN"/>
              </w:rPr>
              <w:t>公司</w:t>
            </w:r>
          </w:p>
        </w:tc>
        <w:tc>
          <w:tcPr>
            <w:tcW w:w="1085" w:type="dxa"/>
            <w:tcBorders>
              <w:tl2br w:val="nil"/>
              <w:tr2bl w:val="nil"/>
            </w:tcBorders>
            <w:shd w:val="clear" w:color="auto" w:fill="auto"/>
            <w:tcMar>
              <w:top w:w="15" w:type="dxa"/>
              <w:left w:w="15" w:type="dxa"/>
              <w:right w:w="15" w:type="dxa"/>
            </w:tcMar>
            <w:vAlign w:val="center"/>
          </w:tcPr>
          <w:p w14:paraId="0BA63355">
            <w:pPr>
              <w:keepNext w:val="0"/>
              <w:keepLines w:val="0"/>
              <w:pageBreakBefore w:val="0"/>
              <w:widowControl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Calibri" w:hAnsi="Calibri"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经生态环境部门确认的现有或者新增的农村生活污水处理设施</w:t>
            </w:r>
          </w:p>
        </w:tc>
        <w:tc>
          <w:tcPr>
            <w:tcW w:w="705" w:type="dxa"/>
            <w:tcBorders>
              <w:tl2br w:val="nil"/>
              <w:tr2bl w:val="nil"/>
            </w:tcBorders>
            <w:shd w:val="clear" w:color="auto" w:fill="auto"/>
            <w:tcMar>
              <w:top w:w="15" w:type="dxa"/>
              <w:left w:w="15" w:type="dxa"/>
              <w:right w:w="15" w:type="dxa"/>
            </w:tcMar>
            <w:vAlign w:val="center"/>
          </w:tcPr>
          <w:p w14:paraId="335E8F9A">
            <w:pPr>
              <w:keepNext w:val="0"/>
              <w:keepLines w:val="0"/>
              <w:pageBreakBefore w:val="0"/>
              <w:widowControl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Calibri" w:hAnsi="Calibri" w:eastAsia="宋体" w:cs="Times New Roman"/>
                <w:color w:val="auto"/>
                <w:kern w:val="2"/>
                <w:sz w:val="20"/>
                <w:szCs w:val="20"/>
                <w:lang w:val="en-US" w:eastAsia="zh-CN" w:bidi="ar-SA"/>
              </w:rPr>
            </w:pPr>
            <w:r>
              <w:rPr>
                <w:rFonts w:hint="eastAsia"/>
                <w:color w:val="auto"/>
                <w:sz w:val="20"/>
                <w:szCs w:val="20"/>
                <w:lang w:eastAsia="zh-CN"/>
              </w:rPr>
              <w:t>即</w:t>
            </w:r>
            <w:r>
              <w:rPr>
                <w:rFonts w:hint="eastAsia" w:eastAsia="宋体"/>
                <w:color w:val="auto"/>
                <w:sz w:val="20"/>
                <w:szCs w:val="20"/>
                <w:lang w:eastAsia="zh-CN"/>
              </w:rPr>
              <w:t>申</w:t>
            </w:r>
            <w:r>
              <w:rPr>
                <w:rFonts w:hint="eastAsia"/>
                <w:color w:val="auto"/>
                <w:sz w:val="20"/>
                <w:szCs w:val="20"/>
                <w:lang w:eastAsia="zh-CN"/>
              </w:rPr>
              <w:t>即</w:t>
            </w:r>
            <w:r>
              <w:rPr>
                <w:rFonts w:hint="eastAsia" w:eastAsia="宋体"/>
                <w:color w:val="auto"/>
                <w:sz w:val="20"/>
                <w:szCs w:val="20"/>
                <w:lang w:eastAsia="zh-CN"/>
              </w:rPr>
              <w:t>享</w:t>
            </w:r>
          </w:p>
        </w:tc>
        <w:tc>
          <w:tcPr>
            <w:tcW w:w="1171" w:type="dxa"/>
            <w:tcBorders>
              <w:tl2br w:val="nil"/>
              <w:tr2bl w:val="nil"/>
            </w:tcBorders>
            <w:shd w:val="clear" w:color="auto" w:fill="auto"/>
            <w:tcMar>
              <w:top w:w="15" w:type="dxa"/>
              <w:left w:w="15" w:type="dxa"/>
              <w:right w:w="15" w:type="dxa"/>
            </w:tcMar>
            <w:vAlign w:val="center"/>
          </w:tcPr>
          <w:p w14:paraId="42ED09E0">
            <w:pPr>
              <w:keepNext w:val="0"/>
              <w:keepLines w:val="0"/>
              <w:pageBreakBefore w:val="0"/>
              <w:widowControl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Calibri" w:hAnsi="Calibri" w:eastAsia="宋体" w:cs="Times New Roman"/>
                <w:color w:val="auto"/>
                <w:kern w:val="2"/>
                <w:sz w:val="20"/>
                <w:szCs w:val="20"/>
                <w:lang w:val="en-US" w:eastAsia="zh-CN" w:bidi="ar-SA"/>
              </w:rPr>
            </w:pPr>
            <w:r>
              <w:rPr>
                <w:rFonts w:hint="eastAsia"/>
                <w:color w:val="auto"/>
                <w:sz w:val="20"/>
                <w:szCs w:val="20"/>
                <w:lang w:val="en-US" w:eastAsia="zh-CN"/>
              </w:rPr>
              <w:t>按程序执行</w:t>
            </w:r>
          </w:p>
        </w:tc>
        <w:tc>
          <w:tcPr>
            <w:tcW w:w="1095" w:type="dxa"/>
            <w:tcBorders>
              <w:tl2br w:val="nil"/>
              <w:tr2bl w:val="nil"/>
            </w:tcBorders>
            <w:shd w:val="clear" w:color="auto" w:fill="auto"/>
            <w:tcMar>
              <w:top w:w="15" w:type="dxa"/>
              <w:left w:w="15" w:type="dxa"/>
              <w:right w:w="15" w:type="dxa"/>
            </w:tcMar>
            <w:vAlign w:val="center"/>
          </w:tcPr>
          <w:p w14:paraId="1B9D890E">
            <w:pPr>
              <w:keepNext w:val="0"/>
              <w:keepLines w:val="0"/>
              <w:pageBreakBefore w:val="0"/>
              <w:widowControl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Calibri" w:hAnsi="Calibri" w:eastAsia="宋体" w:cs="Times New Roman"/>
                <w:color w:val="auto"/>
                <w:kern w:val="2"/>
                <w:sz w:val="20"/>
                <w:szCs w:val="20"/>
                <w:lang w:val="en-US" w:eastAsia="zh-CN" w:bidi="ar-SA"/>
              </w:rPr>
            </w:pPr>
            <w:r>
              <w:rPr>
                <w:rFonts w:hint="eastAsia" w:cs="Times New Roman"/>
                <w:color w:val="auto"/>
                <w:kern w:val="2"/>
                <w:sz w:val="20"/>
                <w:szCs w:val="20"/>
                <w:lang w:val="en-US" w:eastAsia="zh-CN" w:bidi="ar-SA"/>
              </w:rPr>
              <w:t>长期</w:t>
            </w:r>
          </w:p>
        </w:tc>
      </w:tr>
      <w:tr w14:paraId="63567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041" w:hRule="atLeast"/>
          <w:jc w:val="center"/>
        </w:trPr>
        <w:tc>
          <w:tcPr>
            <w:tcW w:w="500" w:type="dxa"/>
            <w:tcBorders>
              <w:tl2br w:val="nil"/>
              <w:tr2bl w:val="nil"/>
            </w:tcBorders>
            <w:shd w:val="clear" w:color="auto" w:fill="auto"/>
            <w:tcMar>
              <w:top w:w="15" w:type="dxa"/>
              <w:left w:w="15" w:type="dxa"/>
              <w:right w:w="15" w:type="dxa"/>
            </w:tcMar>
            <w:vAlign w:val="center"/>
          </w:tcPr>
          <w:p w14:paraId="4B66805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34</w:t>
            </w:r>
          </w:p>
        </w:tc>
        <w:tc>
          <w:tcPr>
            <w:tcW w:w="906" w:type="dxa"/>
            <w:tcBorders>
              <w:tl2br w:val="nil"/>
              <w:tr2bl w:val="nil"/>
            </w:tcBorders>
            <w:shd w:val="clear" w:color="auto" w:fill="auto"/>
            <w:tcMar>
              <w:top w:w="15" w:type="dxa"/>
              <w:left w:w="15" w:type="dxa"/>
              <w:right w:w="15" w:type="dxa"/>
            </w:tcMar>
            <w:vAlign w:val="center"/>
          </w:tcPr>
          <w:p w14:paraId="7F280C5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乡村客运补助</w:t>
            </w:r>
          </w:p>
        </w:tc>
        <w:tc>
          <w:tcPr>
            <w:tcW w:w="3227" w:type="dxa"/>
            <w:tcBorders>
              <w:tl2br w:val="nil"/>
              <w:tr2bl w:val="nil"/>
            </w:tcBorders>
            <w:shd w:val="clear" w:color="auto" w:fill="auto"/>
            <w:tcMar>
              <w:top w:w="15" w:type="dxa"/>
              <w:left w:w="15" w:type="dxa"/>
              <w:right w:w="15" w:type="dxa"/>
            </w:tcMar>
            <w:vAlign w:val="center"/>
          </w:tcPr>
          <w:p w14:paraId="744190C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市财政采取以奖代补的方式，对年度考核合格且县级补助到位的乡村客运车辆进行补贴。以现有乡村客运车辆数为基数，补贴标准不低于3万元/辆·年，其中：市级补贴1万元/辆·年，县级补贴不低于2万元/辆·年。</w:t>
            </w:r>
          </w:p>
        </w:tc>
        <w:tc>
          <w:tcPr>
            <w:tcW w:w="2334" w:type="dxa"/>
            <w:tcBorders>
              <w:tl2br w:val="nil"/>
              <w:tr2bl w:val="nil"/>
            </w:tcBorders>
            <w:shd w:val="clear" w:color="auto" w:fill="auto"/>
            <w:tcMar>
              <w:top w:w="15" w:type="dxa"/>
              <w:left w:w="15" w:type="dxa"/>
              <w:right w:w="15" w:type="dxa"/>
            </w:tcMar>
            <w:vAlign w:val="center"/>
          </w:tcPr>
          <w:p w14:paraId="66738A7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广安市交通运输局 广安市财政局关于印发《广安市乡村客运补助方案》的通知》（广市交〔2021〕21号）</w:t>
            </w:r>
          </w:p>
        </w:tc>
        <w:tc>
          <w:tcPr>
            <w:tcW w:w="770" w:type="dxa"/>
            <w:tcBorders>
              <w:tl2br w:val="nil"/>
              <w:tr2bl w:val="nil"/>
            </w:tcBorders>
            <w:shd w:val="clear" w:color="auto" w:fill="auto"/>
            <w:tcMar>
              <w:top w:w="15" w:type="dxa"/>
              <w:left w:w="15" w:type="dxa"/>
              <w:right w:w="15" w:type="dxa"/>
            </w:tcMar>
            <w:vAlign w:val="center"/>
          </w:tcPr>
          <w:p w14:paraId="5B35586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color w:val="auto"/>
                <w:sz w:val="20"/>
                <w:szCs w:val="20"/>
                <w:lang w:val="en-US" w:eastAsia="zh-CN"/>
              </w:rPr>
            </w:pPr>
            <w:r>
              <w:rPr>
                <w:rFonts w:hint="default"/>
                <w:color w:val="auto"/>
                <w:sz w:val="20"/>
                <w:szCs w:val="20"/>
                <w:lang w:val="en-US" w:eastAsia="zh-CN"/>
              </w:rPr>
              <w:t>奖补类</w:t>
            </w:r>
          </w:p>
        </w:tc>
        <w:tc>
          <w:tcPr>
            <w:tcW w:w="770" w:type="dxa"/>
            <w:tcBorders>
              <w:tl2br w:val="nil"/>
              <w:tr2bl w:val="nil"/>
            </w:tcBorders>
            <w:shd w:val="clear" w:color="auto" w:fill="auto"/>
            <w:tcMar>
              <w:top w:w="15" w:type="dxa"/>
              <w:left w:w="15" w:type="dxa"/>
              <w:right w:w="15" w:type="dxa"/>
            </w:tcMar>
            <w:vAlign w:val="center"/>
          </w:tcPr>
          <w:p w14:paraId="71F4A8F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color w:val="auto"/>
                <w:sz w:val="20"/>
                <w:szCs w:val="20"/>
                <w:lang w:val="en-US" w:eastAsia="zh-CN"/>
              </w:rPr>
            </w:pPr>
            <w:r>
              <w:rPr>
                <w:rFonts w:hint="default"/>
                <w:color w:val="auto"/>
                <w:sz w:val="20"/>
                <w:szCs w:val="20"/>
                <w:lang w:val="en-US" w:eastAsia="zh-CN"/>
              </w:rPr>
              <w:t>广安市</w:t>
            </w:r>
          </w:p>
        </w:tc>
        <w:tc>
          <w:tcPr>
            <w:tcW w:w="770" w:type="dxa"/>
            <w:tcBorders>
              <w:tl2br w:val="nil"/>
              <w:tr2bl w:val="nil"/>
            </w:tcBorders>
            <w:shd w:val="clear" w:color="auto" w:fill="auto"/>
            <w:tcMar>
              <w:top w:w="15" w:type="dxa"/>
              <w:left w:w="15" w:type="dxa"/>
              <w:right w:w="15" w:type="dxa"/>
            </w:tcMar>
            <w:vAlign w:val="center"/>
          </w:tcPr>
          <w:p w14:paraId="1EA774F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color w:val="auto"/>
                <w:sz w:val="20"/>
                <w:szCs w:val="20"/>
                <w:lang w:val="en-US" w:eastAsia="zh-CN"/>
              </w:rPr>
            </w:pPr>
            <w:r>
              <w:rPr>
                <w:rFonts w:hint="default"/>
                <w:color w:val="auto"/>
                <w:sz w:val="20"/>
                <w:szCs w:val="20"/>
                <w:lang w:val="en-US" w:eastAsia="zh-CN"/>
              </w:rPr>
              <w:t>广安市</w:t>
            </w:r>
          </w:p>
        </w:tc>
        <w:tc>
          <w:tcPr>
            <w:tcW w:w="888" w:type="dxa"/>
            <w:tcBorders>
              <w:tl2br w:val="nil"/>
              <w:tr2bl w:val="nil"/>
            </w:tcBorders>
            <w:shd w:val="clear" w:color="auto" w:fill="auto"/>
            <w:tcMar>
              <w:top w:w="15" w:type="dxa"/>
              <w:left w:w="15" w:type="dxa"/>
              <w:right w:w="15" w:type="dxa"/>
            </w:tcMar>
            <w:vAlign w:val="center"/>
          </w:tcPr>
          <w:p w14:paraId="10FB7E5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color w:val="auto"/>
                <w:sz w:val="20"/>
                <w:szCs w:val="20"/>
                <w:lang w:val="en-US" w:eastAsia="zh-CN"/>
              </w:rPr>
            </w:pPr>
            <w:r>
              <w:rPr>
                <w:rFonts w:hint="eastAsia"/>
                <w:color w:val="auto"/>
                <w:sz w:val="20"/>
                <w:szCs w:val="20"/>
                <w:lang w:val="en-US" w:eastAsia="zh-CN"/>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7AD35D0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color w:val="auto"/>
                <w:sz w:val="20"/>
                <w:szCs w:val="20"/>
                <w:lang w:val="en-US" w:eastAsia="zh-CN"/>
              </w:rPr>
            </w:pPr>
            <w:r>
              <w:rPr>
                <w:rFonts w:hint="default"/>
                <w:color w:val="auto"/>
                <w:sz w:val="20"/>
                <w:szCs w:val="20"/>
                <w:lang w:val="en-US" w:eastAsia="zh-CN"/>
              </w:rPr>
              <w:t>市交通运输主管部门</w:t>
            </w:r>
          </w:p>
        </w:tc>
        <w:tc>
          <w:tcPr>
            <w:tcW w:w="1085" w:type="dxa"/>
            <w:tcBorders>
              <w:tl2br w:val="nil"/>
              <w:tr2bl w:val="nil"/>
            </w:tcBorders>
            <w:shd w:val="clear" w:color="auto" w:fill="auto"/>
            <w:tcMar>
              <w:top w:w="15" w:type="dxa"/>
              <w:left w:w="15" w:type="dxa"/>
              <w:right w:w="15" w:type="dxa"/>
            </w:tcMar>
            <w:vAlign w:val="center"/>
          </w:tcPr>
          <w:p w14:paraId="494421B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color w:val="auto"/>
                <w:sz w:val="20"/>
                <w:szCs w:val="20"/>
                <w:lang w:val="en-US" w:eastAsia="zh-CN"/>
              </w:rPr>
            </w:pPr>
            <w:r>
              <w:rPr>
                <w:rFonts w:hint="default"/>
                <w:color w:val="auto"/>
                <w:sz w:val="20"/>
                <w:szCs w:val="20"/>
                <w:lang w:val="en-US" w:eastAsia="zh-CN"/>
              </w:rPr>
              <w:t>乡村客运企业</w:t>
            </w:r>
          </w:p>
        </w:tc>
        <w:tc>
          <w:tcPr>
            <w:tcW w:w="705" w:type="dxa"/>
            <w:tcBorders>
              <w:tl2br w:val="nil"/>
              <w:tr2bl w:val="nil"/>
            </w:tcBorders>
            <w:shd w:val="clear" w:color="auto" w:fill="auto"/>
            <w:tcMar>
              <w:top w:w="15" w:type="dxa"/>
              <w:left w:w="15" w:type="dxa"/>
              <w:right w:w="15" w:type="dxa"/>
            </w:tcMar>
            <w:vAlign w:val="center"/>
          </w:tcPr>
          <w:p w14:paraId="5C6D7CE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color w:val="auto"/>
                <w:sz w:val="20"/>
                <w:szCs w:val="20"/>
                <w:lang w:val="en" w:eastAsia="zh-CN"/>
              </w:rPr>
            </w:pPr>
            <w:r>
              <w:rPr>
                <w:rFonts w:hint="eastAsia"/>
                <w:color w:val="auto"/>
                <w:sz w:val="20"/>
                <w:szCs w:val="20"/>
                <w:lang w:val="en" w:eastAsia="zh-CN"/>
              </w:rPr>
              <w:t>即申即享</w:t>
            </w:r>
          </w:p>
        </w:tc>
        <w:tc>
          <w:tcPr>
            <w:tcW w:w="1171" w:type="dxa"/>
            <w:tcBorders>
              <w:tl2br w:val="nil"/>
              <w:tr2bl w:val="nil"/>
            </w:tcBorders>
            <w:shd w:val="clear" w:color="auto" w:fill="auto"/>
            <w:tcMar>
              <w:top w:w="15" w:type="dxa"/>
              <w:left w:w="15" w:type="dxa"/>
              <w:right w:w="15" w:type="dxa"/>
            </w:tcMar>
            <w:vAlign w:val="center"/>
          </w:tcPr>
          <w:p w14:paraId="65B608D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color w:val="auto"/>
                <w:sz w:val="20"/>
                <w:szCs w:val="20"/>
                <w:lang w:val="en-US" w:eastAsia="zh-CN"/>
              </w:rPr>
            </w:pPr>
            <w:r>
              <w:rPr>
                <w:rFonts w:hint="default"/>
                <w:color w:val="auto"/>
                <w:sz w:val="20"/>
                <w:szCs w:val="20"/>
                <w:lang w:val="en-US" w:eastAsia="zh-CN"/>
              </w:rPr>
              <w:t>按程序执行</w:t>
            </w:r>
          </w:p>
        </w:tc>
        <w:tc>
          <w:tcPr>
            <w:tcW w:w="1095" w:type="dxa"/>
            <w:tcBorders>
              <w:tl2br w:val="nil"/>
              <w:tr2bl w:val="nil"/>
            </w:tcBorders>
            <w:shd w:val="clear" w:color="auto" w:fill="auto"/>
            <w:tcMar>
              <w:top w:w="15" w:type="dxa"/>
              <w:left w:w="15" w:type="dxa"/>
              <w:right w:w="15" w:type="dxa"/>
            </w:tcMar>
            <w:vAlign w:val="center"/>
          </w:tcPr>
          <w:p w14:paraId="3E18250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未废止前均有效</w:t>
            </w:r>
          </w:p>
        </w:tc>
      </w:tr>
      <w:tr w14:paraId="637F0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041" w:hRule="atLeast"/>
          <w:jc w:val="center"/>
        </w:trPr>
        <w:tc>
          <w:tcPr>
            <w:tcW w:w="500" w:type="dxa"/>
            <w:tcBorders>
              <w:tl2br w:val="nil"/>
              <w:tr2bl w:val="nil"/>
            </w:tcBorders>
            <w:shd w:val="clear" w:color="auto" w:fill="auto"/>
            <w:tcMar>
              <w:top w:w="15" w:type="dxa"/>
              <w:left w:w="15" w:type="dxa"/>
              <w:right w:w="15" w:type="dxa"/>
            </w:tcMar>
            <w:vAlign w:val="center"/>
          </w:tcPr>
          <w:p w14:paraId="0D15F42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35</w:t>
            </w:r>
          </w:p>
        </w:tc>
        <w:tc>
          <w:tcPr>
            <w:tcW w:w="906" w:type="dxa"/>
            <w:tcBorders>
              <w:tl2br w:val="nil"/>
              <w:tr2bl w:val="nil"/>
            </w:tcBorders>
            <w:shd w:val="clear" w:color="auto" w:fill="auto"/>
            <w:tcMar>
              <w:top w:w="15" w:type="dxa"/>
              <w:left w:w="15" w:type="dxa"/>
              <w:right w:w="15" w:type="dxa"/>
            </w:tcMar>
            <w:vAlign w:val="center"/>
          </w:tcPr>
          <w:p w14:paraId="25395D9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农村道路客运车辆更新</w:t>
            </w:r>
          </w:p>
        </w:tc>
        <w:tc>
          <w:tcPr>
            <w:tcW w:w="3227" w:type="dxa"/>
            <w:tcBorders>
              <w:tl2br w:val="nil"/>
              <w:tr2bl w:val="nil"/>
            </w:tcBorders>
            <w:shd w:val="clear" w:color="auto" w:fill="auto"/>
            <w:tcMar>
              <w:top w:w="15" w:type="dxa"/>
              <w:left w:w="15" w:type="dxa"/>
              <w:right w:w="15" w:type="dxa"/>
            </w:tcMar>
            <w:vAlign w:val="center"/>
          </w:tcPr>
          <w:p w14:paraId="1398CE4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spacing w:val="-6"/>
                <w:kern w:val="0"/>
                <w:sz w:val="20"/>
                <w:szCs w:val="20"/>
                <w:u w:val="none"/>
                <w:lang w:val="en-US" w:eastAsia="zh-CN" w:bidi="ar"/>
              </w:rPr>
              <w:t>申请人将名下车龄8年及以上（即2017年12月31日前注册登记，含当日）的老旧农村道路客运车辆报废，新购买纳入《减免车辆购置税的新能源汽车车型目录》的新能源车辆或国六排放标准燃油燃气车辆，且新购车辆继续从事农村道路客运的，按新购小型客车3万元/台（车长小于6米且载客人数小于等于9）、中大型客车6万元/台（中型为车长小于6米且载客人数10至19人、大型为车长大于等于6米或者载客人数大于等于20人）进行补贴。</w:t>
            </w:r>
            <w:r>
              <w:rPr>
                <w:rFonts w:hint="eastAsia" w:asciiTheme="minorEastAsia" w:hAnsiTheme="minorEastAsia" w:eastAsiaTheme="minorEastAsia" w:cstheme="minorEastAsia"/>
                <w:b w:val="0"/>
                <w:bCs w:val="0"/>
                <w:i w:val="0"/>
                <w:color w:val="000000"/>
                <w:spacing w:val="-6"/>
                <w:kern w:val="0"/>
                <w:sz w:val="20"/>
                <w:szCs w:val="20"/>
                <w:u w:val="none"/>
                <w:lang w:val="en-US" w:eastAsia="zh-CN" w:bidi="ar"/>
              </w:rPr>
              <w:t>同时，鼓励“大改小”，即新购座位总数不超过报废大客车座位数量的多辆小型客车，均纳入补贴范围。</w:t>
            </w:r>
          </w:p>
        </w:tc>
        <w:tc>
          <w:tcPr>
            <w:tcW w:w="2334" w:type="dxa"/>
            <w:tcBorders>
              <w:tl2br w:val="nil"/>
              <w:tr2bl w:val="nil"/>
            </w:tcBorders>
            <w:shd w:val="clear" w:color="auto" w:fill="auto"/>
            <w:tcMar>
              <w:top w:w="15" w:type="dxa"/>
              <w:left w:w="15" w:type="dxa"/>
              <w:right w:w="15" w:type="dxa"/>
            </w:tcMar>
            <w:vAlign w:val="center"/>
          </w:tcPr>
          <w:p w14:paraId="7FAA69D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四川省交通运输厅 四川省财政厅关于印发《2025年四川省新能源城市公交车及动力电池更新补贴实施细则》和《2025年四川省农村道路客运车辆更新补贴实施细则》的通知（川交函〔2025〕139号）</w:t>
            </w:r>
          </w:p>
        </w:tc>
        <w:tc>
          <w:tcPr>
            <w:tcW w:w="770" w:type="dxa"/>
            <w:tcBorders>
              <w:tl2br w:val="nil"/>
              <w:tr2bl w:val="nil"/>
            </w:tcBorders>
            <w:shd w:val="clear" w:color="auto" w:fill="auto"/>
            <w:tcMar>
              <w:top w:w="15" w:type="dxa"/>
              <w:left w:w="15" w:type="dxa"/>
              <w:right w:w="15" w:type="dxa"/>
            </w:tcMar>
            <w:vAlign w:val="center"/>
          </w:tcPr>
          <w:p w14:paraId="1120675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奖补类</w:t>
            </w:r>
          </w:p>
        </w:tc>
        <w:tc>
          <w:tcPr>
            <w:tcW w:w="770" w:type="dxa"/>
            <w:tcBorders>
              <w:tl2br w:val="nil"/>
              <w:tr2bl w:val="nil"/>
            </w:tcBorders>
            <w:shd w:val="clear" w:color="auto" w:fill="auto"/>
            <w:tcMar>
              <w:top w:w="15" w:type="dxa"/>
              <w:left w:w="15" w:type="dxa"/>
              <w:right w:w="15" w:type="dxa"/>
            </w:tcMar>
            <w:vAlign w:val="center"/>
          </w:tcPr>
          <w:p w14:paraId="1039411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省级</w:t>
            </w:r>
          </w:p>
        </w:tc>
        <w:tc>
          <w:tcPr>
            <w:tcW w:w="770" w:type="dxa"/>
            <w:tcBorders>
              <w:tl2br w:val="nil"/>
              <w:tr2bl w:val="nil"/>
            </w:tcBorders>
            <w:shd w:val="clear" w:color="auto" w:fill="auto"/>
            <w:tcMar>
              <w:top w:w="15" w:type="dxa"/>
              <w:left w:w="15" w:type="dxa"/>
              <w:right w:w="15" w:type="dxa"/>
            </w:tcMar>
            <w:vAlign w:val="center"/>
          </w:tcPr>
          <w:p w14:paraId="25497F8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广安市</w:t>
            </w:r>
          </w:p>
        </w:tc>
        <w:tc>
          <w:tcPr>
            <w:tcW w:w="888" w:type="dxa"/>
            <w:tcBorders>
              <w:tl2br w:val="nil"/>
              <w:tr2bl w:val="nil"/>
            </w:tcBorders>
            <w:shd w:val="clear" w:color="auto" w:fill="auto"/>
            <w:tcMar>
              <w:top w:w="15" w:type="dxa"/>
              <w:left w:w="15" w:type="dxa"/>
              <w:right w:w="15" w:type="dxa"/>
            </w:tcMar>
            <w:vAlign w:val="center"/>
          </w:tcPr>
          <w:p w14:paraId="661825C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4C99D8D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市交通运输主管部门</w:t>
            </w:r>
          </w:p>
        </w:tc>
        <w:tc>
          <w:tcPr>
            <w:tcW w:w="1085" w:type="dxa"/>
            <w:tcBorders>
              <w:tl2br w:val="nil"/>
              <w:tr2bl w:val="nil"/>
            </w:tcBorders>
            <w:shd w:val="clear" w:color="auto" w:fill="auto"/>
            <w:tcMar>
              <w:top w:w="15" w:type="dxa"/>
              <w:left w:w="15" w:type="dxa"/>
              <w:right w:w="15" w:type="dxa"/>
            </w:tcMar>
            <w:vAlign w:val="center"/>
          </w:tcPr>
          <w:p w14:paraId="6C1CCF5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纳入四川省乡村客运监管服务平台管理、已取得道路客运班线经营许可的客运企业</w:t>
            </w:r>
          </w:p>
        </w:tc>
        <w:tc>
          <w:tcPr>
            <w:tcW w:w="705" w:type="dxa"/>
            <w:tcBorders>
              <w:tl2br w:val="nil"/>
              <w:tr2bl w:val="nil"/>
            </w:tcBorders>
            <w:shd w:val="clear" w:color="auto" w:fill="auto"/>
            <w:tcMar>
              <w:top w:w="15" w:type="dxa"/>
              <w:left w:w="15" w:type="dxa"/>
              <w:right w:w="15" w:type="dxa"/>
            </w:tcMar>
            <w:vAlign w:val="center"/>
          </w:tcPr>
          <w:p w14:paraId="2124A1A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即申即享</w:t>
            </w:r>
          </w:p>
        </w:tc>
        <w:tc>
          <w:tcPr>
            <w:tcW w:w="1171" w:type="dxa"/>
            <w:tcBorders>
              <w:tl2br w:val="nil"/>
              <w:tr2bl w:val="nil"/>
            </w:tcBorders>
            <w:shd w:val="clear" w:color="auto" w:fill="auto"/>
            <w:tcMar>
              <w:top w:w="15" w:type="dxa"/>
              <w:left w:w="15" w:type="dxa"/>
              <w:right w:w="15" w:type="dxa"/>
            </w:tcMar>
            <w:vAlign w:val="center"/>
          </w:tcPr>
          <w:p w14:paraId="16B4F53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按程序执行</w:t>
            </w:r>
          </w:p>
        </w:tc>
        <w:tc>
          <w:tcPr>
            <w:tcW w:w="1095" w:type="dxa"/>
            <w:tcBorders>
              <w:tl2br w:val="nil"/>
              <w:tr2bl w:val="nil"/>
            </w:tcBorders>
            <w:shd w:val="clear" w:color="auto" w:fill="auto"/>
            <w:tcMar>
              <w:top w:w="15" w:type="dxa"/>
              <w:left w:w="15" w:type="dxa"/>
              <w:right w:w="15" w:type="dxa"/>
            </w:tcMar>
            <w:vAlign w:val="center"/>
          </w:tcPr>
          <w:p w14:paraId="2BE608C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2025年1月1日至2025年12月31日</w:t>
            </w:r>
          </w:p>
        </w:tc>
      </w:tr>
      <w:tr w14:paraId="0C2AD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81" w:hRule="atLeast"/>
          <w:jc w:val="center"/>
        </w:trPr>
        <w:tc>
          <w:tcPr>
            <w:tcW w:w="500" w:type="dxa"/>
            <w:tcBorders>
              <w:tl2br w:val="nil"/>
              <w:tr2bl w:val="nil"/>
            </w:tcBorders>
            <w:shd w:val="clear" w:color="auto" w:fill="auto"/>
            <w:tcMar>
              <w:top w:w="15" w:type="dxa"/>
              <w:left w:w="15" w:type="dxa"/>
              <w:right w:w="15" w:type="dxa"/>
            </w:tcMar>
            <w:vAlign w:val="center"/>
          </w:tcPr>
          <w:p w14:paraId="5A23F79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36</w:t>
            </w:r>
          </w:p>
        </w:tc>
        <w:tc>
          <w:tcPr>
            <w:tcW w:w="906" w:type="dxa"/>
            <w:tcBorders>
              <w:tl2br w:val="nil"/>
              <w:tr2bl w:val="nil"/>
            </w:tcBorders>
            <w:shd w:val="clear" w:color="auto" w:fill="auto"/>
            <w:tcMar>
              <w:top w:w="15" w:type="dxa"/>
              <w:left w:w="15" w:type="dxa"/>
              <w:right w:w="15" w:type="dxa"/>
            </w:tcMar>
            <w:vAlign w:val="center"/>
          </w:tcPr>
          <w:p w14:paraId="60B1D79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新能源城市公交车及动力电池更新</w:t>
            </w:r>
          </w:p>
        </w:tc>
        <w:tc>
          <w:tcPr>
            <w:tcW w:w="3227" w:type="dxa"/>
            <w:tcBorders>
              <w:tl2br w:val="nil"/>
              <w:tr2bl w:val="nil"/>
            </w:tcBorders>
            <w:shd w:val="clear" w:color="auto" w:fill="auto"/>
            <w:tcMar>
              <w:top w:w="15" w:type="dxa"/>
              <w:left w:w="15" w:type="dxa"/>
              <w:right w:w="15" w:type="dxa"/>
            </w:tcMar>
            <w:vAlign w:val="center"/>
          </w:tcPr>
          <w:p w14:paraId="757D7F5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更新补贴范围内的新能源城市公交车，每辆车补贴10万元（低地板及低入口公交车每辆车11.8万元）；更换补贴范围内的新能源城市公交车动力电池，每辆车补贴4.2万元。</w:t>
            </w:r>
          </w:p>
        </w:tc>
        <w:tc>
          <w:tcPr>
            <w:tcW w:w="2334" w:type="dxa"/>
            <w:tcBorders>
              <w:tl2br w:val="nil"/>
              <w:tr2bl w:val="nil"/>
            </w:tcBorders>
            <w:shd w:val="clear" w:color="auto" w:fill="auto"/>
            <w:tcMar>
              <w:top w:w="15" w:type="dxa"/>
              <w:left w:w="15" w:type="dxa"/>
              <w:right w:w="15" w:type="dxa"/>
            </w:tcMar>
            <w:vAlign w:val="center"/>
          </w:tcPr>
          <w:p w14:paraId="398C153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四川省交通运输厅 四川省财政厅关于印发《2025年四川省新能源城市公交车及动力电池更新补贴实施细则》和《2025年四川省农村道路客运车辆更新补贴实施细则》的通知（川交函〔2025〕139号）</w:t>
            </w:r>
          </w:p>
        </w:tc>
        <w:tc>
          <w:tcPr>
            <w:tcW w:w="770" w:type="dxa"/>
            <w:tcBorders>
              <w:tl2br w:val="nil"/>
              <w:tr2bl w:val="nil"/>
            </w:tcBorders>
            <w:shd w:val="clear" w:color="auto" w:fill="auto"/>
            <w:tcMar>
              <w:top w:w="15" w:type="dxa"/>
              <w:left w:w="15" w:type="dxa"/>
              <w:right w:w="15" w:type="dxa"/>
            </w:tcMar>
            <w:vAlign w:val="center"/>
          </w:tcPr>
          <w:p w14:paraId="1742D1B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奖补类</w:t>
            </w:r>
          </w:p>
        </w:tc>
        <w:tc>
          <w:tcPr>
            <w:tcW w:w="770" w:type="dxa"/>
            <w:tcBorders>
              <w:tl2br w:val="nil"/>
              <w:tr2bl w:val="nil"/>
            </w:tcBorders>
            <w:shd w:val="clear" w:color="auto" w:fill="auto"/>
            <w:tcMar>
              <w:top w:w="15" w:type="dxa"/>
              <w:left w:w="15" w:type="dxa"/>
              <w:right w:w="15" w:type="dxa"/>
            </w:tcMar>
            <w:vAlign w:val="center"/>
          </w:tcPr>
          <w:p w14:paraId="2AB6753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省级</w:t>
            </w:r>
          </w:p>
        </w:tc>
        <w:tc>
          <w:tcPr>
            <w:tcW w:w="770" w:type="dxa"/>
            <w:tcBorders>
              <w:tl2br w:val="nil"/>
              <w:tr2bl w:val="nil"/>
            </w:tcBorders>
            <w:shd w:val="clear" w:color="auto" w:fill="auto"/>
            <w:tcMar>
              <w:top w:w="15" w:type="dxa"/>
              <w:left w:w="15" w:type="dxa"/>
              <w:right w:w="15" w:type="dxa"/>
            </w:tcMar>
            <w:vAlign w:val="center"/>
          </w:tcPr>
          <w:p w14:paraId="2225232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广安市</w:t>
            </w:r>
          </w:p>
        </w:tc>
        <w:tc>
          <w:tcPr>
            <w:tcW w:w="888" w:type="dxa"/>
            <w:tcBorders>
              <w:tl2br w:val="nil"/>
              <w:tr2bl w:val="nil"/>
            </w:tcBorders>
            <w:shd w:val="clear" w:color="auto" w:fill="auto"/>
            <w:tcMar>
              <w:top w:w="15" w:type="dxa"/>
              <w:left w:w="15" w:type="dxa"/>
              <w:right w:w="15" w:type="dxa"/>
            </w:tcMar>
            <w:vAlign w:val="center"/>
          </w:tcPr>
          <w:p w14:paraId="1AAD236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217377B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市交通运输主管部门</w:t>
            </w:r>
          </w:p>
        </w:tc>
        <w:tc>
          <w:tcPr>
            <w:tcW w:w="1085" w:type="dxa"/>
            <w:tcBorders>
              <w:tl2br w:val="nil"/>
              <w:tr2bl w:val="nil"/>
            </w:tcBorders>
            <w:shd w:val="clear" w:color="auto" w:fill="auto"/>
            <w:tcMar>
              <w:top w:w="15" w:type="dxa"/>
              <w:left w:w="15" w:type="dxa"/>
              <w:right w:w="15" w:type="dxa"/>
            </w:tcMar>
            <w:vAlign w:val="center"/>
          </w:tcPr>
          <w:p w14:paraId="0223DF4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依法取得城市公共汽电车线路运营权的企业</w:t>
            </w:r>
          </w:p>
        </w:tc>
        <w:tc>
          <w:tcPr>
            <w:tcW w:w="705" w:type="dxa"/>
            <w:tcBorders>
              <w:tl2br w:val="nil"/>
              <w:tr2bl w:val="nil"/>
            </w:tcBorders>
            <w:shd w:val="clear" w:color="auto" w:fill="auto"/>
            <w:tcMar>
              <w:top w:w="15" w:type="dxa"/>
              <w:left w:w="15" w:type="dxa"/>
              <w:right w:w="15" w:type="dxa"/>
            </w:tcMar>
            <w:vAlign w:val="center"/>
          </w:tcPr>
          <w:p w14:paraId="7ED09C5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即申即享</w:t>
            </w:r>
          </w:p>
        </w:tc>
        <w:tc>
          <w:tcPr>
            <w:tcW w:w="1171" w:type="dxa"/>
            <w:tcBorders>
              <w:tl2br w:val="nil"/>
              <w:tr2bl w:val="nil"/>
            </w:tcBorders>
            <w:shd w:val="clear" w:color="auto" w:fill="auto"/>
            <w:tcMar>
              <w:top w:w="15" w:type="dxa"/>
              <w:left w:w="15" w:type="dxa"/>
              <w:right w:w="15" w:type="dxa"/>
            </w:tcMar>
            <w:vAlign w:val="center"/>
          </w:tcPr>
          <w:p w14:paraId="3BFCC4E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按程序执行</w:t>
            </w:r>
          </w:p>
        </w:tc>
        <w:tc>
          <w:tcPr>
            <w:tcW w:w="1095" w:type="dxa"/>
            <w:tcBorders>
              <w:tl2br w:val="nil"/>
              <w:tr2bl w:val="nil"/>
            </w:tcBorders>
            <w:shd w:val="clear" w:color="auto" w:fill="auto"/>
            <w:tcMar>
              <w:top w:w="15" w:type="dxa"/>
              <w:left w:w="15" w:type="dxa"/>
              <w:right w:w="15" w:type="dxa"/>
            </w:tcMar>
            <w:vAlign w:val="center"/>
          </w:tcPr>
          <w:p w14:paraId="294FC89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2025年1月1日至2025年12月31日</w:t>
            </w:r>
          </w:p>
        </w:tc>
      </w:tr>
      <w:tr w14:paraId="68748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jc w:val="center"/>
        </w:trPr>
        <w:tc>
          <w:tcPr>
            <w:tcW w:w="500" w:type="dxa"/>
            <w:tcBorders>
              <w:tl2br w:val="nil"/>
              <w:tr2bl w:val="nil"/>
            </w:tcBorders>
            <w:shd w:val="clear" w:color="auto" w:fill="auto"/>
            <w:tcMar>
              <w:top w:w="15" w:type="dxa"/>
              <w:left w:w="15" w:type="dxa"/>
              <w:right w:w="15" w:type="dxa"/>
            </w:tcMar>
            <w:vAlign w:val="center"/>
          </w:tcPr>
          <w:p w14:paraId="16C791D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37</w:t>
            </w:r>
          </w:p>
        </w:tc>
        <w:tc>
          <w:tcPr>
            <w:tcW w:w="906" w:type="dxa"/>
            <w:tcBorders>
              <w:tl2br w:val="nil"/>
              <w:tr2bl w:val="nil"/>
            </w:tcBorders>
            <w:shd w:val="clear" w:color="auto" w:fill="auto"/>
            <w:tcMar>
              <w:top w:w="15" w:type="dxa"/>
              <w:left w:w="15" w:type="dxa"/>
              <w:right w:w="15" w:type="dxa"/>
            </w:tcMar>
            <w:vAlign w:val="center"/>
          </w:tcPr>
          <w:p w14:paraId="1FA15C5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老旧营运货车报废更新</w:t>
            </w:r>
          </w:p>
        </w:tc>
        <w:tc>
          <w:tcPr>
            <w:tcW w:w="3227" w:type="dxa"/>
            <w:tcBorders>
              <w:tl2br w:val="nil"/>
              <w:tr2bl w:val="nil"/>
            </w:tcBorders>
            <w:shd w:val="clear" w:color="auto" w:fill="auto"/>
            <w:tcMar>
              <w:top w:w="15" w:type="dxa"/>
              <w:left w:w="15" w:type="dxa"/>
              <w:right w:w="15" w:type="dxa"/>
            </w:tcMar>
            <w:vAlign w:val="center"/>
          </w:tcPr>
          <w:p w14:paraId="445FBBD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按照报废车辆类型、提前报废时间和新购置车辆动力类型</w:t>
            </w:r>
            <w:r>
              <w:rPr>
                <w:rFonts w:hint="eastAsia" w:ascii="Times New Roman" w:hAnsi="Times New Roman" w:eastAsia="宋体" w:cs="Times New Roman"/>
                <w:b w:val="0"/>
                <w:bCs w:val="0"/>
                <w:i w:val="0"/>
                <w:color w:val="000000"/>
                <w:kern w:val="0"/>
                <w:sz w:val="20"/>
                <w:szCs w:val="20"/>
                <w:u w:val="none"/>
                <w:lang w:val="en-US" w:eastAsia="zh-CN" w:bidi="ar"/>
              </w:rPr>
              <w:t>，</w:t>
            </w:r>
            <w:r>
              <w:rPr>
                <w:rFonts w:hint="default" w:ascii="Times New Roman" w:hAnsi="Times New Roman" w:eastAsia="宋体" w:cs="Times New Roman"/>
                <w:b w:val="0"/>
                <w:bCs w:val="0"/>
                <w:i w:val="0"/>
                <w:color w:val="000000"/>
                <w:kern w:val="0"/>
                <w:sz w:val="20"/>
                <w:szCs w:val="20"/>
                <w:u w:val="none"/>
                <w:lang w:val="en-US" w:eastAsia="zh-CN" w:bidi="ar"/>
              </w:rPr>
              <w:t>实施差别化资金标准，具体标准按《交通运输部 国家发展改革委 财政部关于实施老旧营运货车报废更新的通知》（交规划发〔2025〕17号）文件执行。</w:t>
            </w:r>
          </w:p>
        </w:tc>
        <w:tc>
          <w:tcPr>
            <w:tcW w:w="2334" w:type="dxa"/>
            <w:tcBorders>
              <w:tl2br w:val="nil"/>
              <w:tr2bl w:val="nil"/>
            </w:tcBorders>
            <w:shd w:val="clear" w:color="auto" w:fill="auto"/>
            <w:tcMar>
              <w:top w:w="15" w:type="dxa"/>
              <w:left w:w="15" w:type="dxa"/>
              <w:right w:w="15" w:type="dxa"/>
            </w:tcMar>
            <w:vAlign w:val="center"/>
          </w:tcPr>
          <w:p w14:paraId="2352F25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四川省交通运输厅 四川省公安厅 四川省财政厅 四川省商务厅关于印发《2025年四川省老旧营运货车报废更新补贴实施细则》的通知（川交函〔2025〕217号）</w:t>
            </w:r>
          </w:p>
        </w:tc>
        <w:tc>
          <w:tcPr>
            <w:tcW w:w="770" w:type="dxa"/>
            <w:tcBorders>
              <w:tl2br w:val="nil"/>
              <w:tr2bl w:val="nil"/>
            </w:tcBorders>
            <w:shd w:val="clear" w:color="auto" w:fill="auto"/>
            <w:tcMar>
              <w:top w:w="15" w:type="dxa"/>
              <w:left w:w="15" w:type="dxa"/>
              <w:right w:w="15" w:type="dxa"/>
            </w:tcMar>
            <w:vAlign w:val="center"/>
          </w:tcPr>
          <w:p w14:paraId="25B3B2E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奖补类</w:t>
            </w:r>
          </w:p>
        </w:tc>
        <w:tc>
          <w:tcPr>
            <w:tcW w:w="770" w:type="dxa"/>
            <w:tcBorders>
              <w:tl2br w:val="nil"/>
              <w:tr2bl w:val="nil"/>
            </w:tcBorders>
            <w:shd w:val="clear" w:color="auto" w:fill="auto"/>
            <w:tcMar>
              <w:top w:w="15" w:type="dxa"/>
              <w:left w:w="15" w:type="dxa"/>
              <w:right w:w="15" w:type="dxa"/>
            </w:tcMar>
            <w:vAlign w:val="center"/>
          </w:tcPr>
          <w:p w14:paraId="52C80D3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省级</w:t>
            </w:r>
          </w:p>
        </w:tc>
        <w:tc>
          <w:tcPr>
            <w:tcW w:w="770" w:type="dxa"/>
            <w:tcBorders>
              <w:tl2br w:val="nil"/>
              <w:tr2bl w:val="nil"/>
            </w:tcBorders>
            <w:shd w:val="clear" w:color="auto" w:fill="auto"/>
            <w:tcMar>
              <w:top w:w="15" w:type="dxa"/>
              <w:left w:w="15" w:type="dxa"/>
              <w:right w:w="15" w:type="dxa"/>
            </w:tcMar>
            <w:vAlign w:val="center"/>
          </w:tcPr>
          <w:p w14:paraId="10EFABE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广安市</w:t>
            </w:r>
          </w:p>
        </w:tc>
        <w:tc>
          <w:tcPr>
            <w:tcW w:w="888" w:type="dxa"/>
            <w:tcBorders>
              <w:tl2br w:val="nil"/>
              <w:tr2bl w:val="nil"/>
            </w:tcBorders>
            <w:shd w:val="clear" w:color="auto" w:fill="auto"/>
            <w:tcMar>
              <w:top w:w="15" w:type="dxa"/>
              <w:left w:w="15" w:type="dxa"/>
              <w:right w:w="15" w:type="dxa"/>
            </w:tcMar>
            <w:vAlign w:val="center"/>
          </w:tcPr>
          <w:p w14:paraId="1FDB448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市政务服务中心惠企政策服务专窗</w:t>
            </w:r>
          </w:p>
        </w:tc>
        <w:tc>
          <w:tcPr>
            <w:tcW w:w="942" w:type="dxa"/>
            <w:tcBorders>
              <w:tl2br w:val="nil"/>
              <w:tr2bl w:val="nil"/>
            </w:tcBorders>
            <w:shd w:val="clear" w:color="auto" w:fill="auto"/>
            <w:tcMar>
              <w:top w:w="15" w:type="dxa"/>
              <w:left w:w="15" w:type="dxa"/>
              <w:right w:w="15" w:type="dxa"/>
            </w:tcMar>
            <w:vAlign w:val="center"/>
          </w:tcPr>
          <w:p w14:paraId="4687EEF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市交通运输主管部门</w:t>
            </w:r>
          </w:p>
        </w:tc>
        <w:tc>
          <w:tcPr>
            <w:tcW w:w="1085" w:type="dxa"/>
            <w:tcBorders>
              <w:tl2br w:val="nil"/>
              <w:tr2bl w:val="nil"/>
            </w:tcBorders>
            <w:shd w:val="clear" w:color="auto" w:fill="auto"/>
            <w:tcMar>
              <w:top w:w="15" w:type="dxa"/>
              <w:left w:w="15" w:type="dxa"/>
              <w:right w:w="15" w:type="dxa"/>
            </w:tcMar>
            <w:vAlign w:val="center"/>
          </w:tcPr>
          <w:p w14:paraId="3898D96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有补贴范围内营运货车的企业</w:t>
            </w:r>
          </w:p>
        </w:tc>
        <w:tc>
          <w:tcPr>
            <w:tcW w:w="705" w:type="dxa"/>
            <w:tcBorders>
              <w:tl2br w:val="nil"/>
              <w:tr2bl w:val="nil"/>
            </w:tcBorders>
            <w:shd w:val="clear" w:color="auto" w:fill="auto"/>
            <w:tcMar>
              <w:top w:w="15" w:type="dxa"/>
              <w:left w:w="15" w:type="dxa"/>
              <w:right w:w="15" w:type="dxa"/>
            </w:tcMar>
            <w:vAlign w:val="center"/>
          </w:tcPr>
          <w:p w14:paraId="5860B27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即申即享</w:t>
            </w:r>
          </w:p>
        </w:tc>
        <w:tc>
          <w:tcPr>
            <w:tcW w:w="1171" w:type="dxa"/>
            <w:tcBorders>
              <w:tl2br w:val="nil"/>
              <w:tr2bl w:val="nil"/>
            </w:tcBorders>
            <w:shd w:val="clear" w:color="auto" w:fill="auto"/>
            <w:tcMar>
              <w:top w:w="15" w:type="dxa"/>
              <w:left w:w="15" w:type="dxa"/>
              <w:right w:w="15" w:type="dxa"/>
            </w:tcMar>
            <w:vAlign w:val="center"/>
          </w:tcPr>
          <w:p w14:paraId="43B867E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按程序执行</w:t>
            </w:r>
          </w:p>
        </w:tc>
        <w:tc>
          <w:tcPr>
            <w:tcW w:w="1095" w:type="dxa"/>
            <w:tcBorders>
              <w:tl2br w:val="nil"/>
              <w:tr2bl w:val="nil"/>
            </w:tcBorders>
            <w:shd w:val="clear" w:color="auto" w:fill="auto"/>
            <w:tcMar>
              <w:top w:w="15" w:type="dxa"/>
              <w:left w:w="15" w:type="dxa"/>
              <w:right w:w="15" w:type="dxa"/>
            </w:tcMar>
            <w:vAlign w:val="center"/>
          </w:tcPr>
          <w:p w14:paraId="1FB2899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2025年1月1日至2025年12月31日</w:t>
            </w:r>
          </w:p>
        </w:tc>
      </w:tr>
      <w:tr w14:paraId="33D51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81" w:hRule="atLeast"/>
          <w:jc w:val="center"/>
        </w:trPr>
        <w:tc>
          <w:tcPr>
            <w:tcW w:w="500" w:type="dxa"/>
            <w:shd w:val="clear" w:color="auto" w:fill="auto"/>
            <w:vAlign w:val="center"/>
          </w:tcPr>
          <w:p w14:paraId="42A1771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38</w:t>
            </w:r>
          </w:p>
        </w:tc>
        <w:tc>
          <w:tcPr>
            <w:tcW w:w="906" w:type="dxa"/>
            <w:shd w:val="clear" w:color="auto" w:fill="auto"/>
            <w:vAlign w:val="center"/>
          </w:tcPr>
          <w:p w14:paraId="6FA8DF9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支持老旧营运船舶报废更新</w:t>
            </w:r>
          </w:p>
        </w:tc>
        <w:tc>
          <w:tcPr>
            <w:tcW w:w="3227" w:type="dxa"/>
            <w:shd w:val="clear" w:color="auto" w:fill="auto"/>
            <w:vAlign w:val="center"/>
          </w:tcPr>
          <w:p w14:paraId="42E7719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对提前报废老旧营运船舶、提前报废老旧营运船舶后新建燃油动力营运船舶、新建新能源清洁能源营运船舶进行补贴</w:t>
            </w:r>
            <w:r>
              <w:rPr>
                <w:rFonts w:hint="default" w:ascii="Times New Roman" w:hAnsi="Times New Roman" w:eastAsia="宋体" w:cs="Times New Roman"/>
                <w:b w:val="0"/>
                <w:bCs w:val="0"/>
                <w:i w:val="0"/>
                <w:color w:val="000000"/>
                <w:kern w:val="0"/>
                <w:sz w:val="20"/>
                <w:szCs w:val="20"/>
                <w:u w:val="none"/>
                <w:lang w:val="en" w:eastAsia="zh-CN" w:bidi="ar"/>
              </w:rPr>
              <w:t>。</w:t>
            </w:r>
          </w:p>
          <w:p w14:paraId="4F123FE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p>
        </w:tc>
        <w:tc>
          <w:tcPr>
            <w:tcW w:w="2334" w:type="dxa"/>
            <w:shd w:val="clear" w:color="auto" w:fill="auto"/>
            <w:vAlign w:val="center"/>
          </w:tcPr>
          <w:p w14:paraId="7E435C7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四川省交通运输厅关于修改《老旧营运船舶报废更新和新购置客渡船舶补贴实施细则》的通知</w:t>
            </w:r>
          </w:p>
          <w:p w14:paraId="4958728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（川交函〔2025〕179 号）、《关于进一步支持大规模设备更新和消费品以旧换新的若干政策措施》（川办发〔2024〕37号）、《交通运输部 国家发展改革委关于印发&lt;交通运输老旧营运船舶报废更新补贴实施细则&gt;的通知》（交规划发〔2024〕95号）</w:t>
            </w:r>
          </w:p>
        </w:tc>
        <w:tc>
          <w:tcPr>
            <w:tcW w:w="770" w:type="dxa"/>
            <w:shd w:val="clear" w:color="auto" w:fill="auto"/>
            <w:vAlign w:val="center"/>
          </w:tcPr>
          <w:p w14:paraId="3289121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奖补类</w:t>
            </w:r>
          </w:p>
        </w:tc>
        <w:tc>
          <w:tcPr>
            <w:tcW w:w="770" w:type="dxa"/>
            <w:shd w:val="clear" w:color="auto" w:fill="auto"/>
            <w:vAlign w:val="center"/>
          </w:tcPr>
          <w:p w14:paraId="47065EA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省</w:t>
            </w:r>
            <w:r>
              <w:rPr>
                <w:rFonts w:hint="default" w:ascii="宋体" w:hAnsi="宋体" w:eastAsia="宋体" w:cs="宋体"/>
                <w:color w:val="auto"/>
                <w:sz w:val="20"/>
                <w:szCs w:val="20"/>
                <w:lang w:val="en-US" w:eastAsia="zh-CN"/>
              </w:rPr>
              <w:t>级</w:t>
            </w:r>
          </w:p>
        </w:tc>
        <w:tc>
          <w:tcPr>
            <w:tcW w:w="770" w:type="dxa"/>
            <w:shd w:val="clear" w:color="auto" w:fill="auto"/>
            <w:vAlign w:val="center"/>
          </w:tcPr>
          <w:p w14:paraId="7FEA506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广安市</w:t>
            </w:r>
          </w:p>
        </w:tc>
        <w:tc>
          <w:tcPr>
            <w:tcW w:w="888" w:type="dxa"/>
            <w:shd w:val="clear" w:color="auto" w:fill="auto"/>
            <w:vAlign w:val="center"/>
          </w:tcPr>
          <w:p w14:paraId="498BFA5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04F1D78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市交通运输主管部门</w:t>
            </w:r>
          </w:p>
        </w:tc>
        <w:tc>
          <w:tcPr>
            <w:tcW w:w="1085" w:type="dxa"/>
            <w:shd w:val="clear" w:color="auto" w:fill="auto"/>
            <w:vAlign w:val="center"/>
          </w:tcPr>
          <w:p w14:paraId="7A0F518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符合报废更新条件的老旧营运船舶所有人</w:t>
            </w:r>
          </w:p>
        </w:tc>
        <w:tc>
          <w:tcPr>
            <w:tcW w:w="705" w:type="dxa"/>
            <w:shd w:val="clear" w:color="auto" w:fill="auto"/>
            <w:vAlign w:val="center"/>
          </w:tcPr>
          <w:p w14:paraId="4ECF57E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即申即享</w:t>
            </w:r>
          </w:p>
        </w:tc>
        <w:tc>
          <w:tcPr>
            <w:tcW w:w="1171" w:type="dxa"/>
            <w:shd w:val="clear" w:color="auto" w:fill="auto"/>
            <w:vAlign w:val="center"/>
          </w:tcPr>
          <w:p w14:paraId="52C4ACF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按程序执行</w:t>
            </w:r>
          </w:p>
        </w:tc>
        <w:tc>
          <w:tcPr>
            <w:tcW w:w="1095" w:type="dxa"/>
            <w:shd w:val="clear" w:color="auto" w:fill="auto"/>
            <w:vAlign w:val="center"/>
          </w:tcPr>
          <w:p w14:paraId="5CB6BA5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老旧营运船舶报废更新2024年8月2日至2028年12月31日</w:t>
            </w:r>
          </w:p>
          <w:p w14:paraId="1A82B52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color w:val="auto"/>
                <w:sz w:val="20"/>
                <w:szCs w:val="20"/>
                <w:lang w:val="en-US" w:eastAsia="zh-CN"/>
              </w:rPr>
            </w:pPr>
          </w:p>
        </w:tc>
      </w:tr>
      <w:tr w14:paraId="2CBB6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35" w:hRule="atLeast"/>
          <w:jc w:val="center"/>
        </w:trPr>
        <w:tc>
          <w:tcPr>
            <w:tcW w:w="500" w:type="dxa"/>
            <w:shd w:val="clear" w:color="auto" w:fill="auto"/>
            <w:vAlign w:val="center"/>
          </w:tcPr>
          <w:p w14:paraId="15A775B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39</w:t>
            </w:r>
          </w:p>
        </w:tc>
        <w:tc>
          <w:tcPr>
            <w:tcW w:w="906" w:type="dxa"/>
            <w:shd w:val="clear" w:color="auto" w:fill="auto"/>
            <w:vAlign w:val="center"/>
          </w:tcPr>
          <w:p w14:paraId="1FB343D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支持内河水运发展“以奖代补”</w:t>
            </w:r>
          </w:p>
        </w:tc>
        <w:tc>
          <w:tcPr>
            <w:tcW w:w="3227" w:type="dxa"/>
            <w:shd w:val="clear" w:color="auto" w:fill="auto"/>
            <w:vAlign w:val="center"/>
          </w:tcPr>
          <w:p w14:paraId="66C7DF1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heme="minorEastAsia" w:hAnsiTheme="minorEastAsia" w:eastAsiaTheme="minorEastAsia" w:cstheme="minorEastAsia"/>
                <w:b w:val="0"/>
                <w:bCs w:val="0"/>
                <w:i w:val="0"/>
                <w:color w:val="000000"/>
                <w:kern w:val="0"/>
                <w:sz w:val="20"/>
                <w:szCs w:val="20"/>
                <w:u w:val="none"/>
                <w:lang w:val="en-US" w:eastAsia="zh-CN" w:bidi="ar"/>
              </w:rPr>
            </w:pPr>
            <w:r>
              <w:rPr>
                <w:rFonts w:hint="eastAsia" w:asciiTheme="minorEastAsia" w:hAnsiTheme="minorEastAsia" w:eastAsiaTheme="minorEastAsia" w:cstheme="minorEastAsia"/>
                <w:b w:val="0"/>
                <w:bCs w:val="0"/>
                <w:i w:val="0"/>
                <w:color w:val="000000"/>
                <w:kern w:val="0"/>
                <w:sz w:val="20"/>
                <w:szCs w:val="20"/>
                <w:u w:val="none"/>
                <w:lang w:val="en-US" w:eastAsia="zh-CN" w:bidi="ar"/>
              </w:rPr>
              <w:t>支持船舶运力发展、运输结构调整，对发展大宗物资中长途水路运输、“公（铁）转水”运输、集装箱运输及多式联运等发展做出贡献的企业给与奖励。</w:t>
            </w:r>
          </w:p>
        </w:tc>
        <w:tc>
          <w:tcPr>
            <w:tcW w:w="2334" w:type="dxa"/>
            <w:shd w:val="clear" w:color="auto" w:fill="auto"/>
            <w:vAlign w:val="center"/>
          </w:tcPr>
          <w:p w14:paraId="6064216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《四川省交通运输厅 四川省财政厅关于印发&lt;四川省扶持内河水运发展“以奖代补”实施方案&gt;的通知》（川交函〔2023〕421号）</w:t>
            </w:r>
          </w:p>
        </w:tc>
        <w:tc>
          <w:tcPr>
            <w:tcW w:w="770" w:type="dxa"/>
            <w:shd w:val="clear" w:color="auto" w:fill="auto"/>
            <w:vAlign w:val="center"/>
          </w:tcPr>
          <w:p w14:paraId="20A10DA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奖补类</w:t>
            </w:r>
          </w:p>
        </w:tc>
        <w:tc>
          <w:tcPr>
            <w:tcW w:w="770" w:type="dxa"/>
            <w:shd w:val="clear" w:color="auto" w:fill="auto"/>
            <w:vAlign w:val="center"/>
          </w:tcPr>
          <w:p w14:paraId="0FF9FE8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省级</w:t>
            </w:r>
          </w:p>
        </w:tc>
        <w:tc>
          <w:tcPr>
            <w:tcW w:w="770" w:type="dxa"/>
            <w:shd w:val="clear" w:color="auto" w:fill="auto"/>
            <w:vAlign w:val="center"/>
          </w:tcPr>
          <w:p w14:paraId="1E5A45B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广安市</w:t>
            </w:r>
          </w:p>
        </w:tc>
        <w:tc>
          <w:tcPr>
            <w:tcW w:w="888" w:type="dxa"/>
            <w:shd w:val="clear" w:color="auto" w:fill="auto"/>
            <w:vAlign w:val="center"/>
          </w:tcPr>
          <w:p w14:paraId="71D035A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18D3209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市交通运输主管部门</w:t>
            </w:r>
          </w:p>
        </w:tc>
        <w:tc>
          <w:tcPr>
            <w:tcW w:w="1085" w:type="dxa"/>
            <w:shd w:val="clear" w:color="auto" w:fill="auto"/>
            <w:vAlign w:val="center"/>
          </w:tcPr>
          <w:p w14:paraId="48B0E43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对我市发展大宗物资中长途水路运输“公（铁）转水”运输、集装箱运输及多式联运等发展做出贡献的企业</w:t>
            </w:r>
          </w:p>
        </w:tc>
        <w:tc>
          <w:tcPr>
            <w:tcW w:w="705" w:type="dxa"/>
            <w:shd w:val="clear" w:color="auto" w:fill="auto"/>
            <w:vAlign w:val="center"/>
          </w:tcPr>
          <w:p w14:paraId="2E6CC68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即申即享</w:t>
            </w:r>
          </w:p>
        </w:tc>
        <w:tc>
          <w:tcPr>
            <w:tcW w:w="1171" w:type="dxa"/>
            <w:shd w:val="clear" w:color="auto" w:fill="auto"/>
            <w:vAlign w:val="center"/>
          </w:tcPr>
          <w:p w14:paraId="3F34CC6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按程序执行</w:t>
            </w:r>
          </w:p>
        </w:tc>
        <w:tc>
          <w:tcPr>
            <w:tcW w:w="1095" w:type="dxa"/>
            <w:shd w:val="clear" w:color="auto" w:fill="auto"/>
            <w:vAlign w:val="center"/>
          </w:tcPr>
          <w:p w14:paraId="5E4D188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未废止前均有效</w:t>
            </w:r>
          </w:p>
        </w:tc>
      </w:tr>
      <w:tr w14:paraId="53A8D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587" w:hRule="atLeast"/>
          <w:jc w:val="center"/>
        </w:trPr>
        <w:tc>
          <w:tcPr>
            <w:tcW w:w="500" w:type="dxa"/>
            <w:shd w:val="clear" w:color="auto" w:fill="auto"/>
            <w:vAlign w:val="center"/>
          </w:tcPr>
          <w:p w14:paraId="50E0FAD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40</w:t>
            </w:r>
          </w:p>
        </w:tc>
        <w:tc>
          <w:tcPr>
            <w:tcW w:w="906" w:type="dxa"/>
            <w:shd w:val="clear" w:color="auto" w:fill="auto"/>
            <w:vAlign w:val="center"/>
          </w:tcPr>
          <w:p w14:paraId="6F4C420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招工成本补贴</w:t>
            </w:r>
          </w:p>
        </w:tc>
        <w:tc>
          <w:tcPr>
            <w:tcW w:w="3227" w:type="dxa"/>
            <w:shd w:val="clear" w:color="auto" w:fill="auto"/>
            <w:vAlign w:val="center"/>
          </w:tcPr>
          <w:p w14:paraId="1C8E242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heme="minorEastAsia" w:hAnsiTheme="minorEastAsia" w:eastAsiaTheme="minorEastAsia" w:cstheme="minorEastAsia"/>
                <w:b w:val="0"/>
                <w:bCs w:val="0"/>
                <w:i w:val="0"/>
                <w:color w:val="000000"/>
                <w:kern w:val="0"/>
                <w:sz w:val="20"/>
                <w:szCs w:val="20"/>
                <w:u w:val="none"/>
                <w:lang w:val="en-US" w:eastAsia="zh-CN" w:bidi="ar"/>
              </w:rPr>
            </w:pPr>
            <w:r>
              <w:rPr>
                <w:rFonts w:hint="eastAsia" w:asciiTheme="minorEastAsia" w:hAnsiTheme="minorEastAsia" w:eastAsiaTheme="minorEastAsia" w:cstheme="minorEastAsia"/>
                <w:b w:val="0"/>
                <w:bCs w:val="0"/>
                <w:i w:val="0"/>
                <w:color w:val="000000"/>
                <w:kern w:val="0"/>
                <w:sz w:val="20"/>
                <w:szCs w:val="20"/>
                <w:u w:val="none"/>
                <w:lang w:val="en-US" w:eastAsia="zh-CN" w:bidi="ar"/>
              </w:rPr>
              <w:t>对招用新成长劳动力的各类企业、社会团体、基金会、社会服务机构、律师事务所、会计师事务所、以单位形式参保的个体工商户，按每招用1名1000元的标准给予招工成本补贴。</w:t>
            </w:r>
          </w:p>
        </w:tc>
        <w:tc>
          <w:tcPr>
            <w:tcW w:w="2334" w:type="dxa"/>
            <w:shd w:val="clear" w:color="auto" w:fill="auto"/>
            <w:vAlign w:val="center"/>
          </w:tcPr>
          <w:p w14:paraId="42F5BDB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《关于进一步推动经济运行回升向好的若干政策措施》（川办规〔2025〕3 号）</w:t>
            </w:r>
          </w:p>
        </w:tc>
        <w:tc>
          <w:tcPr>
            <w:tcW w:w="770" w:type="dxa"/>
            <w:shd w:val="clear" w:color="auto" w:fill="auto"/>
            <w:vAlign w:val="center"/>
          </w:tcPr>
          <w:p w14:paraId="2146D5A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奖补类</w:t>
            </w:r>
          </w:p>
        </w:tc>
        <w:tc>
          <w:tcPr>
            <w:tcW w:w="770" w:type="dxa"/>
            <w:shd w:val="clear" w:color="auto" w:fill="auto"/>
            <w:vAlign w:val="center"/>
          </w:tcPr>
          <w:p w14:paraId="02F6D4E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省级</w:t>
            </w:r>
          </w:p>
        </w:tc>
        <w:tc>
          <w:tcPr>
            <w:tcW w:w="770" w:type="dxa"/>
            <w:shd w:val="clear" w:color="auto" w:fill="auto"/>
            <w:vAlign w:val="center"/>
          </w:tcPr>
          <w:p w14:paraId="6A9C77F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 w:eastAsia="zh-CN"/>
              </w:rPr>
              <w:t>广安市</w:t>
            </w:r>
          </w:p>
        </w:tc>
        <w:tc>
          <w:tcPr>
            <w:tcW w:w="888" w:type="dxa"/>
            <w:shd w:val="clear" w:color="auto" w:fill="auto"/>
            <w:vAlign w:val="center"/>
          </w:tcPr>
          <w:p w14:paraId="443C63A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6BD6EF1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市就业服务管理局</w:t>
            </w:r>
          </w:p>
        </w:tc>
        <w:tc>
          <w:tcPr>
            <w:tcW w:w="1085" w:type="dxa"/>
            <w:shd w:val="clear" w:color="auto" w:fill="auto"/>
            <w:vAlign w:val="center"/>
          </w:tcPr>
          <w:p w14:paraId="78E4699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企业</w:t>
            </w:r>
          </w:p>
        </w:tc>
        <w:tc>
          <w:tcPr>
            <w:tcW w:w="705" w:type="dxa"/>
            <w:shd w:val="clear" w:color="auto" w:fill="auto"/>
            <w:vAlign w:val="center"/>
          </w:tcPr>
          <w:p w14:paraId="3F1CB64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免申即享</w:t>
            </w:r>
          </w:p>
        </w:tc>
        <w:tc>
          <w:tcPr>
            <w:tcW w:w="1171" w:type="dxa"/>
            <w:shd w:val="clear" w:color="auto" w:fill="auto"/>
            <w:vAlign w:val="center"/>
          </w:tcPr>
          <w:p w14:paraId="6299A8F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60个工作日</w:t>
            </w:r>
          </w:p>
        </w:tc>
        <w:tc>
          <w:tcPr>
            <w:tcW w:w="1095" w:type="dxa"/>
            <w:shd w:val="clear" w:color="auto" w:fill="auto"/>
            <w:vAlign w:val="center"/>
          </w:tcPr>
          <w:p w14:paraId="2D45231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2025年9月30日</w:t>
            </w:r>
          </w:p>
        </w:tc>
      </w:tr>
      <w:tr w14:paraId="26745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984" w:hRule="atLeast"/>
          <w:jc w:val="center"/>
        </w:trPr>
        <w:tc>
          <w:tcPr>
            <w:tcW w:w="500" w:type="dxa"/>
            <w:shd w:val="clear" w:color="auto" w:fill="auto"/>
            <w:vAlign w:val="center"/>
          </w:tcPr>
          <w:p w14:paraId="1305CE6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41</w:t>
            </w:r>
          </w:p>
        </w:tc>
        <w:tc>
          <w:tcPr>
            <w:tcW w:w="906" w:type="dxa"/>
            <w:shd w:val="clear" w:color="auto" w:fill="auto"/>
            <w:vAlign w:val="center"/>
          </w:tcPr>
          <w:p w14:paraId="34041D6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一次性扩岗补助</w:t>
            </w:r>
          </w:p>
        </w:tc>
        <w:tc>
          <w:tcPr>
            <w:tcW w:w="3227" w:type="dxa"/>
            <w:shd w:val="clear" w:color="auto" w:fill="auto"/>
            <w:vAlign w:val="center"/>
          </w:tcPr>
          <w:p w14:paraId="3ABECC2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对</w:t>
            </w:r>
            <w:r>
              <w:rPr>
                <w:rFonts w:hint="default" w:ascii="Times New Roman" w:hAnsi="Times New Roman" w:eastAsia="宋体" w:cs="Times New Roman"/>
                <w:b w:val="0"/>
                <w:bCs w:val="0"/>
                <w:i w:val="0"/>
                <w:color w:val="000000"/>
                <w:kern w:val="0"/>
                <w:sz w:val="20"/>
                <w:szCs w:val="20"/>
                <w:u w:val="none"/>
                <w:lang w:val="en-US" w:eastAsia="zh-CN" w:bidi="ar"/>
              </w:rPr>
              <w:t>招用毕业年度及离校两年内未就业普通高校毕业生、登记失业的16-24岁青年</w:t>
            </w:r>
            <w:r>
              <w:rPr>
                <w:rFonts w:hint="eastAsia" w:ascii="Times New Roman" w:hAnsi="Times New Roman" w:eastAsia="宋体" w:cs="Times New Roman"/>
                <w:b w:val="0"/>
                <w:bCs w:val="0"/>
                <w:i w:val="0"/>
                <w:color w:val="000000"/>
                <w:kern w:val="0"/>
                <w:sz w:val="20"/>
                <w:szCs w:val="20"/>
                <w:u w:val="none"/>
                <w:lang w:val="en-US" w:eastAsia="zh-CN" w:bidi="ar"/>
              </w:rPr>
              <w:t>，</w:t>
            </w:r>
            <w:r>
              <w:rPr>
                <w:rFonts w:hint="default" w:ascii="Times New Roman" w:hAnsi="Times New Roman" w:eastAsia="宋体" w:cs="Times New Roman"/>
                <w:b w:val="0"/>
                <w:bCs w:val="0"/>
                <w:i w:val="0"/>
                <w:color w:val="000000"/>
                <w:kern w:val="0"/>
                <w:sz w:val="20"/>
                <w:szCs w:val="20"/>
                <w:u w:val="none"/>
                <w:lang w:val="en-US" w:eastAsia="zh-CN" w:bidi="ar"/>
              </w:rPr>
              <w:t>签订劳动合同并为其缴纳失业、工伤、职工养老保险费3个月以上的企业</w:t>
            </w:r>
            <w:r>
              <w:rPr>
                <w:rFonts w:hint="eastAsia" w:ascii="Times New Roman" w:hAnsi="Times New Roman" w:eastAsia="宋体" w:cs="Times New Roman"/>
                <w:b w:val="0"/>
                <w:bCs w:val="0"/>
                <w:i w:val="0"/>
                <w:color w:val="000000"/>
                <w:kern w:val="0"/>
                <w:sz w:val="20"/>
                <w:szCs w:val="20"/>
                <w:u w:val="none"/>
                <w:lang w:val="en-US" w:eastAsia="zh-CN" w:bidi="ar"/>
              </w:rPr>
              <w:t>，</w:t>
            </w:r>
            <w:r>
              <w:rPr>
                <w:rFonts w:hint="default" w:ascii="Times New Roman" w:hAnsi="Times New Roman" w:eastAsia="宋体" w:cs="Times New Roman"/>
                <w:b w:val="0"/>
                <w:bCs w:val="0"/>
                <w:i w:val="0"/>
                <w:color w:val="000000"/>
                <w:kern w:val="0"/>
                <w:sz w:val="20"/>
                <w:szCs w:val="20"/>
                <w:u w:val="none"/>
                <w:lang w:val="en-US" w:eastAsia="zh-CN" w:bidi="ar"/>
              </w:rPr>
              <w:t>且经办机构审核时处于正常参保缴费状态</w:t>
            </w:r>
            <w:r>
              <w:rPr>
                <w:rFonts w:hint="eastAsia" w:ascii="Times New Roman" w:hAnsi="Times New Roman" w:eastAsia="宋体" w:cs="Times New Roman"/>
                <w:b w:val="0"/>
                <w:bCs w:val="0"/>
                <w:i w:val="0"/>
                <w:color w:val="000000"/>
                <w:kern w:val="0"/>
                <w:sz w:val="20"/>
                <w:szCs w:val="20"/>
                <w:u w:val="none"/>
                <w:lang w:val="en-US" w:eastAsia="zh-CN" w:bidi="ar"/>
              </w:rPr>
              <w:t>，</w:t>
            </w:r>
            <w:r>
              <w:rPr>
                <w:rFonts w:hint="default" w:ascii="Times New Roman" w:hAnsi="Times New Roman" w:eastAsia="宋体" w:cs="Times New Roman"/>
                <w:b w:val="0"/>
                <w:bCs w:val="0"/>
                <w:i w:val="0"/>
                <w:color w:val="000000"/>
                <w:kern w:val="0"/>
                <w:sz w:val="20"/>
                <w:szCs w:val="20"/>
                <w:u w:val="none"/>
                <w:lang w:val="en-US" w:eastAsia="zh-CN" w:bidi="ar"/>
              </w:rPr>
              <w:t>按每招用1人1500元的标准发放一次性扩岗补助。</w:t>
            </w:r>
          </w:p>
        </w:tc>
        <w:tc>
          <w:tcPr>
            <w:tcW w:w="2334" w:type="dxa"/>
            <w:shd w:val="clear" w:color="auto" w:fill="auto"/>
            <w:vAlign w:val="center"/>
          </w:tcPr>
          <w:p w14:paraId="4B72F91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《人力资源社会保障部 教育部 财政部关于做好高校毕业生等青年就业创业工作的通知》（人社部发〔2024〕44号）</w:t>
            </w:r>
          </w:p>
        </w:tc>
        <w:tc>
          <w:tcPr>
            <w:tcW w:w="770" w:type="dxa"/>
            <w:shd w:val="clear" w:color="auto" w:fill="auto"/>
            <w:vAlign w:val="center"/>
          </w:tcPr>
          <w:p w14:paraId="3647482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奖补类</w:t>
            </w:r>
          </w:p>
        </w:tc>
        <w:tc>
          <w:tcPr>
            <w:tcW w:w="770" w:type="dxa"/>
            <w:shd w:val="clear" w:color="auto" w:fill="auto"/>
            <w:vAlign w:val="center"/>
          </w:tcPr>
          <w:p w14:paraId="28C689B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中央</w:t>
            </w:r>
          </w:p>
        </w:tc>
        <w:tc>
          <w:tcPr>
            <w:tcW w:w="770" w:type="dxa"/>
            <w:shd w:val="clear" w:color="auto" w:fill="auto"/>
            <w:vAlign w:val="center"/>
          </w:tcPr>
          <w:p w14:paraId="5F53B21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 w:eastAsia="zh-CN"/>
              </w:rPr>
              <w:t>广安市</w:t>
            </w:r>
          </w:p>
        </w:tc>
        <w:tc>
          <w:tcPr>
            <w:tcW w:w="888" w:type="dxa"/>
            <w:shd w:val="clear" w:color="auto" w:fill="auto"/>
            <w:vAlign w:val="center"/>
          </w:tcPr>
          <w:p w14:paraId="45B0063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271D480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市就业服务管理局</w:t>
            </w:r>
          </w:p>
        </w:tc>
        <w:tc>
          <w:tcPr>
            <w:tcW w:w="1085" w:type="dxa"/>
            <w:shd w:val="clear" w:color="auto" w:fill="auto"/>
            <w:vAlign w:val="center"/>
          </w:tcPr>
          <w:p w14:paraId="7E2D31A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企业</w:t>
            </w:r>
          </w:p>
        </w:tc>
        <w:tc>
          <w:tcPr>
            <w:tcW w:w="705" w:type="dxa"/>
            <w:shd w:val="clear" w:color="auto" w:fill="auto"/>
            <w:vAlign w:val="center"/>
          </w:tcPr>
          <w:p w14:paraId="0ED665A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即申即享</w:t>
            </w:r>
          </w:p>
        </w:tc>
        <w:tc>
          <w:tcPr>
            <w:tcW w:w="1171" w:type="dxa"/>
            <w:shd w:val="clear" w:color="auto" w:fill="auto"/>
            <w:vAlign w:val="center"/>
          </w:tcPr>
          <w:p w14:paraId="0B551F9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30个工作日</w:t>
            </w:r>
          </w:p>
        </w:tc>
        <w:tc>
          <w:tcPr>
            <w:tcW w:w="1095" w:type="dxa"/>
            <w:shd w:val="clear" w:color="auto" w:fill="auto"/>
            <w:vAlign w:val="center"/>
          </w:tcPr>
          <w:p w14:paraId="16CA835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2025年12月31日</w:t>
            </w:r>
          </w:p>
        </w:tc>
      </w:tr>
      <w:tr w14:paraId="0B036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46" w:hRule="atLeast"/>
          <w:jc w:val="center"/>
        </w:trPr>
        <w:tc>
          <w:tcPr>
            <w:tcW w:w="500" w:type="dxa"/>
            <w:shd w:val="clear" w:color="auto" w:fill="auto"/>
            <w:vAlign w:val="center"/>
          </w:tcPr>
          <w:p w14:paraId="7846C2A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42</w:t>
            </w:r>
          </w:p>
        </w:tc>
        <w:tc>
          <w:tcPr>
            <w:tcW w:w="906" w:type="dxa"/>
            <w:shd w:val="clear" w:color="auto" w:fill="auto"/>
            <w:vAlign w:val="center"/>
          </w:tcPr>
          <w:p w14:paraId="566F347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社会保险补贴</w:t>
            </w:r>
          </w:p>
        </w:tc>
        <w:tc>
          <w:tcPr>
            <w:tcW w:w="3227" w:type="dxa"/>
            <w:shd w:val="clear" w:color="auto" w:fill="auto"/>
            <w:vAlign w:val="center"/>
          </w:tcPr>
          <w:p w14:paraId="1BDA4F9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1.对招用就业困难人员并缴纳社会保险费的单位，按其为就业困难人员实际缴纳的基本养老保险费、基本医疗保险费和失业保险费给予补贴。距离法定退休年龄不足5年的最长不超过5年，其余人员最长不超过3年。</w:t>
            </w:r>
          </w:p>
          <w:p w14:paraId="402678C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2.对招用毕业年度和离校2年内未就业高校毕业生，与之签订1年以上劳动合同并为其缴纳社会保险费的小微企业，按其为符合条件人员实际缴纳的基本养老保险费、基本医疗保险费和失业保险费给予补贴，补贴期限不超过1年。</w:t>
            </w:r>
          </w:p>
        </w:tc>
        <w:tc>
          <w:tcPr>
            <w:tcW w:w="2334" w:type="dxa"/>
            <w:shd w:val="clear" w:color="auto" w:fill="auto"/>
            <w:vAlign w:val="center"/>
          </w:tcPr>
          <w:p w14:paraId="29079CE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《中央和省级财政就业创业补助资金管理办法》（川财规〔2025〕2号）</w:t>
            </w:r>
          </w:p>
        </w:tc>
        <w:tc>
          <w:tcPr>
            <w:tcW w:w="770" w:type="dxa"/>
            <w:shd w:val="clear" w:color="auto" w:fill="auto"/>
            <w:vAlign w:val="center"/>
          </w:tcPr>
          <w:p w14:paraId="207720E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奖补类</w:t>
            </w:r>
          </w:p>
        </w:tc>
        <w:tc>
          <w:tcPr>
            <w:tcW w:w="770" w:type="dxa"/>
            <w:shd w:val="clear" w:color="auto" w:fill="auto"/>
            <w:vAlign w:val="center"/>
          </w:tcPr>
          <w:p w14:paraId="039E8CB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省级</w:t>
            </w:r>
          </w:p>
        </w:tc>
        <w:tc>
          <w:tcPr>
            <w:tcW w:w="770" w:type="dxa"/>
            <w:shd w:val="clear" w:color="auto" w:fill="auto"/>
            <w:vAlign w:val="center"/>
          </w:tcPr>
          <w:p w14:paraId="54EA6A2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 w:eastAsia="zh-CN"/>
              </w:rPr>
              <w:t>广安市</w:t>
            </w:r>
          </w:p>
        </w:tc>
        <w:tc>
          <w:tcPr>
            <w:tcW w:w="888" w:type="dxa"/>
            <w:shd w:val="clear" w:color="auto" w:fill="auto"/>
            <w:vAlign w:val="center"/>
          </w:tcPr>
          <w:p w14:paraId="6D9FE82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612E110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市就业服务管理局</w:t>
            </w:r>
          </w:p>
        </w:tc>
        <w:tc>
          <w:tcPr>
            <w:tcW w:w="1085" w:type="dxa"/>
            <w:shd w:val="clear" w:color="auto" w:fill="auto"/>
            <w:vAlign w:val="center"/>
          </w:tcPr>
          <w:p w14:paraId="760DE95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企业</w:t>
            </w:r>
          </w:p>
        </w:tc>
        <w:tc>
          <w:tcPr>
            <w:tcW w:w="705" w:type="dxa"/>
            <w:shd w:val="clear" w:color="auto" w:fill="auto"/>
            <w:vAlign w:val="center"/>
          </w:tcPr>
          <w:p w14:paraId="5D64763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即申即享</w:t>
            </w:r>
          </w:p>
        </w:tc>
        <w:tc>
          <w:tcPr>
            <w:tcW w:w="1171" w:type="dxa"/>
            <w:shd w:val="clear" w:color="auto" w:fill="auto"/>
            <w:vAlign w:val="center"/>
          </w:tcPr>
          <w:p w14:paraId="3A08BF0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Times New Roman" w:hAnsi="Times New Roman" w:eastAsia="宋体" w:cs="Times New Roman"/>
                <w:color w:val="auto"/>
                <w:sz w:val="20"/>
                <w:szCs w:val="20"/>
                <w:lang w:val="en-US" w:eastAsia="zh-CN"/>
              </w:rPr>
              <w:t>60个工作</w:t>
            </w:r>
            <w:r>
              <w:rPr>
                <w:rFonts w:hint="eastAsia" w:ascii="宋体" w:hAnsi="宋体" w:eastAsia="宋体" w:cs="宋体"/>
                <w:color w:val="auto"/>
                <w:sz w:val="20"/>
                <w:szCs w:val="20"/>
                <w:lang w:val="en-US" w:eastAsia="zh-CN"/>
              </w:rPr>
              <w:t>日</w:t>
            </w:r>
          </w:p>
        </w:tc>
        <w:tc>
          <w:tcPr>
            <w:tcW w:w="1095" w:type="dxa"/>
            <w:shd w:val="clear" w:color="auto" w:fill="auto"/>
            <w:vAlign w:val="center"/>
          </w:tcPr>
          <w:p w14:paraId="6E707B0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2028年4月30日</w:t>
            </w:r>
          </w:p>
        </w:tc>
      </w:tr>
      <w:tr w14:paraId="72A29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74" w:hRule="atLeast"/>
          <w:jc w:val="center"/>
        </w:trPr>
        <w:tc>
          <w:tcPr>
            <w:tcW w:w="500" w:type="dxa"/>
            <w:shd w:val="clear" w:color="auto" w:fill="auto"/>
            <w:vAlign w:val="center"/>
          </w:tcPr>
          <w:p w14:paraId="1FD7807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43</w:t>
            </w:r>
          </w:p>
        </w:tc>
        <w:tc>
          <w:tcPr>
            <w:tcW w:w="906" w:type="dxa"/>
            <w:shd w:val="clear" w:color="auto" w:fill="auto"/>
            <w:vAlign w:val="center"/>
          </w:tcPr>
          <w:p w14:paraId="3F219EE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岗位补贴</w:t>
            </w:r>
          </w:p>
        </w:tc>
        <w:tc>
          <w:tcPr>
            <w:tcW w:w="3227" w:type="dxa"/>
            <w:shd w:val="clear" w:color="auto" w:fill="auto"/>
            <w:vAlign w:val="center"/>
          </w:tcPr>
          <w:p w14:paraId="05009F2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对</w:t>
            </w:r>
            <w:r>
              <w:rPr>
                <w:rFonts w:hint="default" w:ascii="Times New Roman" w:hAnsi="Times New Roman" w:eastAsia="宋体" w:cs="Times New Roman"/>
                <w:b w:val="0"/>
                <w:bCs w:val="0"/>
                <w:i w:val="0"/>
                <w:color w:val="000000"/>
                <w:kern w:val="0"/>
                <w:sz w:val="20"/>
                <w:szCs w:val="20"/>
                <w:u w:val="none"/>
                <w:lang w:val="en-US" w:eastAsia="zh-CN" w:bidi="ar"/>
              </w:rPr>
              <w:t>招用就业困难人员、签订劳动合同并缴纳社会保险费的用人单位，给予</w:t>
            </w:r>
            <w:r>
              <w:rPr>
                <w:rFonts w:hint="eastAsia" w:ascii="Times New Roman" w:hAnsi="Times New Roman" w:eastAsia="宋体" w:cs="Times New Roman"/>
                <w:b w:val="0"/>
                <w:bCs w:val="0"/>
                <w:i w:val="0"/>
                <w:color w:val="000000"/>
                <w:kern w:val="0"/>
                <w:sz w:val="20"/>
                <w:szCs w:val="20"/>
                <w:u w:val="none"/>
                <w:lang w:val="en-US" w:eastAsia="zh-CN" w:bidi="ar"/>
              </w:rPr>
              <w:t>适当的</w:t>
            </w:r>
            <w:r>
              <w:rPr>
                <w:rFonts w:hint="default" w:ascii="Times New Roman" w:hAnsi="Times New Roman" w:eastAsia="宋体" w:cs="Times New Roman"/>
                <w:b w:val="0"/>
                <w:bCs w:val="0"/>
                <w:i w:val="0"/>
                <w:color w:val="000000"/>
                <w:kern w:val="0"/>
                <w:sz w:val="20"/>
                <w:szCs w:val="20"/>
                <w:u w:val="none"/>
                <w:lang w:val="en-US" w:eastAsia="zh-CN" w:bidi="ar"/>
              </w:rPr>
              <w:t>岗位补贴</w:t>
            </w:r>
            <w:r>
              <w:rPr>
                <w:rFonts w:hint="eastAsia" w:ascii="Times New Roman" w:hAnsi="Times New Roman" w:eastAsia="宋体" w:cs="Times New Roman"/>
                <w:b w:val="0"/>
                <w:bCs w:val="0"/>
                <w:i w:val="0"/>
                <w:color w:val="000000"/>
                <w:kern w:val="0"/>
                <w:sz w:val="20"/>
                <w:szCs w:val="20"/>
                <w:u w:val="none"/>
                <w:lang w:val="en-US" w:eastAsia="zh-CN" w:bidi="ar"/>
              </w:rPr>
              <w:t>，补贴标准不得高于当地最低工资标准。</w:t>
            </w:r>
          </w:p>
        </w:tc>
        <w:tc>
          <w:tcPr>
            <w:tcW w:w="2334" w:type="dxa"/>
            <w:shd w:val="clear" w:color="auto" w:fill="auto"/>
            <w:vAlign w:val="center"/>
          </w:tcPr>
          <w:p w14:paraId="7380241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《中央和省级财政就业创业补助资金管理办法》（川财规〔2025〕2号）</w:t>
            </w:r>
          </w:p>
        </w:tc>
        <w:tc>
          <w:tcPr>
            <w:tcW w:w="770" w:type="dxa"/>
            <w:shd w:val="clear" w:color="auto" w:fill="auto"/>
            <w:vAlign w:val="center"/>
          </w:tcPr>
          <w:p w14:paraId="61EAE4B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奖补类</w:t>
            </w:r>
          </w:p>
        </w:tc>
        <w:tc>
          <w:tcPr>
            <w:tcW w:w="770" w:type="dxa"/>
            <w:shd w:val="clear" w:color="auto" w:fill="auto"/>
            <w:vAlign w:val="center"/>
          </w:tcPr>
          <w:p w14:paraId="39D66A9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省级</w:t>
            </w:r>
          </w:p>
        </w:tc>
        <w:tc>
          <w:tcPr>
            <w:tcW w:w="770" w:type="dxa"/>
            <w:shd w:val="clear" w:color="auto" w:fill="auto"/>
            <w:vAlign w:val="center"/>
          </w:tcPr>
          <w:p w14:paraId="030ABBB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 w:eastAsia="zh-CN"/>
              </w:rPr>
              <w:t>广安市</w:t>
            </w:r>
          </w:p>
        </w:tc>
        <w:tc>
          <w:tcPr>
            <w:tcW w:w="888" w:type="dxa"/>
            <w:shd w:val="clear" w:color="auto" w:fill="auto"/>
            <w:vAlign w:val="center"/>
          </w:tcPr>
          <w:p w14:paraId="4A27DF5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21A7658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市就业服务管理局</w:t>
            </w:r>
          </w:p>
        </w:tc>
        <w:tc>
          <w:tcPr>
            <w:tcW w:w="1085" w:type="dxa"/>
            <w:shd w:val="clear" w:color="auto" w:fill="auto"/>
            <w:vAlign w:val="center"/>
          </w:tcPr>
          <w:p w14:paraId="3722B19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企业</w:t>
            </w:r>
          </w:p>
        </w:tc>
        <w:tc>
          <w:tcPr>
            <w:tcW w:w="705" w:type="dxa"/>
            <w:shd w:val="clear" w:color="auto" w:fill="auto"/>
            <w:vAlign w:val="center"/>
          </w:tcPr>
          <w:p w14:paraId="5E0AD60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即申即享</w:t>
            </w:r>
          </w:p>
        </w:tc>
        <w:tc>
          <w:tcPr>
            <w:tcW w:w="1171" w:type="dxa"/>
            <w:shd w:val="clear" w:color="auto" w:fill="auto"/>
            <w:vAlign w:val="center"/>
          </w:tcPr>
          <w:p w14:paraId="70575AF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60个工作日</w:t>
            </w:r>
          </w:p>
        </w:tc>
        <w:tc>
          <w:tcPr>
            <w:tcW w:w="1095" w:type="dxa"/>
            <w:shd w:val="clear" w:color="auto" w:fill="auto"/>
            <w:vAlign w:val="center"/>
          </w:tcPr>
          <w:p w14:paraId="3F6DDDD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2028年4月30日</w:t>
            </w:r>
          </w:p>
        </w:tc>
      </w:tr>
      <w:tr w14:paraId="568B6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 w:hRule="atLeast"/>
          <w:jc w:val="center"/>
        </w:trPr>
        <w:tc>
          <w:tcPr>
            <w:tcW w:w="500" w:type="dxa"/>
            <w:shd w:val="clear" w:color="auto" w:fill="auto"/>
            <w:vAlign w:val="center"/>
          </w:tcPr>
          <w:p w14:paraId="198BDF4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44</w:t>
            </w:r>
          </w:p>
        </w:tc>
        <w:tc>
          <w:tcPr>
            <w:tcW w:w="906" w:type="dxa"/>
            <w:shd w:val="clear" w:color="auto" w:fill="auto"/>
            <w:vAlign w:val="center"/>
          </w:tcPr>
          <w:p w14:paraId="49855D7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就业见习补贴</w:t>
            </w:r>
          </w:p>
        </w:tc>
        <w:tc>
          <w:tcPr>
            <w:tcW w:w="3227" w:type="dxa"/>
            <w:shd w:val="clear" w:color="auto" w:fill="auto"/>
            <w:vAlign w:val="center"/>
          </w:tcPr>
          <w:p w14:paraId="0B8E015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对</w:t>
            </w:r>
            <w:r>
              <w:rPr>
                <w:rFonts w:hint="default" w:ascii="Times New Roman" w:hAnsi="Times New Roman" w:eastAsia="宋体" w:cs="Times New Roman"/>
                <w:b w:val="0"/>
                <w:bCs w:val="0"/>
                <w:i w:val="0"/>
                <w:color w:val="000000"/>
                <w:kern w:val="0"/>
                <w:sz w:val="20"/>
                <w:szCs w:val="20"/>
                <w:u w:val="none"/>
                <w:lang w:val="en-US" w:eastAsia="zh-CN" w:bidi="ar"/>
              </w:rPr>
              <w:t>认定为就业见习基地的单位吸纳离校2年内未就业高校毕业生，以及16—24岁失业青年参加就业见习的，按照全市最低工资标准给予就业见习补贴。</w:t>
            </w:r>
          </w:p>
        </w:tc>
        <w:tc>
          <w:tcPr>
            <w:tcW w:w="2334" w:type="dxa"/>
            <w:shd w:val="clear" w:color="auto" w:fill="auto"/>
            <w:vAlign w:val="center"/>
          </w:tcPr>
          <w:p w14:paraId="3A3761D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《四川省人民政府办公厅关于进一步稳定和扩大就业若干政策措施》（川办发〔2024〕34号）</w:t>
            </w:r>
          </w:p>
        </w:tc>
        <w:tc>
          <w:tcPr>
            <w:tcW w:w="770" w:type="dxa"/>
            <w:shd w:val="clear" w:color="auto" w:fill="auto"/>
            <w:vAlign w:val="center"/>
          </w:tcPr>
          <w:p w14:paraId="0D3A7CB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奖补类</w:t>
            </w:r>
          </w:p>
        </w:tc>
        <w:tc>
          <w:tcPr>
            <w:tcW w:w="770" w:type="dxa"/>
            <w:shd w:val="clear" w:color="auto" w:fill="auto"/>
            <w:vAlign w:val="center"/>
          </w:tcPr>
          <w:p w14:paraId="6AE277C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省级</w:t>
            </w:r>
          </w:p>
        </w:tc>
        <w:tc>
          <w:tcPr>
            <w:tcW w:w="770" w:type="dxa"/>
            <w:shd w:val="clear" w:color="auto" w:fill="auto"/>
            <w:vAlign w:val="center"/>
          </w:tcPr>
          <w:p w14:paraId="79F6ECA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 w:eastAsia="zh-CN"/>
              </w:rPr>
              <w:t>广安市</w:t>
            </w:r>
          </w:p>
        </w:tc>
        <w:tc>
          <w:tcPr>
            <w:tcW w:w="888" w:type="dxa"/>
            <w:shd w:val="clear" w:color="auto" w:fill="auto"/>
            <w:vAlign w:val="center"/>
          </w:tcPr>
          <w:p w14:paraId="45D1277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2E2B654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市就业服务管理局</w:t>
            </w:r>
          </w:p>
        </w:tc>
        <w:tc>
          <w:tcPr>
            <w:tcW w:w="1085" w:type="dxa"/>
            <w:shd w:val="clear" w:color="auto" w:fill="auto"/>
            <w:vAlign w:val="center"/>
          </w:tcPr>
          <w:p w14:paraId="745591E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就业见习单位</w:t>
            </w:r>
          </w:p>
        </w:tc>
        <w:tc>
          <w:tcPr>
            <w:tcW w:w="705" w:type="dxa"/>
            <w:shd w:val="clear" w:color="auto" w:fill="auto"/>
            <w:vAlign w:val="center"/>
          </w:tcPr>
          <w:p w14:paraId="3646391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即申即享</w:t>
            </w:r>
          </w:p>
        </w:tc>
        <w:tc>
          <w:tcPr>
            <w:tcW w:w="1171" w:type="dxa"/>
            <w:shd w:val="clear" w:color="auto" w:fill="auto"/>
            <w:vAlign w:val="center"/>
          </w:tcPr>
          <w:p w14:paraId="1D419A3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15个工作日</w:t>
            </w:r>
          </w:p>
        </w:tc>
        <w:tc>
          <w:tcPr>
            <w:tcW w:w="1095" w:type="dxa"/>
            <w:shd w:val="clear" w:color="auto" w:fill="auto"/>
            <w:vAlign w:val="center"/>
          </w:tcPr>
          <w:p w14:paraId="6DABC0D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2025年12月31日</w:t>
            </w:r>
          </w:p>
        </w:tc>
      </w:tr>
      <w:tr w14:paraId="6BE1E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570" w:hRule="atLeast"/>
          <w:jc w:val="center"/>
        </w:trPr>
        <w:tc>
          <w:tcPr>
            <w:tcW w:w="500" w:type="dxa"/>
            <w:shd w:val="clear" w:color="auto" w:fill="auto"/>
            <w:vAlign w:val="center"/>
          </w:tcPr>
          <w:p w14:paraId="6EE8F0C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45</w:t>
            </w:r>
          </w:p>
        </w:tc>
        <w:tc>
          <w:tcPr>
            <w:tcW w:w="906" w:type="dxa"/>
            <w:shd w:val="clear" w:color="auto" w:fill="auto"/>
            <w:vAlign w:val="center"/>
          </w:tcPr>
          <w:p w14:paraId="1378B5F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失业保险稳岗返还</w:t>
            </w:r>
          </w:p>
        </w:tc>
        <w:tc>
          <w:tcPr>
            <w:tcW w:w="3227" w:type="dxa"/>
            <w:shd w:val="clear" w:color="auto" w:fill="auto"/>
            <w:vAlign w:val="center"/>
          </w:tcPr>
          <w:p w14:paraId="73581AA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1.上一年度失业保险足额缴费12个月，且无历史欠费，30人（含）以下的参保企业裁员率不高于参保职工总数20%的。2.上一年度企业裁员率达标，30人以上的参保单位裁员率不高于5.5%。3.参保单位不属于严重违法失信单位，列入出清名单的僵尸企业。可以申请失业保险稳岗返还。大型企业按不超过企业及其职工上年度实际缴纳失业保险费的30%返还，中小微企业按不超过60%返还。</w:t>
            </w:r>
          </w:p>
        </w:tc>
        <w:tc>
          <w:tcPr>
            <w:tcW w:w="2334" w:type="dxa"/>
            <w:shd w:val="clear" w:color="auto" w:fill="auto"/>
            <w:vAlign w:val="center"/>
          </w:tcPr>
          <w:p w14:paraId="42D5C7C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《人力资源社会保障部 财政部 税务总局关于延续实施失业保险稳岗惠民政策措施的通知》（人社部发〔2025〕18号）</w:t>
            </w:r>
          </w:p>
        </w:tc>
        <w:tc>
          <w:tcPr>
            <w:tcW w:w="770" w:type="dxa"/>
            <w:shd w:val="clear" w:color="auto" w:fill="auto"/>
            <w:vAlign w:val="center"/>
          </w:tcPr>
          <w:p w14:paraId="0D3D4B2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 w:eastAsia="zh-CN"/>
              </w:rPr>
              <w:t>奖补</w:t>
            </w:r>
            <w:r>
              <w:rPr>
                <w:rFonts w:hint="default" w:ascii="宋体" w:hAnsi="宋体" w:eastAsia="宋体" w:cs="宋体"/>
                <w:color w:val="auto"/>
                <w:sz w:val="20"/>
                <w:szCs w:val="20"/>
                <w:lang w:val="en-US" w:eastAsia="zh-CN"/>
              </w:rPr>
              <w:t>类</w:t>
            </w:r>
          </w:p>
        </w:tc>
        <w:tc>
          <w:tcPr>
            <w:tcW w:w="770" w:type="dxa"/>
            <w:shd w:val="clear" w:color="auto" w:fill="auto"/>
            <w:vAlign w:val="center"/>
          </w:tcPr>
          <w:p w14:paraId="5DA7331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中央</w:t>
            </w:r>
          </w:p>
        </w:tc>
        <w:tc>
          <w:tcPr>
            <w:tcW w:w="770" w:type="dxa"/>
            <w:shd w:val="clear" w:color="auto" w:fill="auto"/>
            <w:vAlign w:val="center"/>
          </w:tcPr>
          <w:p w14:paraId="72C0FDB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 w:eastAsia="zh-CN"/>
              </w:rPr>
              <w:t>广安市</w:t>
            </w:r>
          </w:p>
        </w:tc>
        <w:tc>
          <w:tcPr>
            <w:tcW w:w="888" w:type="dxa"/>
            <w:shd w:val="clear" w:color="auto" w:fill="auto"/>
            <w:vAlign w:val="center"/>
          </w:tcPr>
          <w:p w14:paraId="2B2C2BD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764FF28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市就业服务管理局</w:t>
            </w:r>
          </w:p>
        </w:tc>
        <w:tc>
          <w:tcPr>
            <w:tcW w:w="1085" w:type="dxa"/>
            <w:shd w:val="clear" w:color="auto" w:fill="auto"/>
            <w:vAlign w:val="center"/>
          </w:tcPr>
          <w:p w14:paraId="08409828">
            <w:pPr>
              <w:keepNext w:val="0"/>
              <w:keepLines w:val="0"/>
              <w:pageBreakBefore w:val="0"/>
              <w:widowControl w:val="0"/>
              <w:suppressLineNumbers w:val="0"/>
              <w:kinsoku/>
              <w:wordWrap/>
              <w:overflowPunct/>
              <w:topLinePunct w:val="0"/>
              <w:autoSpaceDE/>
              <w:autoSpaceDN w:val="0"/>
              <w:bidi w:val="0"/>
              <w:adjustRightInd/>
              <w:snapToGrid/>
              <w:spacing w:line="270" w:lineRule="exact"/>
              <w:ind w:left="0" w:leftChars="0" w:right="0" w:rightChars="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已完成稳岗返还免申信息确认的参保企业和社会团体、基金会、社会服务机构、律师事务所、会计师事务所、以单位形式参保的个体工商户</w:t>
            </w:r>
          </w:p>
        </w:tc>
        <w:tc>
          <w:tcPr>
            <w:tcW w:w="705" w:type="dxa"/>
            <w:shd w:val="clear" w:color="auto" w:fill="auto"/>
            <w:vAlign w:val="center"/>
          </w:tcPr>
          <w:p w14:paraId="60BF8EE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2733907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30个工作日</w:t>
            </w:r>
          </w:p>
        </w:tc>
        <w:tc>
          <w:tcPr>
            <w:tcW w:w="1095" w:type="dxa"/>
            <w:shd w:val="clear" w:color="auto" w:fill="auto"/>
            <w:vAlign w:val="center"/>
          </w:tcPr>
          <w:p w14:paraId="168F809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 xml:space="preserve">2025年12月31日 </w:t>
            </w:r>
          </w:p>
          <w:p w14:paraId="62282B7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sz w:val="20"/>
                <w:szCs w:val="20"/>
                <w:lang w:val="en-US" w:eastAsia="zh-CN"/>
              </w:rPr>
            </w:pPr>
          </w:p>
        </w:tc>
      </w:tr>
      <w:tr w14:paraId="0210D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34" w:hRule="atLeast"/>
          <w:jc w:val="center"/>
        </w:trPr>
        <w:tc>
          <w:tcPr>
            <w:tcW w:w="500" w:type="dxa"/>
            <w:shd w:val="clear" w:color="auto" w:fill="auto"/>
            <w:vAlign w:val="center"/>
          </w:tcPr>
          <w:p w14:paraId="2CC9CF1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46</w:t>
            </w:r>
          </w:p>
        </w:tc>
        <w:tc>
          <w:tcPr>
            <w:tcW w:w="906" w:type="dxa"/>
            <w:shd w:val="clear" w:color="auto" w:fill="auto"/>
            <w:vAlign w:val="center"/>
          </w:tcPr>
          <w:p w14:paraId="67D701B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鼓励引导企业吸纳就业补贴</w:t>
            </w:r>
          </w:p>
        </w:tc>
        <w:tc>
          <w:tcPr>
            <w:tcW w:w="3227" w:type="dxa"/>
            <w:shd w:val="clear" w:color="auto" w:fill="auto"/>
            <w:vAlign w:val="center"/>
          </w:tcPr>
          <w:p w14:paraId="60C1AB1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spacing w:val="-6"/>
                <w:kern w:val="0"/>
                <w:sz w:val="20"/>
                <w:szCs w:val="20"/>
                <w:u w:val="none"/>
                <w:lang w:val="en-US" w:eastAsia="zh-CN" w:bidi="ar"/>
              </w:rPr>
              <w:t>经营性人力资源服务机构和劳务经纪人成功介绍我市城乡户籍领取失业金人员、就业困难人员、登记失业半年以上人员到用人单位就业并按规定缴纳3个月及以上社会保险费的，按每人200元给予补贴。</w:t>
            </w:r>
            <w:r>
              <w:rPr>
                <w:rFonts w:hint="eastAsia" w:ascii="Times New Roman" w:hAnsi="Times New Roman" w:eastAsia="宋体" w:cs="Times New Roman"/>
                <w:b w:val="0"/>
                <w:bCs w:val="0"/>
                <w:i w:val="0"/>
                <w:color w:val="000000"/>
                <w:spacing w:val="-6"/>
                <w:kern w:val="0"/>
                <w:sz w:val="20"/>
                <w:szCs w:val="20"/>
                <w:u w:val="none"/>
                <w:lang w:val="en-US" w:eastAsia="zh-CN" w:bidi="ar"/>
              </w:rPr>
              <w:t>每人只享受一次，以劳务派遣方式就业不享受。</w:t>
            </w:r>
          </w:p>
        </w:tc>
        <w:tc>
          <w:tcPr>
            <w:tcW w:w="2334" w:type="dxa"/>
            <w:shd w:val="clear" w:color="auto" w:fill="auto"/>
            <w:vAlign w:val="center"/>
          </w:tcPr>
          <w:p w14:paraId="0E8DE17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《广安市人民政府办公室关于印发〈广安市关于进一步推动经济运行回升向好的若干政策措施〉的通知》（广安府办规〔2025〕3号 ）</w:t>
            </w:r>
          </w:p>
        </w:tc>
        <w:tc>
          <w:tcPr>
            <w:tcW w:w="770" w:type="dxa"/>
            <w:shd w:val="clear" w:color="auto" w:fill="auto"/>
            <w:vAlign w:val="center"/>
          </w:tcPr>
          <w:p w14:paraId="38A6626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奖补类</w:t>
            </w:r>
          </w:p>
        </w:tc>
        <w:tc>
          <w:tcPr>
            <w:tcW w:w="770" w:type="dxa"/>
            <w:shd w:val="clear" w:color="auto" w:fill="auto"/>
            <w:vAlign w:val="center"/>
          </w:tcPr>
          <w:p w14:paraId="0224151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市级</w:t>
            </w:r>
          </w:p>
        </w:tc>
        <w:tc>
          <w:tcPr>
            <w:tcW w:w="770" w:type="dxa"/>
            <w:shd w:val="clear" w:color="auto" w:fill="auto"/>
            <w:vAlign w:val="center"/>
          </w:tcPr>
          <w:p w14:paraId="1E71A8F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 w:eastAsia="zh-CN"/>
              </w:rPr>
              <w:t>广安市</w:t>
            </w:r>
          </w:p>
        </w:tc>
        <w:tc>
          <w:tcPr>
            <w:tcW w:w="888" w:type="dxa"/>
            <w:shd w:val="clear" w:color="auto" w:fill="auto"/>
            <w:vAlign w:val="center"/>
          </w:tcPr>
          <w:p w14:paraId="7A47FE7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61C25FD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市就业服务管理局</w:t>
            </w:r>
          </w:p>
        </w:tc>
        <w:tc>
          <w:tcPr>
            <w:tcW w:w="1085" w:type="dxa"/>
            <w:shd w:val="clear" w:color="auto" w:fill="auto"/>
            <w:vAlign w:val="center"/>
          </w:tcPr>
          <w:p w14:paraId="754E2F2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经营性人力资源服务机构和劳务经纪人</w:t>
            </w:r>
          </w:p>
        </w:tc>
        <w:tc>
          <w:tcPr>
            <w:tcW w:w="705" w:type="dxa"/>
            <w:shd w:val="clear" w:color="auto" w:fill="auto"/>
            <w:vAlign w:val="center"/>
          </w:tcPr>
          <w:p w14:paraId="0AB4307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即申即享</w:t>
            </w:r>
          </w:p>
        </w:tc>
        <w:tc>
          <w:tcPr>
            <w:tcW w:w="1171" w:type="dxa"/>
            <w:shd w:val="clear" w:color="auto" w:fill="auto"/>
            <w:vAlign w:val="center"/>
          </w:tcPr>
          <w:p w14:paraId="63603CE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Times New Roman" w:hAnsi="Times New Roman" w:eastAsia="宋体" w:cs="Times New Roman"/>
                <w:color w:val="auto"/>
                <w:sz w:val="20"/>
                <w:szCs w:val="20"/>
                <w:lang w:val="en-US" w:eastAsia="zh-CN"/>
              </w:rPr>
              <w:t>60</w:t>
            </w:r>
            <w:r>
              <w:rPr>
                <w:rFonts w:hint="eastAsia" w:ascii="宋体" w:hAnsi="宋体" w:eastAsia="宋体" w:cs="宋体"/>
                <w:color w:val="auto"/>
                <w:sz w:val="20"/>
                <w:szCs w:val="20"/>
                <w:lang w:val="en-US" w:eastAsia="zh-CN"/>
              </w:rPr>
              <w:t>个工作日</w:t>
            </w:r>
          </w:p>
        </w:tc>
        <w:tc>
          <w:tcPr>
            <w:tcW w:w="1095" w:type="dxa"/>
            <w:shd w:val="clear" w:color="auto" w:fill="auto"/>
            <w:vAlign w:val="center"/>
          </w:tcPr>
          <w:p w14:paraId="39A59E2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2025年12月31日</w:t>
            </w:r>
          </w:p>
        </w:tc>
      </w:tr>
      <w:tr w14:paraId="23348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641" w:hRule="atLeast"/>
          <w:jc w:val="center"/>
        </w:trPr>
        <w:tc>
          <w:tcPr>
            <w:tcW w:w="500" w:type="dxa"/>
            <w:shd w:val="clear" w:color="auto" w:fill="auto"/>
            <w:vAlign w:val="center"/>
          </w:tcPr>
          <w:p w14:paraId="0F7D0B6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47</w:t>
            </w:r>
          </w:p>
        </w:tc>
        <w:tc>
          <w:tcPr>
            <w:tcW w:w="906" w:type="dxa"/>
            <w:shd w:val="clear" w:color="auto" w:fill="auto"/>
            <w:vAlign w:val="center"/>
          </w:tcPr>
          <w:p w14:paraId="0A5BFB8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职业培训补贴</w:t>
            </w:r>
          </w:p>
        </w:tc>
        <w:tc>
          <w:tcPr>
            <w:tcW w:w="3227" w:type="dxa"/>
            <w:shd w:val="clear" w:color="auto" w:fill="auto"/>
            <w:vAlign w:val="center"/>
          </w:tcPr>
          <w:p w14:paraId="7FBC858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防止返贫监测对象、毕业年度高校毕业生（含技工院校高级工班、预备技师班、技师班和特殊教育院校职业教育类毕业生）、城乡未继续升学的应届初高中毕业生、农村转移就业劳动者、城镇登记失业人员、就业困难人员等（统称六类人员）；企业新录用六类人员岗位技能培训和参加新型学徒制培训、技师培训等符合条件的企业职工，参加培训并考核合格后给予一定标准的培训补贴</w:t>
            </w:r>
          </w:p>
        </w:tc>
        <w:tc>
          <w:tcPr>
            <w:tcW w:w="2334" w:type="dxa"/>
            <w:shd w:val="clear" w:color="auto" w:fill="auto"/>
            <w:vAlign w:val="center"/>
          </w:tcPr>
          <w:p w14:paraId="76918CD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《中央和省级财政就业创业补助资金管理办法》（川财规〔2025〕2号）《广安市人力资源和社会保障局 广安市财政局关于调整广安市职业技能培训补贴指导标准目录的通知》（广安人社发〔2023〕22号）</w:t>
            </w:r>
          </w:p>
        </w:tc>
        <w:tc>
          <w:tcPr>
            <w:tcW w:w="770" w:type="dxa"/>
            <w:shd w:val="clear" w:color="auto" w:fill="auto"/>
            <w:vAlign w:val="center"/>
          </w:tcPr>
          <w:p w14:paraId="3D9764A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奖补类</w:t>
            </w:r>
          </w:p>
        </w:tc>
        <w:tc>
          <w:tcPr>
            <w:tcW w:w="770" w:type="dxa"/>
            <w:shd w:val="clear" w:color="auto" w:fill="auto"/>
            <w:vAlign w:val="center"/>
          </w:tcPr>
          <w:p w14:paraId="798659E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省级</w:t>
            </w:r>
          </w:p>
        </w:tc>
        <w:tc>
          <w:tcPr>
            <w:tcW w:w="770" w:type="dxa"/>
            <w:shd w:val="clear" w:color="auto" w:fill="auto"/>
            <w:vAlign w:val="center"/>
          </w:tcPr>
          <w:p w14:paraId="2708AC9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 w:eastAsia="zh-CN"/>
              </w:rPr>
              <w:t>广安市</w:t>
            </w:r>
          </w:p>
        </w:tc>
        <w:tc>
          <w:tcPr>
            <w:tcW w:w="888" w:type="dxa"/>
            <w:shd w:val="clear" w:color="auto" w:fill="auto"/>
            <w:vAlign w:val="center"/>
          </w:tcPr>
          <w:p w14:paraId="0366025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5B79286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市就业服务管理局</w:t>
            </w:r>
          </w:p>
        </w:tc>
        <w:tc>
          <w:tcPr>
            <w:tcW w:w="1085" w:type="dxa"/>
            <w:shd w:val="clear" w:color="auto" w:fill="auto"/>
            <w:vAlign w:val="center"/>
          </w:tcPr>
          <w:p w14:paraId="5A11CC4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六类人员及符合条件的企业职工</w:t>
            </w:r>
          </w:p>
        </w:tc>
        <w:tc>
          <w:tcPr>
            <w:tcW w:w="705" w:type="dxa"/>
            <w:shd w:val="clear" w:color="auto" w:fill="auto"/>
            <w:vAlign w:val="center"/>
          </w:tcPr>
          <w:p w14:paraId="5943453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即申即享</w:t>
            </w:r>
          </w:p>
        </w:tc>
        <w:tc>
          <w:tcPr>
            <w:tcW w:w="1171" w:type="dxa"/>
            <w:shd w:val="clear" w:color="auto" w:fill="auto"/>
            <w:vAlign w:val="center"/>
          </w:tcPr>
          <w:p w14:paraId="363101A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按程序执行日</w:t>
            </w:r>
          </w:p>
        </w:tc>
        <w:tc>
          <w:tcPr>
            <w:tcW w:w="1095" w:type="dxa"/>
            <w:shd w:val="clear" w:color="auto" w:fill="auto"/>
            <w:vAlign w:val="center"/>
          </w:tcPr>
          <w:p w14:paraId="1105EE3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2028年4月30日</w:t>
            </w:r>
          </w:p>
        </w:tc>
      </w:tr>
      <w:tr w14:paraId="193F8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94" w:hRule="atLeast"/>
          <w:jc w:val="center"/>
        </w:trPr>
        <w:tc>
          <w:tcPr>
            <w:tcW w:w="500" w:type="dxa"/>
            <w:shd w:val="clear" w:color="auto" w:fill="auto"/>
            <w:vAlign w:val="center"/>
          </w:tcPr>
          <w:p w14:paraId="32D8F81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48</w:t>
            </w:r>
          </w:p>
        </w:tc>
        <w:tc>
          <w:tcPr>
            <w:tcW w:w="906" w:type="dxa"/>
            <w:shd w:val="clear" w:color="auto" w:fill="auto"/>
            <w:vAlign w:val="center"/>
          </w:tcPr>
          <w:p w14:paraId="589276A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降低工伤保险费率</w:t>
            </w:r>
          </w:p>
        </w:tc>
        <w:tc>
          <w:tcPr>
            <w:tcW w:w="3227" w:type="dxa"/>
            <w:shd w:val="clear" w:color="auto" w:fill="auto"/>
            <w:vAlign w:val="center"/>
          </w:tcPr>
          <w:p w14:paraId="634C24E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社会保险经办机构根据用人单位上年度工伤保险支缴率和其他条件，对广安市行政区域内依法参加工伤保险的用人单位（用工单位）工伤保险费率进行浮动。</w:t>
            </w:r>
          </w:p>
          <w:p w14:paraId="70DDA24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p>
        </w:tc>
        <w:tc>
          <w:tcPr>
            <w:tcW w:w="2334" w:type="dxa"/>
            <w:shd w:val="clear" w:color="auto" w:fill="auto"/>
            <w:vAlign w:val="center"/>
          </w:tcPr>
          <w:p w14:paraId="68BD9B8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《四川省人力资源社会保障厅等</w:t>
            </w:r>
            <w:r>
              <w:rPr>
                <w:rFonts w:hint="default" w:ascii="Times New Roman" w:hAnsi="Times New Roman" w:eastAsia="宋体" w:cs="Times New Roman"/>
                <w:b w:val="0"/>
                <w:bCs w:val="0"/>
                <w:i w:val="0"/>
                <w:color w:val="000000"/>
                <w:kern w:val="0"/>
                <w:sz w:val="20"/>
                <w:szCs w:val="20"/>
                <w:u w:val="none"/>
                <w:lang w:val="en-US" w:eastAsia="zh-CN" w:bidi="ar"/>
              </w:rPr>
              <w:t>5</w:t>
            </w:r>
            <w:r>
              <w:rPr>
                <w:rFonts w:hint="eastAsia" w:ascii="Times New Roman" w:hAnsi="Times New Roman" w:eastAsia="宋体" w:cs="Times New Roman"/>
                <w:b w:val="0"/>
                <w:bCs w:val="0"/>
                <w:i w:val="0"/>
                <w:color w:val="000000"/>
                <w:kern w:val="0"/>
                <w:sz w:val="20"/>
                <w:szCs w:val="20"/>
                <w:u w:val="none"/>
                <w:lang w:val="en-US" w:eastAsia="zh-CN" w:bidi="ar"/>
              </w:rPr>
              <w:t>部门关于印发&lt;四川省工伤保险费率管理办法&gt;的通知》（川人社〔</w:t>
            </w:r>
            <w:r>
              <w:rPr>
                <w:rFonts w:hint="default" w:ascii="Times New Roman" w:hAnsi="Times New Roman" w:eastAsia="宋体" w:cs="Times New Roman"/>
                <w:b w:val="0"/>
                <w:bCs w:val="0"/>
                <w:i w:val="0"/>
                <w:color w:val="000000"/>
                <w:kern w:val="0"/>
                <w:sz w:val="20"/>
                <w:szCs w:val="20"/>
                <w:u w:val="none"/>
                <w:lang w:val="en-US" w:eastAsia="zh-CN" w:bidi="ar"/>
              </w:rPr>
              <w:t>2023</w:t>
            </w:r>
            <w:r>
              <w:rPr>
                <w:rFonts w:hint="eastAsia" w:ascii="Times New Roman" w:hAnsi="Times New Roman" w:eastAsia="宋体" w:cs="Times New Roman"/>
                <w:b w:val="0"/>
                <w:bCs w:val="0"/>
                <w:i w:val="0"/>
                <w:color w:val="000000"/>
                <w:kern w:val="0"/>
                <w:sz w:val="20"/>
                <w:szCs w:val="20"/>
                <w:u w:val="none"/>
                <w:lang w:val="en-US" w:eastAsia="zh-CN" w:bidi="ar"/>
              </w:rPr>
              <w:t>〕</w:t>
            </w:r>
            <w:r>
              <w:rPr>
                <w:rFonts w:hint="default" w:ascii="Times New Roman" w:hAnsi="Times New Roman" w:eastAsia="宋体" w:cs="Times New Roman"/>
                <w:b w:val="0"/>
                <w:bCs w:val="0"/>
                <w:i w:val="0"/>
                <w:color w:val="000000"/>
                <w:kern w:val="0"/>
                <w:sz w:val="20"/>
                <w:szCs w:val="20"/>
                <w:u w:val="none"/>
                <w:lang w:val="en-US" w:eastAsia="zh-CN" w:bidi="ar"/>
              </w:rPr>
              <w:t>10</w:t>
            </w:r>
            <w:r>
              <w:rPr>
                <w:rFonts w:hint="eastAsia" w:ascii="Times New Roman" w:hAnsi="Times New Roman" w:eastAsia="宋体" w:cs="Times New Roman"/>
                <w:b w:val="0"/>
                <w:bCs w:val="0"/>
                <w:i w:val="0"/>
                <w:color w:val="000000"/>
                <w:kern w:val="0"/>
                <w:sz w:val="20"/>
                <w:szCs w:val="20"/>
                <w:u w:val="none"/>
                <w:lang w:val="en-US" w:eastAsia="zh-CN" w:bidi="ar"/>
              </w:rPr>
              <w:t>号）</w:t>
            </w:r>
          </w:p>
        </w:tc>
        <w:tc>
          <w:tcPr>
            <w:tcW w:w="770" w:type="dxa"/>
            <w:shd w:val="clear" w:color="auto" w:fill="auto"/>
            <w:vAlign w:val="center"/>
          </w:tcPr>
          <w:p w14:paraId="757E90C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6DC26FC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省级</w:t>
            </w:r>
          </w:p>
        </w:tc>
        <w:tc>
          <w:tcPr>
            <w:tcW w:w="770" w:type="dxa"/>
            <w:shd w:val="clear" w:color="auto" w:fill="auto"/>
            <w:vAlign w:val="center"/>
          </w:tcPr>
          <w:p w14:paraId="0F52A56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市级</w:t>
            </w:r>
          </w:p>
        </w:tc>
        <w:tc>
          <w:tcPr>
            <w:tcW w:w="888" w:type="dxa"/>
            <w:shd w:val="clear" w:color="auto" w:fill="auto"/>
            <w:vAlign w:val="center"/>
          </w:tcPr>
          <w:p w14:paraId="1B57999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w:t>
            </w:r>
            <w:r>
              <w:rPr>
                <w:rFonts w:hint="default" w:ascii="宋体" w:hAnsi="宋体" w:eastAsia="宋体" w:cs="宋体"/>
                <w:color w:val="auto"/>
                <w:sz w:val="20"/>
                <w:szCs w:val="20"/>
                <w:lang w:val="en-US" w:eastAsia="zh-CN"/>
              </w:rPr>
              <w:t>政务服务中心惠企政策服务专窗</w:t>
            </w:r>
          </w:p>
        </w:tc>
        <w:tc>
          <w:tcPr>
            <w:tcW w:w="942" w:type="dxa"/>
            <w:shd w:val="clear" w:color="auto" w:fill="auto"/>
            <w:vAlign w:val="center"/>
          </w:tcPr>
          <w:p w14:paraId="321A41C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市社会保险局</w:t>
            </w:r>
          </w:p>
        </w:tc>
        <w:tc>
          <w:tcPr>
            <w:tcW w:w="1085" w:type="dxa"/>
            <w:shd w:val="clear" w:color="auto" w:fill="auto"/>
            <w:vAlign w:val="center"/>
          </w:tcPr>
          <w:p w14:paraId="79AAAD2A">
            <w:pPr>
              <w:keepNext w:val="0"/>
              <w:keepLines w:val="0"/>
              <w:pageBreakBefore w:val="0"/>
              <w:widowControl w:val="0"/>
              <w:suppressLineNumbers w:val="0"/>
              <w:kinsoku/>
              <w:wordWrap/>
              <w:overflowPunct/>
              <w:topLinePunct w:val="0"/>
              <w:autoSpaceDE/>
              <w:autoSpaceDN w:val="0"/>
              <w:bidi w:val="0"/>
              <w:adjustRightInd/>
              <w:snapToGrid/>
              <w:spacing w:line="270" w:lineRule="exact"/>
              <w:ind w:left="0" w:leftChars="0" w:right="0" w:rightChars="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符合条件且在广安市行政区域内依法参加工伤保险的用人单位（用工单位）</w:t>
            </w:r>
          </w:p>
        </w:tc>
        <w:tc>
          <w:tcPr>
            <w:tcW w:w="705" w:type="dxa"/>
            <w:shd w:val="clear" w:color="auto" w:fill="auto"/>
            <w:vAlign w:val="center"/>
          </w:tcPr>
          <w:p w14:paraId="7C62EA0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快申快享</w:t>
            </w:r>
          </w:p>
        </w:tc>
        <w:tc>
          <w:tcPr>
            <w:tcW w:w="1171" w:type="dxa"/>
            <w:shd w:val="clear" w:color="auto" w:fill="auto"/>
            <w:vAlign w:val="center"/>
          </w:tcPr>
          <w:p w14:paraId="7370C87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Times New Roman" w:hAnsi="Times New Roman" w:eastAsia="宋体" w:cs="Times New Roman"/>
                <w:color w:val="auto"/>
                <w:sz w:val="20"/>
                <w:szCs w:val="20"/>
                <w:lang w:val="en-US" w:eastAsia="zh-CN"/>
              </w:rPr>
              <w:t>60个工作</w:t>
            </w:r>
            <w:r>
              <w:rPr>
                <w:rFonts w:hint="eastAsia" w:ascii="宋体" w:hAnsi="宋体" w:eastAsia="宋体" w:cs="宋体"/>
                <w:color w:val="auto"/>
                <w:sz w:val="20"/>
                <w:szCs w:val="20"/>
                <w:lang w:val="en-US" w:eastAsia="zh-CN"/>
              </w:rPr>
              <w:t>日</w:t>
            </w:r>
          </w:p>
        </w:tc>
        <w:tc>
          <w:tcPr>
            <w:tcW w:w="1095" w:type="dxa"/>
            <w:shd w:val="clear" w:color="auto" w:fill="auto"/>
            <w:vAlign w:val="center"/>
          </w:tcPr>
          <w:p w14:paraId="7831EF3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2028</w:t>
            </w:r>
            <w:r>
              <w:rPr>
                <w:rFonts w:hint="eastAsia" w:ascii="Times New Roman" w:hAnsi="Times New Roman" w:eastAsia="宋体" w:cs="Times New Roman"/>
                <w:color w:val="auto"/>
                <w:sz w:val="20"/>
                <w:szCs w:val="20"/>
                <w:lang w:val="en-US" w:eastAsia="zh-CN"/>
              </w:rPr>
              <w:t>年</w:t>
            </w:r>
            <w:r>
              <w:rPr>
                <w:rFonts w:hint="default" w:ascii="Times New Roman" w:hAnsi="Times New Roman" w:eastAsia="宋体" w:cs="Times New Roman"/>
                <w:color w:val="auto"/>
                <w:sz w:val="20"/>
                <w:szCs w:val="20"/>
                <w:lang w:val="en-US" w:eastAsia="zh-CN"/>
              </w:rPr>
              <w:t>9</w:t>
            </w:r>
            <w:r>
              <w:rPr>
                <w:rFonts w:hint="eastAsia" w:ascii="Times New Roman" w:hAnsi="Times New Roman" w:eastAsia="宋体" w:cs="Times New Roman"/>
                <w:color w:val="auto"/>
                <w:sz w:val="20"/>
                <w:szCs w:val="20"/>
                <w:lang w:val="en-US" w:eastAsia="zh-CN"/>
              </w:rPr>
              <w:t>月</w:t>
            </w:r>
            <w:r>
              <w:rPr>
                <w:rFonts w:hint="default" w:ascii="Times New Roman" w:hAnsi="Times New Roman" w:eastAsia="宋体" w:cs="Times New Roman"/>
                <w:color w:val="auto"/>
                <w:sz w:val="20"/>
                <w:szCs w:val="20"/>
                <w:lang w:val="en-US" w:eastAsia="zh-CN"/>
              </w:rPr>
              <w:t>30</w:t>
            </w:r>
            <w:r>
              <w:rPr>
                <w:rFonts w:hint="eastAsia" w:ascii="Times New Roman" w:hAnsi="Times New Roman" w:eastAsia="宋体" w:cs="Times New Roman"/>
                <w:color w:val="auto"/>
                <w:sz w:val="20"/>
                <w:szCs w:val="20"/>
                <w:lang w:val="en-US" w:eastAsia="zh-CN"/>
              </w:rPr>
              <w:t>日截止（</w:t>
            </w:r>
            <w:r>
              <w:rPr>
                <w:rFonts w:hint="default" w:ascii="Times New Roman" w:hAnsi="Times New Roman" w:eastAsia="宋体" w:cs="Times New Roman"/>
                <w:color w:val="auto"/>
                <w:sz w:val="20"/>
                <w:szCs w:val="20"/>
                <w:lang w:val="en-US" w:eastAsia="zh-CN"/>
              </w:rPr>
              <w:t>申报期为</w:t>
            </w:r>
            <w:r>
              <w:rPr>
                <w:rFonts w:hint="eastAsia" w:ascii="Times New Roman" w:hAnsi="Times New Roman" w:eastAsia="宋体" w:cs="Times New Roman"/>
                <w:color w:val="auto"/>
                <w:sz w:val="20"/>
                <w:szCs w:val="20"/>
                <w:lang w:val="en-US" w:eastAsia="zh-CN"/>
              </w:rPr>
              <w:t>每年</w:t>
            </w:r>
            <w:r>
              <w:rPr>
                <w:rFonts w:hint="default" w:ascii="Times New Roman" w:hAnsi="Times New Roman" w:eastAsia="宋体" w:cs="Times New Roman"/>
                <w:color w:val="auto"/>
                <w:sz w:val="20"/>
                <w:szCs w:val="20"/>
                <w:lang w:val="en-US" w:eastAsia="zh-CN"/>
              </w:rPr>
              <w:t>1</w:t>
            </w:r>
            <w:r>
              <w:rPr>
                <w:rFonts w:hint="eastAsia" w:ascii="Times New Roman" w:hAnsi="Times New Roman" w:eastAsia="宋体" w:cs="Times New Roman"/>
                <w:color w:val="auto"/>
                <w:sz w:val="20"/>
                <w:szCs w:val="20"/>
                <w:lang w:val="en-US" w:eastAsia="zh-CN"/>
              </w:rPr>
              <w:t>月</w:t>
            </w:r>
            <w:r>
              <w:rPr>
                <w:rFonts w:hint="default" w:ascii="Times New Roman" w:hAnsi="Times New Roman" w:eastAsia="宋体" w:cs="Times New Roman"/>
                <w:color w:val="auto"/>
                <w:sz w:val="20"/>
                <w:szCs w:val="20"/>
                <w:lang w:val="en-US" w:eastAsia="zh-CN"/>
              </w:rPr>
              <w:t xml:space="preserve">1 </w:t>
            </w:r>
            <w:r>
              <w:rPr>
                <w:rFonts w:hint="eastAsia" w:ascii="Times New Roman" w:hAnsi="Times New Roman" w:eastAsia="宋体" w:cs="Times New Roman"/>
                <w:color w:val="auto"/>
                <w:sz w:val="20"/>
                <w:szCs w:val="20"/>
                <w:lang w:val="en-US" w:eastAsia="zh-CN"/>
              </w:rPr>
              <w:t>日至</w:t>
            </w:r>
            <w:r>
              <w:rPr>
                <w:rFonts w:hint="default" w:ascii="Times New Roman" w:hAnsi="Times New Roman" w:eastAsia="宋体" w:cs="Times New Roman"/>
                <w:color w:val="auto"/>
                <w:sz w:val="20"/>
                <w:szCs w:val="20"/>
                <w:lang w:val="en-US" w:eastAsia="zh-CN"/>
              </w:rPr>
              <w:t>3</w:t>
            </w:r>
            <w:r>
              <w:rPr>
                <w:rFonts w:hint="eastAsia" w:ascii="Times New Roman" w:hAnsi="Times New Roman" w:eastAsia="宋体" w:cs="Times New Roman"/>
                <w:color w:val="auto"/>
                <w:sz w:val="20"/>
                <w:szCs w:val="20"/>
                <w:lang w:val="en-US" w:eastAsia="zh-CN"/>
              </w:rPr>
              <w:t>月</w:t>
            </w:r>
            <w:r>
              <w:rPr>
                <w:rFonts w:hint="default" w:ascii="Times New Roman" w:hAnsi="Times New Roman" w:eastAsia="宋体" w:cs="Times New Roman"/>
                <w:color w:val="auto"/>
                <w:sz w:val="20"/>
                <w:szCs w:val="20"/>
                <w:lang w:val="en-US" w:eastAsia="zh-CN"/>
              </w:rPr>
              <w:t xml:space="preserve">31 </w:t>
            </w:r>
            <w:r>
              <w:rPr>
                <w:rFonts w:hint="eastAsia" w:ascii="Times New Roman" w:hAnsi="Times New Roman" w:eastAsia="宋体" w:cs="Times New Roman"/>
                <w:color w:val="auto"/>
                <w:sz w:val="20"/>
                <w:szCs w:val="20"/>
                <w:lang w:val="en-US" w:eastAsia="zh-CN"/>
              </w:rPr>
              <w:t>日）</w:t>
            </w:r>
          </w:p>
        </w:tc>
      </w:tr>
      <w:tr w14:paraId="69115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jc w:val="center"/>
        </w:trPr>
        <w:tc>
          <w:tcPr>
            <w:tcW w:w="500" w:type="dxa"/>
            <w:shd w:val="clear" w:color="auto" w:fill="auto"/>
            <w:vAlign w:val="center"/>
          </w:tcPr>
          <w:p w14:paraId="3F221D2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49</w:t>
            </w:r>
          </w:p>
        </w:tc>
        <w:tc>
          <w:tcPr>
            <w:tcW w:w="906" w:type="dxa"/>
            <w:shd w:val="clear" w:color="auto" w:fill="auto"/>
            <w:vAlign w:val="center"/>
          </w:tcPr>
          <w:p w14:paraId="15C20C7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企业首套印章免费刻制服务</w:t>
            </w:r>
          </w:p>
        </w:tc>
        <w:tc>
          <w:tcPr>
            <w:tcW w:w="3227" w:type="dxa"/>
            <w:shd w:val="clear" w:color="auto" w:fill="auto"/>
            <w:vAlign w:val="center"/>
          </w:tcPr>
          <w:p w14:paraId="01A4A5D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免费为新办企业提供首套印章四枚</w:t>
            </w:r>
          </w:p>
        </w:tc>
        <w:tc>
          <w:tcPr>
            <w:tcW w:w="2334" w:type="dxa"/>
            <w:shd w:val="clear" w:color="auto" w:fill="auto"/>
            <w:vAlign w:val="center"/>
          </w:tcPr>
          <w:p w14:paraId="3EB793F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广安市政务服务管理局、广安市公安局、广安市财政局、广安市市场监督管理局印发《关于为新办企业提供免费刻制印章服务的公告》</w:t>
            </w:r>
          </w:p>
        </w:tc>
        <w:tc>
          <w:tcPr>
            <w:tcW w:w="770" w:type="dxa"/>
            <w:shd w:val="clear" w:color="auto" w:fill="auto"/>
            <w:vAlign w:val="center"/>
          </w:tcPr>
          <w:p w14:paraId="4EBEC8D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权益类</w:t>
            </w:r>
          </w:p>
        </w:tc>
        <w:tc>
          <w:tcPr>
            <w:tcW w:w="770" w:type="dxa"/>
            <w:shd w:val="clear" w:color="auto" w:fill="auto"/>
            <w:vAlign w:val="center"/>
          </w:tcPr>
          <w:p w14:paraId="4826426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广安市</w:t>
            </w:r>
          </w:p>
        </w:tc>
        <w:tc>
          <w:tcPr>
            <w:tcW w:w="770" w:type="dxa"/>
            <w:shd w:val="clear" w:color="auto" w:fill="auto"/>
            <w:vAlign w:val="center"/>
          </w:tcPr>
          <w:p w14:paraId="5B133C3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0DD1410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w:t>
            </w:r>
            <w:r>
              <w:rPr>
                <w:rFonts w:hint="default" w:ascii="宋体" w:hAnsi="宋体" w:eastAsia="宋体" w:cs="宋体"/>
                <w:color w:val="auto"/>
                <w:sz w:val="20"/>
                <w:szCs w:val="20"/>
                <w:lang w:val="en-US" w:eastAsia="zh-CN"/>
              </w:rPr>
              <w:t>政务服务中心惠企政策服务专窗</w:t>
            </w:r>
          </w:p>
        </w:tc>
        <w:tc>
          <w:tcPr>
            <w:tcW w:w="942" w:type="dxa"/>
            <w:shd w:val="clear" w:color="auto" w:fill="auto"/>
            <w:vAlign w:val="center"/>
          </w:tcPr>
          <w:p w14:paraId="04B5258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both"/>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市场监督管理局</w:t>
            </w:r>
          </w:p>
        </w:tc>
        <w:tc>
          <w:tcPr>
            <w:tcW w:w="1085" w:type="dxa"/>
            <w:shd w:val="clear" w:color="auto" w:fill="auto"/>
            <w:vAlign w:val="center"/>
          </w:tcPr>
          <w:p w14:paraId="65E736E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广安市市本级新开办企业</w:t>
            </w:r>
          </w:p>
        </w:tc>
        <w:tc>
          <w:tcPr>
            <w:tcW w:w="705" w:type="dxa"/>
            <w:shd w:val="clear" w:color="auto" w:fill="auto"/>
            <w:vAlign w:val="center"/>
          </w:tcPr>
          <w:p w14:paraId="2604393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4775251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即时</w:t>
            </w:r>
          </w:p>
        </w:tc>
        <w:tc>
          <w:tcPr>
            <w:tcW w:w="1095" w:type="dxa"/>
            <w:shd w:val="clear" w:color="auto" w:fill="auto"/>
            <w:vAlign w:val="center"/>
          </w:tcPr>
          <w:p w14:paraId="3FE01E1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自 2020 年 8 月 1 日起</w:t>
            </w:r>
          </w:p>
        </w:tc>
      </w:tr>
      <w:tr w14:paraId="7260A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jc w:val="center"/>
        </w:trPr>
        <w:tc>
          <w:tcPr>
            <w:tcW w:w="500" w:type="dxa"/>
            <w:shd w:val="clear" w:color="auto" w:fill="auto"/>
            <w:vAlign w:val="center"/>
          </w:tcPr>
          <w:p w14:paraId="7DCB98B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50</w:t>
            </w:r>
          </w:p>
        </w:tc>
        <w:tc>
          <w:tcPr>
            <w:tcW w:w="906" w:type="dxa"/>
            <w:shd w:val="clear" w:color="auto" w:fill="auto"/>
            <w:vAlign w:val="center"/>
          </w:tcPr>
          <w:p w14:paraId="123FA1E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免收小微企业及个体工商户登记费</w:t>
            </w:r>
          </w:p>
        </w:tc>
        <w:tc>
          <w:tcPr>
            <w:tcW w:w="3227" w:type="dxa"/>
            <w:shd w:val="clear" w:color="auto" w:fill="auto"/>
            <w:vAlign w:val="center"/>
          </w:tcPr>
          <w:p w14:paraId="37AEB50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宋体" w:hAnsi="宋体" w:eastAsia="宋体" w:cs="宋体"/>
                <w:color w:val="auto"/>
                <w:sz w:val="20"/>
                <w:szCs w:val="20"/>
                <w:lang w:val="en-US" w:eastAsia="zh-CN"/>
              </w:rPr>
              <w:t>免收小微企业及个体工商户登记费</w:t>
            </w:r>
          </w:p>
        </w:tc>
        <w:tc>
          <w:tcPr>
            <w:tcW w:w="2334" w:type="dxa"/>
            <w:shd w:val="clear" w:color="auto" w:fill="auto"/>
            <w:vAlign w:val="center"/>
          </w:tcPr>
          <w:p w14:paraId="067A4BE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财政部、国家发展改革委发改价格规﹝2016﹞2559号</w:t>
            </w:r>
          </w:p>
        </w:tc>
        <w:tc>
          <w:tcPr>
            <w:tcW w:w="770" w:type="dxa"/>
            <w:shd w:val="clear" w:color="auto" w:fill="auto"/>
            <w:vAlign w:val="center"/>
          </w:tcPr>
          <w:p w14:paraId="3425CA9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5BFAE5A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65C1141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1038C3D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市政务服务中心2楼不动产登记服务窗口</w:t>
            </w:r>
          </w:p>
        </w:tc>
        <w:tc>
          <w:tcPr>
            <w:tcW w:w="942" w:type="dxa"/>
            <w:shd w:val="clear" w:color="auto" w:fill="auto"/>
            <w:vAlign w:val="center"/>
          </w:tcPr>
          <w:p w14:paraId="340A7AA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不动产登记机构</w:t>
            </w:r>
          </w:p>
        </w:tc>
        <w:tc>
          <w:tcPr>
            <w:tcW w:w="1085" w:type="dxa"/>
            <w:shd w:val="clear" w:color="auto" w:fill="auto"/>
            <w:vAlign w:val="center"/>
          </w:tcPr>
          <w:p w14:paraId="6912E20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小微企业、个体工商户</w:t>
            </w:r>
          </w:p>
        </w:tc>
        <w:tc>
          <w:tcPr>
            <w:tcW w:w="705" w:type="dxa"/>
            <w:shd w:val="clear" w:color="auto" w:fill="auto"/>
            <w:vAlign w:val="center"/>
          </w:tcPr>
          <w:p w14:paraId="1E746C4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即申即享</w:t>
            </w:r>
          </w:p>
        </w:tc>
        <w:tc>
          <w:tcPr>
            <w:tcW w:w="1171" w:type="dxa"/>
            <w:shd w:val="clear" w:color="auto" w:fill="auto"/>
            <w:vAlign w:val="center"/>
          </w:tcPr>
          <w:p w14:paraId="0ED6FF9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color w:val="auto"/>
                <w:sz w:val="20"/>
                <w:szCs w:val="20"/>
                <w:lang w:val="en-US" w:eastAsia="zh-CN"/>
              </w:rPr>
            </w:pPr>
          </w:p>
        </w:tc>
        <w:tc>
          <w:tcPr>
            <w:tcW w:w="1095" w:type="dxa"/>
            <w:shd w:val="clear" w:color="auto" w:fill="auto"/>
            <w:vAlign w:val="center"/>
          </w:tcPr>
          <w:p w14:paraId="4DAB198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长期</w:t>
            </w:r>
          </w:p>
        </w:tc>
      </w:tr>
      <w:tr w14:paraId="76A00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jc w:val="center"/>
        </w:trPr>
        <w:tc>
          <w:tcPr>
            <w:tcW w:w="500" w:type="dxa"/>
            <w:shd w:val="clear" w:color="auto" w:fill="auto"/>
            <w:vAlign w:val="center"/>
          </w:tcPr>
          <w:p w14:paraId="79B6018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51</w:t>
            </w:r>
          </w:p>
        </w:tc>
        <w:tc>
          <w:tcPr>
            <w:tcW w:w="906" w:type="dxa"/>
            <w:shd w:val="clear" w:color="auto" w:fill="auto"/>
            <w:vAlign w:val="center"/>
          </w:tcPr>
          <w:p w14:paraId="5C8BD47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47E618E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同时经营其他产品的农产品批发、农贸市场使用的房产、土地，按交易场地面积比例征免房产税和城镇土地使用税</w:t>
            </w:r>
          </w:p>
        </w:tc>
        <w:tc>
          <w:tcPr>
            <w:tcW w:w="2334" w:type="dxa"/>
            <w:shd w:val="clear" w:color="auto" w:fill="auto"/>
            <w:vAlign w:val="center"/>
          </w:tcPr>
          <w:p w14:paraId="6456E5C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税务总局关于继续实施农产品批发市场和农贸市场房产税、城镇土地使用税优惠政策的公告》（财政部 税务总局公告2023年第50号）</w:t>
            </w:r>
          </w:p>
        </w:tc>
        <w:tc>
          <w:tcPr>
            <w:tcW w:w="770" w:type="dxa"/>
            <w:shd w:val="clear" w:color="auto" w:fill="auto"/>
            <w:vAlign w:val="center"/>
          </w:tcPr>
          <w:p w14:paraId="5EEB7F5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7BE4F87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3D9842B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3AADE64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1B35B0A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1F85FC0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企业、个体工商户</w:t>
            </w:r>
          </w:p>
        </w:tc>
        <w:tc>
          <w:tcPr>
            <w:tcW w:w="705" w:type="dxa"/>
            <w:shd w:val="clear" w:color="auto" w:fill="auto"/>
            <w:vAlign w:val="center"/>
          </w:tcPr>
          <w:p w14:paraId="09B4A51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287C903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5CCB63C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0B797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jc w:val="center"/>
        </w:trPr>
        <w:tc>
          <w:tcPr>
            <w:tcW w:w="500" w:type="dxa"/>
            <w:shd w:val="clear" w:color="auto" w:fill="auto"/>
            <w:vAlign w:val="center"/>
          </w:tcPr>
          <w:p w14:paraId="193BDEF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52</w:t>
            </w:r>
          </w:p>
        </w:tc>
        <w:tc>
          <w:tcPr>
            <w:tcW w:w="906" w:type="dxa"/>
            <w:shd w:val="clear" w:color="auto" w:fill="auto"/>
            <w:vAlign w:val="center"/>
          </w:tcPr>
          <w:p w14:paraId="1DD4138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199211D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免征城市公交站场、道路客运站场、城市轨道交通系统运营用地，城镇土地使用税</w:t>
            </w:r>
          </w:p>
        </w:tc>
        <w:tc>
          <w:tcPr>
            <w:tcW w:w="2334" w:type="dxa"/>
            <w:shd w:val="clear" w:color="auto" w:fill="auto"/>
            <w:vAlign w:val="center"/>
          </w:tcPr>
          <w:p w14:paraId="156A291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税务总局关于继续实施对城市公交站场、道路客运站场、城市轨道交通系统减免城镇土地使用税优惠政策的公告》财政部 税务总局公告2023年第52号</w:t>
            </w:r>
          </w:p>
        </w:tc>
        <w:tc>
          <w:tcPr>
            <w:tcW w:w="770" w:type="dxa"/>
            <w:shd w:val="clear" w:color="auto" w:fill="auto"/>
            <w:vAlign w:val="center"/>
          </w:tcPr>
          <w:p w14:paraId="66CFD98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57C94C6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575BE98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68F9C5B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4AB9416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37177FA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570E518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3B3C887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color w:val="auto"/>
                <w:sz w:val="20"/>
                <w:szCs w:val="20"/>
                <w:lang w:val="en-US" w:eastAsia="zh-CN"/>
              </w:rPr>
              <w:t>/</w:t>
            </w:r>
          </w:p>
        </w:tc>
        <w:tc>
          <w:tcPr>
            <w:tcW w:w="1095" w:type="dxa"/>
            <w:shd w:val="clear" w:color="auto" w:fill="auto"/>
            <w:vAlign w:val="center"/>
          </w:tcPr>
          <w:p w14:paraId="57AD140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333AE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17" w:hRule="atLeast"/>
          <w:jc w:val="center"/>
        </w:trPr>
        <w:tc>
          <w:tcPr>
            <w:tcW w:w="500" w:type="dxa"/>
            <w:shd w:val="clear" w:color="auto" w:fill="auto"/>
            <w:vAlign w:val="center"/>
          </w:tcPr>
          <w:p w14:paraId="274318A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53</w:t>
            </w:r>
          </w:p>
        </w:tc>
        <w:tc>
          <w:tcPr>
            <w:tcW w:w="906" w:type="dxa"/>
            <w:shd w:val="clear" w:color="auto" w:fill="auto"/>
            <w:vAlign w:val="center"/>
          </w:tcPr>
          <w:p w14:paraId="433DD3C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632B5F1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免征国产抗艾滋病病毒药品生产环节和流通环节增值税</w:t>
            </w:r>
          </w:p>
        </w:tc>
        <w:tc>
          <w:tcPr>
            <w:tcW w:w="2334" w:type="dxa"/>
            <w:shd w:val="clear" w:color="auto" w:fill="auto"/>
            <w:vAlign w:val="center"/>
          </w:tcPr>
          <w:p w14:paraId="2E5CAD7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税务总局关于延续免征国产抗艾滋病病毒药品增值税政策的公告》（财政部 税务总局公告2023年第62号）</w:t>
            </w:r>
          </w:p>
        </w:tc>
        <w:tc>
          <w:tcPr>
            <w:tcW w:w="770" w:type="dxa"/>
            <w:shd w:val="clear" w:color="auto" w:fill="auto"/>
            <w:vAlign w:val="center"/>
          </w:tcPr>
          <w:p w14:paraId="680DBC5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59413EB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70C096F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6ED487A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3400CBC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3D67841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企业、个体工商户</w:t>
            </w:r>
          </w:p>
        </w:tc>
        <w:tc>
          <w:tcPr>
            <w:tcW w:w="705" w:type="dxa"/>
            <w:shd w:val="clear" w:color="auto" w:fill="auto"/>
            <w:vAlign w:val="center"/>
          </w:tcPr>
          <w:p w14:paraId="22F3ECE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438531E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7665F16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61688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17" w:hRule="atLeast"/>
          <w:jc w:val="center"/>
        </w:trPr>
        <w:tc>
          <w:tcPr>
            <w:tcW w:w="500" w:type="dxa"/>
            <w:shd w:val="clear" w:color="auto" w:fill="auto"/>
            <w:vAlign w:val="center"/>
          </w:tcPr>
          <w:p w14:paraId="0E1B559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54</w:t>
            </w:r>
          </w:p>
        </w:tc>
        <w:tc>
          <w:tcPr>
            <w:tcW w:w="906" w:type="dxa"/>
            <w:shd w:val="clear" w:color="auto" w:fill="auto"/>
            <w:vAlign w:val="center"/>
          </w:tcPr>
          <w:p w14:paraId="2EFA59E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330F9C3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免征电影制片、发行、放映的电影集团公司（含成员企业）电影制片厂及其他电影企业取得的收入增值税</w:t>
            </w:r>
          </w:p>
        </w:tc>
        <w:tc>
          <w:tcPr>
            <w:tcW w:w="2334" w:type="dxa"/>
            <w:shd w:val="clear" w:color="auto" w:fill="auto"/>
            <w:vAlign w:val="center"/>
          </w:tcPr>
          <w:p w14:paraId="0C39C14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税务总局关于延续实施支持文化企业发展增值税政策的公告》（财政部 税务总局公告2023年第61号）</w:t>
            </w:r>
          </w:p>
        </w:tc>
        <w:tc>
          <w:tcPr>
            <w:tcW w:w="770" w:type="dxa"/>
            <w:shd w:val="clear" w:color="auto" w:fill="auto"/>
            <w:vAlign w:val="center"/>
          </w:tcPr>
          <w:p w14:paraId="4A5C205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231358E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2F6D7A9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6D503D5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1A4AE5D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3360EA0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2E2B8B5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6A2378C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522B70F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2B933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17" w:hRule="atLeast"/>
          <w:jc w:val="center"/>
        </w:trPr>
        <w:tc>
          <w:tcPr>
            <w:tcW w:w="500" w:type="dxa"/>
            <w:shd w:val="clear" w:color="auto" w:fill="auto"/>
            <w:vAlign w:val="center"/>
          </w:tcPr>
          <w:p w14:paraId="57B3C45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55</w:t>
            </w:r>
          </w:p>
        </w:tc>
        <w:tc>
          <w:tcPr>
            <w:tcW w:w="906" w:type="dxa"/>
            <w:shd w:val="clear" w:color="auto" w:fill="auto"/>
            <w:vAlign w:val="center"/>
          </w:tcPr>
          <w:p w14:paraId="004E795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436510A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工业母机企业增值税加计抵减优惠政策</w:t>
            </w:r>
          </w:p>
        </w:tc>
        <w:tc>
          <w:tcPr>
            <w:tcW w:w="2334" w:type="dxa"/>
            <w:shd w:val="clear" w:color="auto" w:fill="auto"/>
            <w:vAlign w:val="center"/>
          </w:tcPr>
          <w:p w14:paraId="3F3BE6E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税务总局关于工业母机企业增值税加计抵减政策的通知》（财税〔2023〕25 号）</w:t>
            </w:r>
          </w:p>
        </w:tc>
        <w:tc>
          <w:tcPr>
            <w:tcW w:w="770" w:type="dxa"/>
            <w:shd w:val="clear" w:color="auto" w:fill="auto"/>
            <w:vAlign w:val="center"/>
          </w:tcPr>
          <w:p w14:paraId="5ACE3DB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7B62AB9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790ACC0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2EE29AA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45448EB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5D33F9F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3500EA5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02C1B79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5DBADEC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1791E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17" w:hRule="atLeast"/>
          <w:jc w:val="center"/>
        </w:trPr>
        <w:tc>
          <w:tcPr>
            <w:tcW w:w="500" w:type="dxa"/>
            <w:shd w:val="clear" w:color="auto" w:fill="auto"/>
            <w:vAlign w:val="center"/>
          </w:tcPr>
          <w:p w14:paraId="1CB0BED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 xml:space="preserve"> 56</w:t>
            </w:r>
          </w:p>
        </w:tc>
        <w:tc>
          <w:tcPr>
            <w:tcW w:w="906" w:type="dxa"/>
            <w:shd w:val="clear" w:color="auto" w:fill="auto"/>
            <w:vAlign w:val="center"/>
          </w:tcPr>
          <w:p w14:paraId="5C8BDF1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0C24D36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按矿业权出让收益率形式征收矿业权出让收益</w:t>
            </w:r>
          </w:p>
        </w:tc>
        <w:tc>
          <w:tcPr>
            <w:tcW w:w="2334" w:type="dxa"/>
            <w:shd w:val="clear" w:color="auto" w:fill="auto"/>
            <w:vAlign w:val="center"/>
          </w:tcPr>
          <w:p w14:paraId="3726F28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p>
        </w:tc>
        <w:tc>
          <w:tcPr>
            <w:tcW w:w="770" w:type="dxa"/>
            <w:shd w:val="clear" w:color="auto" w:fill="auto"/>
            <w:vAlign w:val="center"/>
          </w:tcPr>
          <w:p w14:paraId="731BDFC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权益类</w:t>
            </w:r>
          </w:p>
        </w:tc>
        <w:tc>
          <w:tcPr>
            <w:tcW w:w="770" w:type="dxa"/>
            <w:shd w:val="clear" w:color="auto" w:fill="auto"/>
            <w:vAlign w:val="center"/>
          </w:tcPr>
          <w:p w14:paraId="5055C41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4D33F97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5BFFAB1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38CEFC5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39014DD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7905C62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61FC758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63D942C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长期</w:t>
            </w:r>
          </w:p>
        </w:tc>
      </w:tr>
      <w:tr w14:paraId="70ECA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17" w:hRule="atLeast"/>
          <w:jc w:val="center"/>
        </w:trPr>
        <w:tc>
          <w:tcPr>
            <w:tcW w:w="500" w:type="dxa"/>
            <w:shd w:val="clear" w:color="auto" w:fill="auto"/>
            <w:vAlign w:val="center"/>
          </w:tcPr>
          <w:p w14:paraId="0FDE994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57</w:t>
            </w:r>
          </w:p>
        </w:tc>
        <w:tc>
          <w:tcPr>
            <w:tcW w:w="906" w:type="dxa"/>
            <w:shd w:val="clear" w:color="auto" w:fill="auto"/>
            <w:vAlign w:val="center"/>
          </w:tcPr>
          <w:p w14:paraId="572FBCD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0DCA727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对广播电视运营服务企业提供有线数字电视基本收视维护和农村有线电视服务收入免征增值税</w:t>
            </w:r>
          </w:p>
        </w:tc>
        <w:tc>
          <w:tcPr>
            <w:tcW w:w="2334" w:type="dxa"/>
            <w:shd w:val="clear" w:color="auto" w:fill="auto"/>
            <w:vAlign w:val="center"/>
          </w:tcPr>
          <w:p w14:paraId="233D547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税务总局关于延续实施支持文化企业发展增值税政策的公告》（财政部 税务总局公告2023年第61号）</w:t>
            </w:r>
          </w:p>
        </w:tc>
        <w:tc>
          <w:tcPr>
            <w:tcW w:w="770" w:type="dxa"/>
            <w:shd w:val="clear" w:color="auto" w:fill="auto"/>
            <w:vAlign w:val="center"/>
          </w:tcPr>
          <w:p w14:paraId="5C35812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5811FD7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589226A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03ADBE5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0660152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7EA0D76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企业、个体工商户</w:t>
            </w:r>
          </w:p>
        </w:tc>
        <w:tc>
          <w:tcPr>
            <w:tcW w:w="705" w:type="dxa"/>
            <w:shd w:val="clear" w:color="auto" w:fill="auto"/>
            <w:vAlign w:val="center"/>
          </w:tcPr>
          <w:p w14:paraId="7DD4211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0CABA19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2795786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3C4B1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jc w:val="center"/>
        </w:trPr>
        <w:tc>
          <w:tcPr>
            <w:tcW w:w="500" w:type="dxa"/>
            <w:shd w:val="clear" w:color="auto" w:fill="auto"/>
            <w:vAlign w:val="center"/>
          </w:tcPr>
          <w:p w14:paraId="1FF0038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58</w:t>
            </w:r>
          </w:p>
        </w:tc>
        <w:tc>
          <w:tcPr>
            <w:tcW w:w="906" w:type="dxa"/>
            <w:shd w:val="clear" w:color="auto" w:fill="auto"/>
            <w:vAlign w:val="center"/>
          </w:tcPr>
          <w:p w14:paraId="5B54ED9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3F2A7BA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集成电路企业增值税加计抵减优惠政策</w:t>
            </w:r>
          </w:p>
        </w:tc>
        <w:tc>
          <w:tcPr>
            <w:tcW w:w="2334" w:type="dxa"/>
            <w:shd w:val="clear" w:color="auto" w:fill="auto"/>
            <w:vAlign w:val="center"/>
          </w:tcPr>
          <w:p w14:paraId="352DC61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税务总局关于集成电路企业增值税加计抵减政策的通知（财税〔2023〕17 号）</w:t>
            </w:r>
          </w:p>
        </w:tc>
        <w:tc>
          <w:tcPr>
            <w:tcW w:w="770" w:type="dxa"/>
            <w:shd w:val="clear" w:color="auto" w:fill="auto"/>
            <w:vAlign w:val="center"/>
          </w:tcPr>
          <w:p w14:paraId="046EF78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49B7835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09F7F97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3365E02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09CB116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14F2FA3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32F0A14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000511E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1B624E4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70BDA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00" w:type="dxa"/>
            <w:shd w:val="clear" w:color="auto" w:fill="auto"/>
            <w:vAlign w:val="center"/>
          </w:tcPr>
          <w:p w14:paraId="7CA2E5A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59</w:t>
            </w:r>
          </w:p>
        </w:tc>
        <w:tc>
          <w:tcPr>
            <w:tcW w:w="906" w:type="dxa"/>
            <w:shd w:val="clear" w:color="auto" w:fill="auto"/>
            <w:vAlign w:val="center"/>
          </w:tcPr>
          <w:p w14:paraId="66D9A1F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48AD461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先进制造业企业按照当期可抵扣进项税额加计5%抵减应纳增值税税额</w:t>
            </w:r>
          </w:p>
        </w:tc>
        <w:tc>
          <w:tcPr>
            <w:tcW w:w="2334" w:type="dxa"/>
            <w:shd w:val="clear" w:color="auto" w:fill="auto"/>
            <w:vAlign w:val="center"/>
          </w:tcPr>
          <w:p w14:paraId="1422A1F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税务总局关于先进制造业企业增值税加计抵减政策的公告》（财政部 税务总局公告2023年第43号）</w:t>
            </w:r>
          </w:p>
        </w:tc>
        <w:tc>
          <w:tcPr>
            <w:tcW w:w="770" w:type="dxa"/>
            <w:shd w:val="clear" w:color="auto" w:fill="auto"/>
            <w:vAlign w:val="center"/>
          </w:tcPr>
          <w:p w14:paraId="7662318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24B9A60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4907A00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122DDF7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35D06C3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4CBFAF0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72B8E34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5F73185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36E5FB6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5537A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00" w:type="dxa"/>
            <w:shd w:val="clear" w:color="auto" w:fill="auto"/>
            <w:vAlign w:val="center"/>
          </w:tcPr>
          <w:p w14:paraId="0DB6E28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60</w:t>
            </w:r>
          </w:p>
        </w:tc>
        <w:tc>
          <w:tcPr>
            <w:tcW w:w="906" w:type="dxa"/>
            <w:shd w:val="clear" w:color="auto" w:fill="auto"/>
            <w:vAlign w:val="center"/>
          </w:tcPr>
          <w:p w14:paraId="58F359A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668BF8E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免征图书批发、零售环节增值税</w:t>
            </w:r>
          </w:p>
        </w:tc>
        <w:tc>
          <w:tcPr>
            <w:tcW w:w="2334" w:type="dxa"/>
            <w:shd w:val="clear" w:color="auto" w:fill="auto"/>
            <w:vAlign w:val="center"/>
          </w:tcPr>
          <w:p w14:paraId="0F21AAA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税务总局关于延续实施宣传文化增值税优惠政策的公告 》（财政部 税务总局公告2023年第60号）</w:t>
            </w:r>
          </w:p>
        </w:tc>
        <w:tc>
          <w:tcPr>
            <w:tcW w:w="770" w:type="dxa"/>
            <w:shd w:val="clear" w:color="auto" w:fill="auto"/>
            <w:vAlign w:val="center"/>
          </w:tcPr>
          <w:p w14:paraId="436E33E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4BF140F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1310949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0E777A4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1A4E819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3DA9634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企业、个体工商户</w:t>
            </w:r>
          </w:p>
        </w:tc>
        <w:tc>
          <w:tcPr>
            <w:tcW w:w="705" w:type="dxa"/>
            <w:shd w:val="clear" w:color="auto" w:fill="auto"/>
            <w:vAlign w:val="center"/>
          </w:tcPr>
          <w:p w14:paraId="02FBEAA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20A2766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5E76509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6A565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00" w:type="dxa"/>
            <w:shd w:val="clear" w:color="auto" w:fill="auto"/>
            <w:vAlign w:val="center"/>
          </w:tcPr>
          <w:p w14:paraId="66DDB2B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61</w:t>
            </w:r>
          </w:p>
        </w:tc>
        <w:tc>
          <w:tcPr>
            <w:tcW w:w="906" w:type="dxa"/>
            <w:shd w:val="clear" w:color="auto" w:fill="auto"/>
            <w:vAlign w:val="center"/>
          </w:tcPr>
          <w:p w14:paraId="44BCD0D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1A96006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免征科普单位、县级及以上党政部门和科协开展科普活动门票收入增值税</w:t>
            </w:r>
          </w:p>
        </w:tc>
        <w:tc>
          <w:tcPr>
            <w:tcW w:w="2334" w:type="dxa"/>
            <w:shd w:val="clear" w:color="auto" w:fill="auto"/>
            <w:vAlign w:val="center"/>
          </w:tcPr>
          <w:p w14:paraId="61F07E3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税务总局关于延续实施宣传文化增值税优惠政策的公告 》（财政部 税务总局公告2023年第60号）</w:t>
            </w:r>
          </w:p>
        </w:tc>
        <w:tc>
          <w:tcPr>
            <w:tcW w:w="770" w:type="dxa"/>
            <w:shd w:val="clear" w:color="auto" w:fill="auto"/>
            <w:vAlign w:val="center"/>
          </w:tcPr>
          <w:p w14:paraId="12D5528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2C62047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2FB89B6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0A4660B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688F28D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5F21647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7C32BFA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30CA0B1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3C539D8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3EEE1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00" w:type="dxa"/>
            <w:shd w:val="clear" w:color="auto" w:fill="auto"/>
            <w:vAlign w:val="center"/>
          </w:tcPr>
          <w:p w14:paraId="6FC39F0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62</w:t>
            </w:r>
          </w:p>
        </w:tc>
        <w:tc>
          <w:tcPr>
            <w:tcW w:w="906" w:type="dxa"/>
            <w:shd w:val="clear" w:color="auto" w:fill="auto"/>
            <w:vAlign w:val="center"/>
          </w:tcPr>
          <w:p w14:paraId="437796A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6D043CE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对销售自产边销茶及经销企业销售的边销茶免征增值税</w:t>
            </w:r>
          </w:p>
        </w:tc>
        <w:tc>
          <w:tcPr>
            <w:tcW w:w="2334" w:type="dxa"/>
            <w:shd w:val="clear" w:color="auto" w:fill="auto"/>
            <w:vAlign w:val="center"/>
          </w:tcPr>
          <w:p w14:paraId="2CD8B1C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税务总局关于延续实施边销茶增值税政策的公告》（财政部 税务总局公告2023年第59号）</w:t>
            </w:r>
          </w:p>
        </w:tc>
        <w:tc>
          <w:tcPr>
            <w:tcW w:w="770" w:type="dxa"/>
            <w:shd w:val="clear" w:color="auto" w:fill="auto"/>
            <w:vAlign w:val="center"/>
          </w:tcPr>
          <w:p w14:paraId="0CFA7DB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6EE99CA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50F5A7F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06E0121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2FFBC9E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2B05EC5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7876D92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4686094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080562D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2613B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00" w:type="dxa"/>
            <w:shd w:val="clear" w:color="auto" w:fill="auto"/>
            <w:vAlign w:val="center"/>
          </w:tcPr>
          <w:p w14:paraId="7B671C0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63</w:t>
            </w:r>
          </w:p>
        </w:tc>
        <w:tc>
          <w:tcPr>
            <w:tcW w:w="906" w:type="dxa"/>
            <w:shd w:val="clear" w:color="auto" w:fill="auto"/>
            <w:vAlign w:val="center"/>
          </w:tcPr>
          <w:p w14:paraId="44490EB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50850C0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提供在孵对象房产、土地的免征房产税和城镇土地使用税</w:t>
            </w:r>
          </w:p>
        </w:tc>
        <w:tc>
          <w:tcPr>
            <w:tcW w:w="2334" w:type="dxa"/>
            <w:shd w:val="clear" w:color="auto" w:fill="auto"/>
            <w:vAlign w:val="center"/>
          </w:tcPr>
          <w:p w14:paraId="3DAFCBC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 科技部 教育部关于继续实施科技企业孵化器、大学科技园和众创空间有关税收政策的公告》（财政部 税务总局 科技部 教育部公告2023年第42号）</w:t>
            </w:r>
          </w:p>
        </w:tc>
        <w:tc>
          <w:tcPr>
            <w:tcW w:w="770" w:type="dxa"/>
            <w:shd w:val="clear" w:color="auto" w:fill="auto"/>
            <w:vAlign w:val="center"/>
          </w:tcPr>
          <w:p w14:paraId="308FBE8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2B12D65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5FCFF1E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2CBE4FB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3EBA6D2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385F6D4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1318B5A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633AC81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7438487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0486E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jc w:val="center"/>
        </w:trPr>
        <w:tc>
          <w:tcPr>
            <w:tcW w:w="500" w:type="dxa"/>
            <w:shd w:val="clear" w:color="auto" w:fill="auto"/>
            <w:vAlign w:val="center"/>
          </w:tcPr>
          <w:p w14:paraId="0F2642C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64</w:t>
            </w:r>
          </w:p>
        </w:tc>
        <w:tc>
          <w:tcPr>
            <w:tcW w:w="906" w:type="dxa"/>
            <w:shd w:val="clear" w:color="auto" w:fill="auto"/>
            <w:vAlign w:val="center"/>
          </w:tcPr>
          <w:p w14:paraId="3C67B44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14AE87D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对在孵对象提供孵化服务收入免征增值税</w:t>
            </w:r>
          </w:p>
        </w:tc>
        <w:tc>
          <w:tcPr>
            <w:tcW w:w="2334" w:type="dxa"/>
            <w:shd w:val="clear" w:color="auto" w:fill="auto"/>
            <w:vAlign w:val="center"/>
          </w:tcPr>
          <w:p w14:paraId="17B42E4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 科技部 教育部关于继续实施科技企业孵化器、大学科技园和众创空间有关税收政策的公告》（财政部 税务总局 科技部 教育部公告2023年第42号）</w:t>
            </w:r>
          </w:p>
        </w:tc>
        <w:tc>
          <w:tcPr>
            <w:tcW w:w="770" w:type="dxa"/>
            <w:shd w:val="clear" w:color="auto" w:fill="auto"/>
            <w:vAlign w:val="center"/>
          </w:tcPr>
          <w:p w14:paraId="0F7D60D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6B9B5F5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1908FEA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68D6ACE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20270CC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783AD0B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4F431EC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74FEA01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589A543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117CA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jc w:val="center"/>
        </w:trPr>
        <w:tc>
          <w:tcPr>
            <w:tcW w:w="500" w:type="dxa"/>
            <w:shd w:val="clear" w:color="auto" w:fill="auto"/>
            <w:vAlign w:val="center"/>
          </w:tcPr>
          <w:p w14:paraId="5CEB511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65</w:t>
            </w:r>
          </w:p>
        </w:tc>
        <w:tc>
          <w:tcPr>
            <w:tcW w:w="906" w:type="dxa"/>
            <w:shd w:val="clear" w:color="auto" w:fill="auto"/>
            <w:vAlign w:val="center"/>
          </w:tcPr>
          <w:p w14:paraId="18C987D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05F06FD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处置抵债不动产增值税优惠</w:t>
            </w:r>
          </w:p>
        </w:tc>
        <w:tc>
          <w:tcPr>
            <w:tcW w:w="2334" w:type="dxa"/>
            <w:shd w:val="clear" w:color="auto" w:fill="auto"/>
            <w:vAlign w:val="center"/>
          </w:tcPr>
          <w:p w14:paraId="3080399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税务总局关于继续实施银行业金融机构、金融资产管理公司不良债权以物抵债有关税收政策的公告》（财政部 税务总局公告2023年第35号）</w:t>
            </w:r>
          </w:p>
        </w:tc>
        <w:tc>
          <w:tcPr>
            <w:tcW w:w="770" w:type="dxa"/>
            <w:shd w:val="clear" w:color="auto" w:fill="auto"/>
            <w:vAlign w:val="center"/>
          </w:tcPr>
          <w:p w14:paraId="501DBE0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66CE19E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6BAC80A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54BB51A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7574875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6EC48B1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023DCDF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2C39473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280EFDB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47167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jc w:val="center"/>
        </w:trPr>
        <w:tc>
          <w:tcPr>
            <w:tcW w:w="500" w:type="dxa"/>
            <w:shd w:val="clear" w:color="auto" w:fill="auto"/>
            <w:vAlign w:val="center"/>
          </w:tcPr>
          <w:p w14:paraId="1412D99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66</w:t>
            </w:r>
          </w:p>
        </w:tc>
        <w:tc>
          <w:tcPr>
            <w:tcW w:w="906" w:type="dxa"/>
            <w:shd w:val="clear" w:color="auto" w:fill="auto"/>
            <w:vAlign w:val="center"/>
          </w:tcPr>
          <w:p w14:paraId="0F5426F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6F71EC7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减免小规模纳税人增值税</w:t>
            </w:r>
          </w:p>
        </w:tc>
        <w:tc>
          <w:tcPr>
            <w:tcW w:w="2334" w:type="dxa"/>
            <w:shd w:val="clear" w:color="auto" w:fill="auto"/>
            <w:vAlign w:val="center"/>
          </w:tcPr>
          <w:p w14:paraId="1ACAAE0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税务总局关于增值税小规模纳税人减免增值税政策的公告》（财政部 税务总局公告2023年第19号）</w:t>
            </w:r>
          </w:p>
        </w:tc>
        <w:tc>
          <w:tcPr>
            <w:tcW w:w="770" w:type="dxa"/>
            <w:shd w:val="clear" w:color="auto" w:fill="auto"/>
            <w:vAlign w:val="center"/>
          </w:tcPr>
          <w:p w14:paraId="41317F8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5AAA68B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115CA0A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657EAC2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1F1F68F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7472FAA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企业、个体工商户</w:t>
            </w:r>
          </w:p>
        </w:tc>
        <w:tc>
          <w:tcPr>
            <w:tcW w:w="705" w:type="dxa"/>
            <w:shd w:val="clear" w:color="auto" w:fill="auto"/>
            <w:vAlign w:val="center"/>
          </w:tcPr>
          <w:p w14:paraId="470A638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169599F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797C4D6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078EA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jc w:val="center"/>
        </w:trPr>
        <w:tc>
          <w:tcPr>
            <w:tcW w:w="500" w:type="dxa"/>
            <w:shd w:val="clear" w:color="auto" w:fill="auto"/>
            <w:vAlign w:val="center"/>
          </w:tcPr>
          <w:p w14:paraId="11C694D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67</w:t>
            </w:r>
          </w:p>
        </w:tc>
        <w:tc>
          <w:tcPr>
            <w:tcW w:w="906" w:type="dxa"/>
            <w:shd w:val="clear" w:color="auto" w:fill="auto"/>
            <w:vAlign w:val="center"/>
          </w:tcPr>
          <w:p w14:paraId="5889F67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690B2A1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免征接收、处置抵债资产过程中涉及的合同、产权转移书据和营业账簿印花税</w:t>
            </w:r>
          </w:p>
        </w:tc>
        <w:tc>
          <w:tcPr>
            <w:tcW w:w="2334" w:type="dxa"/>
            <w:shd w:val="clear" w:color="auto" w:fill="auto"/>
            <w:vAlign w:val="center"/>
          </w:tcPr>
          <w:p w14:paraId="2EB91C4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税务总局关于继续实施银行业金融机构、金融资产管理公司不良债权以物抵债有关税收政策的公告》（财政部 税务总局公告2023年第35号）</w:t>
            </w:r>
          </w:p>
        </w:tc>
        <w:tc>
          <w:tcPr>
            <w:tcW w:w="770" w:type="dxa"/>
            <w:shd w:val="clear" w:color="auto" w:fill="auto"/>
            <w:vAlign w:val="center"/>
          </w:tcPr>
          <w:p w14:paraId="5C7DC5A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021B6B7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7115102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0C06568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07B68CC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64145BD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6167810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11AA285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0B85967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63A84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jc w:val="center"/>
        </w:trPr>
        <w:tc>
          <w:tcPr>
            <w:tcW w:w="500" w:type="dxa"/>
            <w:shd w:val="clear" w:color="auto" w:fill="auto"/>
            <w:vAlign w:val="center"/>
          </w:tcPr>
          <w:p w14:paraId="27A2234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68</w:t>
            </w:r>
          </w:p>
        </w:tc>
        <w:tc>
          <w:tcPr>
            <w:tcW w:w="906" w:type="dxa"/>
            <w:shd w:val="clear" w:color="auto" w:fill="auto"/>
            <w:vAlign w:val="center"/>
          </w:tcPr>
          <w:p w14:paraId="30B6657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5A0C5FD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免征接收抵债资产契税</w:t>
            </w:r>
          </w:p>
        </w:tc>
        <w:tc>
          <w:tcPr>
            <w:tcW w:w="2334" w:type="dxa"/>
            <w:shd w:val="clear" w:color="auto" w:fill="auto"/>
            <w:vAlign w:val="center"/>
          </w:tcPr>
          <w:p w14:paraId="0117FC9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税务总局关于继续实施银行业金融机构、金融资产管理公司不良债权以物抵债有关税收政策的公告》（财政部 税务总局公告2023年第35号）</w:t>
            </w:r>
          </w:p>
        </w:tc>
        <w:tc>
          <w:tcPr>
            <w:tcW w:w="770" w:type="dxa"/>
            <w:shd w:val="clear" w:color="auto" w:fill="auto"/>
            <w:vAlign w:val="center"/>
          </w:tcPr>
          <w:p w14:paraId="77D5D48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6C1D57D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6574822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0B9EC07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64F245B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6844FF2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082C0B8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091995C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125F1F4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63A5E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17" w:hRule="atLeast"/>
          <w:jc w:val="center"/>
        </w:trPr>
        <w:tc>
          <w:tcPr>
            <w:tcW w:w="500" w:type="dxa"/>
            <w:shd w:val="clear" w:color="auto" w:fill="auto"/>
            <w:vAlign w:val="center"/>
          </w:tcPr>
          <w:p w14:paraId="37DAD53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69</w:t>
            </w:r>
          </w:p>
        </w:tc>
        <w:tc>
          <w:tcPr>
            <w:tcW w:w="906" w:type="dxa"/>
            <w:shd w:val="clear" w:color="auto" w:fill="auto"/>
            <w:vAlign w:val="center"/>
          </w:tcPr>
          <w:p w14:paraId="3B1B489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3B5C2BD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支持企业购进设备、器具所得税优惠政策</w:t>
            </w:r>
          </w:p>
        </w:tc>
        <w:tc>
          <w:tcPr>
            <w:tcW w:w="2334" w:type="dxa"/>
            <w:shd w:val="clear" w:color="auto" w:fill="auto"/>
            <w:vAlign w:val="center"/>
          </w:tcPr>
          <w:p w14:paraId="48392B2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税务总局关于设备、器具扣除有关企业所得税政策的公告》（财政部 税务总局公告2023年第37号）</w:t>
            </w:r>
          </w:p>
        </w:tc>
        <w:tc>
          <w:tcPr>
            <w:tcW w:w="770" w:type="dxa"/>
            <w:shd w:val="clear" w:color="auto" w:fill="auto"/>
            <w:vAlign w:val="center"/>
          </w:tcPr>
          <w:p w14:paraId="18D7A3F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6A24CF8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76BD762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230BB1E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005680C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731DD72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047F019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0F93255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418A840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7FE7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17" w:hRule="atLeast"/>
          <w:jc w:val="center"/>
        </w:trPr>
        <w:tc>
          <w:tcPr>
            <w:tcW w:w="500" w:type="dxa"/>
            <w:shd w:val="clear" w:color="auto" w:fill="auto"/>
            <w:vAlign w:val="center"/>
          </w:tcPr>
          <w:p w14:paraId="277720C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70</w:t>
            </w:r>
          </w:p>
        </w:tc>
        <w:tc>
          <w:tcPr>
            <w:tcW w:w="906" w:type="dxa"/>
            <w:shd w:val="clear" w:color="auto" w:fill="auto"/>
            <w:vAlign w:val="center"/>
          </w:tcPr>
          <w:p w14:paraId="6AE35BB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57E55E3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免征公租房建设期间用地及公租房建成后占地城镇土地使用税</w:t>
            </w:r>
          </w:p>
        </w:tc>
        <w:tc>
          <w:tcPr>
            <w:tcW w:w="2334" w:type="dxa"/>
            <w:shd w:val="clear" w:color="auto" w:fill="auto"/>
            <w:vAlign w:val="center"/>
          </w:tcPr>
          <w:p w14:paraId="6119A0E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税务总局关于继续实施公共租赁住房税收优惠政策的公告》（财政部 税务总局公告2023年第33号）</w:t>
            </w:r>
          </w:p>
        </w:tc>
        <w:tc>
          <w:tcPr>
            <w:tcW w:w="770" w:type="dxa"/>
            <w:shd w:val="clear" w:color="auto" w:fill="auto"/>
            <w:vAlign w:val="center"/>
          </w:tcPr>
          <w:p w14:paraId="5D0DBAE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3F6F440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777B95A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59DFC5D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0AE41A4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3C8F6F9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7198420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5C6C18C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0095E05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w:t>
            </w:r>
            <w:r>
              <w:rPr>
                <w:rFonts w:hint="eastAsia" w:ascii="Times New Roman" w:hAnsi="Times New Roman" w:eastAsia="宋体" w:cs="Times New Roman"/>
                <w:color w:val="auto"/>
                <w:sz w:val="20"/>
                <w:szCs w:val="20"/>
                <w:lang w:val="en-US" w:eastAsia="zh-CN"/>
              </w:rPr>
              <w:t>5</w:t>
            </w:r>
            <w:r>
              <w:rPr>
                <w:rFonts w:hint="default" w:ascii="Times New Roman" w:hAnsi="Times New Roman" w:eastAsia="宋体" w:cs="Times New Roman"/>
                <w:color w:val="auto"/>
                <w:sz w:val="20"/>
                <w:szCs w:val="20"/>
                <w:lang w:val="en-US" w:eastAsia="zh-CN"/>
              </w:rPr>
              <w:t>年12月31日截止</w:t>
            </w:r>
          </w:p>
        </w:tc>
      </w:tr>
      <w:tr w14:paraId="1A6ED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17" w:hRule="atLeast"/>
          <w:jc w:val="center"/>
        </w:trPr>
        <w:tc>
          <w:tcPr>
            <w:tcW w:w="500" w:type="dxa"/>
            <w:shd w:val="clear" w:color="auto" w:fill="auto"/>
            <w:vAlign w:val="center"/>
          </w:tcPr>
          <w:p w14:paraId="1900545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71</w:t>
            </w:r>
          </w:p>
        </w:tc>
        <w:tc>
          <w:tcPr>
            <w:tcW w:w="906" w:type="dxa"/>
            <w:shd w:val="clear" w:color="auto" w:fill="auto"/>
            <w:vAlign w:val="center"/>
          </w:tcPr>
          <w:p w14:paraId="024167A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7C5DA2A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免征公租房经营管理单位建设、管理公租房涉及的印花税</w:t>
            </w:r>
          </w:p>
        </w:tc>
        <w:tc>
          <w:tcPr>
            <w:tcW w:w="2334" w:type="dxa"/>
            <w:shd w:val="clear" w:color="auto" w:fill="auto"/>
            <w:vAlign w:val="center"/>
          </w:tcPr>
          <w:p w14:paraId="2930E9D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税务总局关于继续实施公共租赁住房税收优惠政策的公告》（财政部 税务总局公告2023年第33号）</w:t>
            </w:r>
          </w:p>
        </w:tc>
        <w:tc>
          <w:tcPr>
            <w:tcW w:w="770" w:type="dxa"/>
            <w:shd w:val="clear" w:color="auto" w:fill="auto"/>
            <w:vAlign w:val="center"/>
          </w:tcPr>
          <w:p w14:paraId="6AF6354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24A28F8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5062701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162EB21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4434A5A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6823D3C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121D157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745C090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2494BED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w:t>
            </w:r>
            <w:r>
              <w:rPr>
                <w:rFonts w:hint="eastAsia" w:ascii="Times New Roman" w:hAnsi="Times New Roman" w:eastAsia="宋体" w:cs="Times New Roman"/>
                <w:color w:val="auto"/>
                <w:sz w:val="20"/>
                <w:szCs w:val="20"/>
                <w:lang w:val="en-US" w:eastAsia="zh-CN"/>
              </w:rPr>
              <w:t>5</w:t>
            </w:r>
            <w:r>
              <w:rPr>
                <w:rFonts w:hint="default" w:ascii="Times New Roman" w:hAnsi="Times New Roman" w:eastAsia="宋体" w:cs="Times New Roman"/>
                <w:color w:val="auto"/>
                <w:sz w:val="20"/>
                <w:szCs w:val="20"/>
                <w:lang w:val="en-US" w:eastAsia="zh-CN"/>
              </w:rPr>
              <w:t>年12月31日截止</w:t>
            </w:r>
          </w:p>
        </w:tc>
      </w:tr>
      <w:tr w14:paraId="2FDAA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17" w:hRule="atLeast"/>
          <w:jc w:val="center"/>
        </w:trPr>
        <w:tc>
          <w:tcPr>
            <w:tcW w:w="500" w:type="dxa"/>
            <w:shd w:val="clear" w:color="auto" w:fill="auto"/>
            <w:vAlign w:val="center"/>
          </w:tcPr>
          <w:p w14:paraId="3BF1AE3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72</w:t>
            </w:r>
          </w:p>
        </w:tc>
        <w:tc>
          <w:tcPr>
            <w:tcW w:w="906" w:type="dxa"/>
            <w:shd w:val="clear" w:color="auto" w:fill="auto"/>
            <w:vAlign w:val="center"/>
          </w:tcPr>
          <w:p w14:paraId="224602A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6BBF1C7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公租房经营管理单位购买住房作为公租房，免征契税、印花税</w:t>
            </w:r>
          </w:p>
        </w:tc>
        <w:tc>
          <w:tcPr>
            <w:tcW w:w="2334" w:type="dxa"/>
            <w:shd w:val="clear" w:color="auto" w:fill="auto"/>
            <w:vAlign w:val="center"/>
          </w:tcPr>
          <w:p w14:paraId="0FE0362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税务总局关于继续实施公共租赁住房税收优惠政策的公告》（财政部 税务总局公告2023年第33号）</w:t>
            </w:r>
          </w:p>
        </w:tc>
        <w:tc>
          <w:tcPr>
            <w:tcW w:w="770" w:type="dxa"/>
            <w:shd w:val="clear" w:color="auto" w:fill="auto"/>
            <w:vAlign w:val="center"/>
          </w:tcPr>
          <w:p w14:paraId="4C1EA67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26D920A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7C17859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568919E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62A6C08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170E711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4B59212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1B72CEE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189C425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w:t>
            </w:r>
            <w:r>
              <w:rPr>
                <w:rFonts w:hint="eastAsia" w:ascii="Times New Roman" w:hAnsi="Times New Roman" w:eastAsia="宋体" w:cs="Times New Roman"/>
                <w:color w:val="auto"/>
                <w:sz w:val="20"/>
                <w:szCs w:val="20"/>
                <w:lang w:val="en-US" w:eastAsia="zh-CN"/>
              </w:rPr>
              <w:t>5</w:t>
            </w:r>
            <w:r>
              <w:rPr>
                <w:rFonts w:hint="default" w:ascii="Times New Roman" w:hAnsi="Times New Roman" w:eastAsia="宋体" w:cs="Times New Roman"/>
                <w:color w:val="auto"/>
                <w:sz w:val="20"/>
                <w:szCs w:val="20"/>
                <w:lang w:val="en-US" w:eastAsia="zh-CN"/>
              </w:rPr>
              <w:t>年12月31日截止</w:t>
            </w:r>
          </w:p>
        </w:tc>
      </w:tr>
      <w:tr w14:paraId="231DF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17" w:hRule="atLeast"/>
          <w:jc w:val="center"/>
        </w:trPr>
        <w:tc>
          <w:tcPr>
            <w:tcW w:w="500" w:type="dxa"/>
            <w:shd w:val="clear" w:color="auto" w:fill="auto"/>
            <w:vAlign w:val="center"/>
          </w:tcPr>
          <w:p w14:paraId="55013A1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73</w:t>
            </w:r>
          </w:p>
        </w:tc>
        <w:tc>
          <w:tcPr>
            <w:tcW w:w="906" w:type="dxa"/>
            <w:shd w:val="clear" w:color="auto" w:fill="auto"/>
            <w:vAlign w:val="center"/>
          </w:tcPr>
          <w:p w14:paraId="2A8F6C5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6B0C13E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纳税人适用3%征收率的应税销售收入的税率优惠</w:t>
            </w:r>
          </w:p>
        </w:tc>
        <w:tc>
          <w:tcPr>
            <w:tcW w:w="2334" w:type="dxa"/>
            <w:shd w:val="clear" w:color="auto" w:fill="auto"/>
            <w:vAlign w:val="center"/>
          </w:tcPr>
          <w:p w14:paraId="2DF476E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税务总局关于增值税小规模纳税人减免增值税政策的公告》（财政部 税务总局公告2023年第19号）</w:t>
            </w:r>
          </w:p>
        </w:tc>
        <w:tc>
          <w:tcPr>
            <w:tcW w:w="770" w:type="dxa"/>
            <w:shd w:val="clear" w:color="auto" w:fill="auto"/>
            <w:vAlign w:val="center"/>
          </w:tcPr>
          <w:p w14:paraId="357490A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61F8065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54FF02B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3DA06C6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75848DD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19B9AEF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企业、个体工商户</w:t>
            </w:r>
          </w:p>
        </w:tc>
        <w:tc>
          <w:tcPr>
            <w:tcW w:w="705" w:type="dxa"/>
            <w:shd w:val="clear" w:color="auto" w:fill="auto"/>
            <w:vAlign w:val="center"/>
          </w:tcPr>
          <w:p w14:paraId="6D5256F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62FED89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0A291D2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27371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17" w:hRule="atLeast"/>
          <w:jc w:val="center"/>
        </w:trPr>
        <w:tc>
          <w:tcPr>
            <w:tcW w:w="500" w:type="dxa"/>
            <w:shd w:val="clear" w:color="auto" w:fill="auto"/>
            <w:vAlign w:val="center"/>
          </w:tcPr>
          <w:p w14:paraId="0BFF88E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74</w:t>
            </w:r>
          </w:p>
        </w:tc>
        <w:tc>
          <w:tcPr>
            <w:tcW w:w="906" w:type="dxa"/>
            <w:shd w:val="clear" w:color="auto" w:fill="auto"/>
            <w:vAlign w:val="center"/>
          </w:tcPr>
          <w:p w14:paraId="6F82BFD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3A258D5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纳税人适用3%预征率的预缴增值税项目税率优惠</w:t>
            </w:r>
          </w:p>
        </w:tc>
        <w:tc>
          <w:tcPr>
            <w:tcW w:w="2334" w:type="dxa"/>
            <w:shd w:val="clear" w:color="auto" w:fill="auto"/>
            <w:vAlign w:val="center"/>
          </w:tcPr>
          <w:p w14:paraId="6F18166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税务总局关于增值税小规模纳税人减免增值税政策的公告》（财政部 税务总局公告2023年第19号）</w:t>
            </w:r>
          </w:p>
        </w:tc>
        <w:tc>
          <w:tcPr>
            <w:tcW w:w="770" w:type="dxa"/>
            <w:shd w:val="clear" w:color="auto" w:fill="auto"/>
            <w:vAlign w:val="center"/>
          </w:tcPr>
          <w:p w14:paraId="6241A9C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42B9EFC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41A94FB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29E9C4B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19CEDBE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2CA56A3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企业、个体工商户</w:t>
            </w:r>
          </w:p>
        </w:tc>
        <w:tc>
          <w:tcPr>
            <w:tcW w:w="705" w:type="dxa"/>
            <w:shd w:val="clear" w:color="auto" w:fill="auto"/>
            <w:vAlign w:val="center"/>
          </w:tcPr>
          <w:p w14:paraId="74F5DBC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352FE40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4CB6DDC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40ED8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154" w:hRule="atLeast"/>
          <w:jc w:val="center"/>
        </w:trPr>
        <w:tc>
          <w:tcPr>
            <w:tcW w:w="500" w:type="dxa"/>
            <w:shd w:val="clear" w:color="auto" w:fill="auto"/>
            <w:vAlign w:val="center"/>
          </w:tcPr>
          <w:p w14:paraId="034FE8C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75</w:t>
            </w:r>
          </w:p>
        </w:tc>
        <w:tc>
          <w:tcPr>
            <w:tcW w:w="906" w:type="dxa"/>
            <w:shd w:val="clear" w:color="auto" w:fill="auto"/>
            <w:vAlign w:val="center"/>
          </w:tcPr>
          <w:p w14:paraId="1108F1A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339987A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经营性文化事业单位转制为企业的免征企业所得税</w:t>
            </w:r>
          </w:p>
        </w:tc>
        <w:tc>
          <w:tcPr>
            <w:tcW w:w="2334" w:type="dxa"/>
            <w:shd w:val="clear" w:color="auto" w:fill="auto"/>
            <w:vAlign w:val="center"/>
          </w:tcPr>
          <w:p w14:paraId="71FE1F1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 中央宣传部关于延续实施文化体制改革中经营性文化事业单位转制为企业有关税收政策的公告》（财政部 税务总局 中央宣传部公告2023年第71号）</w:t>
            </w:r>
          </w:p>
        </w:tc>
        <w:tc>
          <w:tcPr>
            <w:tcW w:w="770" w:type="dxa"/>
            <w:shd w:val="clear" w:color="auto" w:fill="auto"/>
            <w:vAlign w:val="center"/>
          </w:tcPr>
          <w:p w14:paraId="0F461D8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1214FB6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506D8F0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2F66182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294012C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0E22279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44A3169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21D40DB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495E6E5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6F856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154" w:hRule="atLeast"/>
          <w:jc w:val="center"/>
        </w:trPr>
        <w:tc>
          <w:tcPr>
            <w:tcW w:w="500" w:type="dxa"/>
            <w:shd w:val="clear" w:color="auto" w:fill="auto"/>
            <w:vAlign w:val="center"/>
          </w:tcPr>
          <w:p w14:paraId="02BA588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76</w:t>
            </w:r>
          </w:p>
        </w:tc>
        <w:tc>
          <w:tcPr>
            <w:tcW w:w="906" w:type="dxa"/>
            <w:shd w:val="clear" w:color="auto" w:fill="auto"/>
            <w:vAlign w:val="center"/>
          </w:tcPr>
          <w:p w14:paraId="1B30D28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3C23A18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经营性文化事业单位转制为企业的免征自用房产房产税</w:t>
            </w:r>
          </w:p>
        </w:tc>
        <w:tc>
          <w:tcPr>
            <w:tcW w:w="2334" w:type="dxa"/>
            <w:shd w:val="clear" w:color="auto" w:fill="auto"/>
            <w:vAlign w:val="center"/>
          </w:tcPr>
          <w:p w14:paraId="16FDF50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 中央宣传部关于延续实施文化体制改革中经营性文化事业单位转制为企业有关税收政策的公告》（财政部 税务总局 中央宣传部公告2023年第71号）</w:t>
            </w:r>
          </w:p>
        </w:tc>
        <w:tc>
          <w:tcPr>
            <w:tcW w:w="770" w:type="dxa"/>
            <w:shd w:val="clear" w:color="auto" w:fill="auto"/>
            <w:vAlign w:val="center"/>
          </w:tcPr>
          <w:p w14:paraId="04978BE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14E33BB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1DF62E5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6FBCBFF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01B8228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052728B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30D034D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734C94A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43C9F1C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5D2C6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154" w:hRule="atLeast"/>
          <w:jc w:val="center"/>
        </w:trPr>
        <w:tc>
          <w:tcPr>
            <w:tcW w:w="500" w:type="dxa"/>
            <w:shd w:val="clear" w:color="auto" w:fill="auto"/>
            <w:vAlign w:val="center"/>
          </w:tcPr>
          <w:p w14:paraId="6BD3F1D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77</w:t>
            </w:r>
          </w:p>
        </w:tc>
        <w:tc>
          <w:tcPr>
            <w:tcW w:w="906" w:type="dxa"/>
            <w:shd w:val="clear" w:color="auto" w:fill="auto"/>
            <w:vAlign w:val="center"/>
          </w:tcPr>
          <w:p w14:paraId="6CB5F7E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481642C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经营性文化事业单位转制中资产评估增值、资产转让或划转涉及的企业所得税、增值税等享受相应税收优惠</w:t>
            </w:r>
          </w:p>
        </w:tc>
        <w:tc>
          <w:tcPr>
            <w:tcW w:w="2334" w:type="dxa"/>
            <w:shd w:val="clear" w:color="auto" w:fill="auto"/>
            <w:vAlign w:val="center"/>
          </w:tcPr>
          <w:p w14:paraId="6B32C27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 中央宣传部关于延续实施文化体制改革中经营性文化事业单位转制为企业有关税收政策的公告》（财政部 税务总局 中央宣传部公告2023年第71号）</w:t>
            </w:r>
          </w:p>
        </w:tc>
        <w:tc>
          <w:tcPr>
            <w:tcW w:w="770" w:type="dxa"/>
            <w:shd w:val="clear" w:color="auto" w:fill="auto"/>
            <w:vAlign w:val="center"/>
          </w:tcPr>
          <w:p w14:paraId="08492FE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3B28D75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36D7291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50F39F2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3F885CD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44FC1F2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081E803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6C231E9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2B98274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266B1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154" w:hRule="atLeast"/>
          <w:jc w:val="center"/>
        </w:trPr>
        <w:tc>
          <w:tcPr>
            <w:tcW w:w="500" w:type="dxa"/>
            <w:shd w:val="clear" w:color="auto" w:fill="auto"/>
            <w:vAlign w:val="center"/>
          </w:tcPr>
          <w:p w14:paraId="28181C1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78</w:t>
            </w:r>
          </w:p>
        </w:tc>
        <w:tc>
          <w:tcPr>
            <w:tcW w:w="906" w:type="dxa"/>
            <w:shd w:val="clear" w:color="auto" w:fill="auto"/>
            <w:vAlign w:val="center"/>
          </w:tcPr>
          <w:p w14:paraId="42F71D0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1BDBF2F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将经营性资产剥离组建的文化企业，免征所取党报、党刊发行收入和印刷收入增值税</w:t>
            </w:r>
          </w:p>
        </w:tc>
        <w:tc>
          <w:tcPr>
            <w:tcW w:w="2334" w:type="dxa"/>
            <w:shd w:val="clear" w:color="auto" w:fill="auto"/>
            <w:vAlign w:val="center"/>
          </w:tcPr>
          <w:p w14:paraId="490D396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 中央宣传部关于延续实施文化体制改革中经营性文化事业单位转制为企业有关税收政策的公告》（财政部 税务总局 中央宣传部公告2023年第71号）</w:t>
            </w:r>
          </w:p>
        </w:tc>
        <w:tc>
          <w:tcPr>
            <w:tcW w:w="770" w:type="dxa"/>
            <w:shd w:val="clear" w:color="auto" w:fill="auto"/>
            <w:vAlign w:val="center"/>
          </w:tcPr>
          <w:p w14:paraId="7C28D87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58DDDB7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1D052DA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287AFAE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7F25C00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3E4709A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2EB53E2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5BDFD8B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5C3C74B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5901D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00" w:type="dxa"/>
            <w:shd w:val="clear" w:color="auto" w:fill="auto"/>
            <w:vAlign w:val="center"/>
          </w:tcPr>
          <w:p w14:paraId="4913758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79</w:t>
            </w:r>
          </w:p>
        </w:tc>
        <w:tc>
          <w:tcPr>
            <w:tcW w:w="906" w:type="dxa"/>
            <w:shd w:val="clear" w:color="auto" w:fill="auto"/>
            <w:vAlign w:val="center"/>
          </w:tcPr>
          <w:p w14:paraId="265F753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77C9578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接受其他医疗机构委托并提供《全国医疗服务价格项目规范》所列服务的免征增值税政策</w:t>
            </w:r>
          </w:p>
        </w:tc>
        <w:tc>
          <w:tcPr>
            <w:tcW w:w="2334" w:type="dxa"/>
            <w:shd w:val="clear" w:color="auto" w:fill="auto"/>
            <w:vAlign w:val="center"/>
          </w:tcPr>
          <w:p w14:paraId="2E66E44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税务总局关于延续实施医疗服务免征增值税等政策的公告》（财政部 税务总局公告2023年第68号）</w:t>
            </w:r>
          </w:p>
        </w:tc>
        <w:tc>
          <w:tcPr>
            <w:tcW w:w="770" w:type="dxa"/>
            <w:shd w:val="clear" w:color="auto" w:fill="auto"/>
            <w:vAlign w:val="center"/>
          </w:tcPr>
          <w:p w14:paraId="47ECA3C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507FFF5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21AD19C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6B9438D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14BD668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2803150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企业、个体工商户</w:t>
            </w:r>
          </w:p>
        </w:tc>
        <w:tc>
          <w:tcPr>
            <w:tcW w:w="705" w:type="dxa"/>
            <w:shd w:val="clear" w:color="auto" w:fill="auto"/>
            <w:vAlign w:val="center"/>
          </w:tcPr>
          <w:p w14:paraId="2D9097D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378667D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37CF6BC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28CC9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00" w:type="dxa"/>
            <w:shd w:val="clear" w:color="auto" w:fill="auto"/>
            <w:vAlign w:val="center"/>
          </w:tcPr>
          <w:p w14:paraId="482A6AC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80</w:t>
            </w:r>
          </w:p>
        </w:tc>
        <w:tc>
          <w:tcPr>
            <w:tcW w:w="906" w:type="dxa"/>
            <w:shd w:val="clear" w:color="auto" w:fill="auto"/>
            <w:vAlign w:val="center"/>
          </w:tcPr>
          <w:p w14:paraId="4528A3A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48E5E60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对企业集团内单位（含企业集团）之间的资金无偿借贷行为，免征增值税</w:t>
            </w:r>
          </w:p>
        </w:tc>
        <w:tc>
          <w:tcPr>
            <w:tcW w:w="2334" w:type="dxa"/>
            <w:shd w:val="clear" w:color="auto" w:fill="auto"/>
            <w:vAlign w:val="center"/>
          </w:tcPr>
          <w:p w14:paraId="30BC200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税务总局关于延续实施医疗服务免征增值税等政策的公告》（财政部 税务总局公告2023年第68号）</w:t>
            </w:r>
          </w:p>
        </w:tc>
        <w:tc>
          <w:tcPr>
            <w:tcW w:w="770" w:type="dxa"/>
            <w:shd w:val="clear" w:color="auto" w:fill="auto"/>
            <w:vAlign w:val="center"/>
          </w:tcPr>
          <w:p w14:paraId="7D74AAB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515EF8A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0E4947B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7325D15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3024727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6FFE282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2B18ED1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7E99454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734DB24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1513E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00" w:type="dxa"/>
            <w:shd w:val="clear" w:color="auto" w:fill="auto"/>
            <w:vAlign w:val="center"/>
          </w:tcPr>
          <w:p w14:paraId="2403864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81</w:t>
            </w:r>
          </w:p>
        </w:tc>
        <w:tc>
          <w:tcPr>
            <w:tcW w:w="906" w:type="dxa"/>
            <w:shd w:val="clear" w:color="auto" w:fill="auto"/>
            <w:vAlign w:val="center"/>
          </w:tcPr>
          <w:p w14:paraId="64E2BE5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26913A1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免征生产和装配伤残人员专门用品企业企业所得税</w:t>
            </w:r>
          </w:p>
        </w:tc>
        <w:tc>
          <w:tcPr>
            <w:tcW w:w="2334" w:type="dxa"/>
            <w:shd w:val="clear" w:color="auto" w:fill="auto"/>
            <w:vAlign w:val="center"/>
          </w:tcPr>
          <w:p w14:paraId="4E2C921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 民政部关于生产和装配伤残人员专门用品企业免征企业所得税的公告》（财政部 税务总局 民政部公告2023年第57号）</w:t>
            </w:r>
          </w:p>
        </w:tc>
        <w:tc>
          <w:tcPr>
            <w:tcW w:w="770" w:type="dxa"/>
            <w:shd w:val="clear" w:color="auto" w:fill="auto"/>
            <w:vAlign w:val="center"/>
          </w:tcPr>
          <w:p w14:paraId="1363AD0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05A0340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07A3018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1BAF4A8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5749436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0B9EDBE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75B629E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5A0E459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5B79005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50111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00" w:type="dxa"/>
            <w:shd w:val="clear" w:color="auto" w:fill="auto"/>
            <w:vAlign w:val="center"/>
          </w:tcPr>
          <w:p w14:paraId="503424E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82</w:t>
            </w:r>
          </w:p>
        </w:tc>
        <w:tc>
          <w:tcPr>
            <w:tcW w:w="906" w:type="dxa"/>
            <w:shd w:val="clear" w:color="auto" w:fill="auto"/>
            <w:vAlign w:val="center"/>
          </w:tcPr>
          <w:p w14:paraId="273550E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3D878C9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免征商品储备管理公司及其直属库营业账簿印花税</w:t>
            </w:r>
          </w:p>
        </w:tc>
        <w:tc>
          <w:tcPr>
            <w:tcW w:w="2334" w:type="dxa"/>
            <w:shd w:val="clear" w:color="auto" w:fill="auto"/>
            <w:vAlign w:val="center"/>
          </w:tcPr>
          <w:p w14:paraId="0EE8350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税务总局关于继续实施部分国家商品储备税收优惠政策的公告》（财政部 税务总局公告2023年第48号）</w:t>
            </w:r>
          </w:p>
        </w:tc>
        <w:tc>
          <w:tcPr>
            <w:tcW w:w="770" w:type="dxa"/>
            <w:shd w:val="clear" w:color="auto" w:fill="auto"/>
            <w:vAlign w:val="center"/>
          </w:tcPr>
          <w:p w14:paraId="78E892F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782EB0D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2E1D561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69D688E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4A60682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32017C1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1D09E7F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6A67CD2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7BBA7CD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27965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00" w:type="dxa"/>
            <w:shd w:val="clear" w:color="auto" w:fill="auto"/>
            <w:vAlign w:val="center"/>
          </w:tcPr>
          <w:p w14:paraId="1F42A0B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83</w:t>
            </w:r>
          </w:p>
        </w:tc>
        <w:tc>
          <w:tcPr>
            <w:tcW w:w="906" w:type="dxa"/>
            <w:shd w:val="clear" w:color="auto" w:fill="auto"/>
            <w:vAlign w:val="center"/>
          </w:tcPr>
          <w:p w14:paraId="7C87432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1165720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免征企事业单位、社会团体以及其他组织转让旧房作为公租房房源土地增值税</w:t>
            </w:r>
          </w:p>
        </w:tc>
        <w:tc>
          <w:tcPr>
            <w:tcW w:w="2334" w:type="dxa"/>
            <w:shd w:val="clear" w:color="auto" w:fill="auto"/>
            <w:vAlign w:val="center"/>
          </w:tcPr>
          <w:p w14:paraId="05A9ABD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税务总局关于继续实施公共租赁住房税收优惠政策的公告》（财政部 税务总局公告2023年第33号）</w:t>
            </w:r>
          </w:p>
        </w:tc>
        <w:tc>
          <w:tcPr>
            <w:tcW w:w="770" w:type="dxa"/>
            <w:shd w:val="clear" w:color="auto" w:fill="auto"/>
            <w:vAlign w:val="center"/>
          </w:tcPr>
          <w:p w14:paraId="15651D0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7303148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286A87A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627AC02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044162A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05DF0EE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企业、社会团体以及其他组织</w:t>
            </w:r>
          </w:p>
        </w:tc>
        <w:tc>
          <w:tcPr>
            <w:tcW w:w="705" w:type="dxa"/>
            <w:shd w:val="clear" w:color="auto" w:fill="auto"/>
            <w:vAlign w:val="center"/>
          </w:tcPr>
          <w:p w14:paraId="74E086B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7901679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0D89BC6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52547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jc w:val="center"/>
        </w:trPr>
        <w:tc>
          <w:tcPr>
            <w:tcW w:w="500" w:type="dxa"/>
            <w:shd w:val="clear" w:color="auto" w:fill="auto"/>
            <w:vAlign w:val="center"/>
          </w:tcPr>
          <w:p w14:paraId="19EFFDA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auto"/>
                <w:kern w:val="0"/>
                <w:sz w:val="20"/>
                <w:szCs w:val="20"/>
                <w:u w:val="none"/>
                <w:lang w:val="en-US" w:eastAsia="zh-CN" w:bidi="ar"/>
              </w:rPr>
              <w:t>84</w:t>
            </w:r>
          </w:p>
        </w:tc>
        <w:tc>
          <w:tcPr>
            <w:tcW w:w="906" w:type="dxa"/>
            <w:shd w:val="clear" w:color="auto" w:fill="auto"/>
            <w:vAlign w:val="center"/>
          </w:tcPr>
          <w:p w14:paraId="3448946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48CF648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免征商品储备管理公司及其直属库自用房产税、城镇土地使用税</w:t>
            </w:r>
          </w:p>
        </w:tc>
        <w:tc>
          <w:tcPr>
            <w:tcW w:w="2334" w:type="dxa"/>
            <w:shd w:val="clear" w:color="auto" w:fill="auto"/>
            <w:vAlign w:val="center"/>
          </w:tcPr>
          <w:p w14:paraId="06E058F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税务总局关于继续实施部分国家商品储备税收优惠政策的公告》（财政部 税务总局公告2023年第48号）</w:t>
            </w:r>
          </w:p>
        </w:tc>
        <w:tc>
          <w:tcPr>
            <w:tcW w:w="770" w:type="dxa"/>
            <w:shd w:val="clear" w:color="auto" w:fill="auto"/>
            <w:vAlign w:val="center"/>
          </w:tcPr>
          <w:p w14:paraId="1F86B43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5C17FFD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0E90D52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1AD8098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1B9C09F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4636EA8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25F0FB7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4F0A7C8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4326E2D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5BFF4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jc w:val="center"/>
        </w:trPr>
        <w:tc>
          <w:tcPr>
            <w:tcW w:w="500" w:type="dxa"/>
            <w:shd w:val="clear" w:color="auto" w:fill="auto"/>
            <w:vAlign w:val="center"/>
          </w:tcPr>
          <w:p w14:paraId="7D2A0B9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85</w:t>
            </w:r>
          </w:p>
        </w:tc>
        <w:tc>
          <w:tcPr>
            <w:tcW w:w="906" w:type="dxa"/>
            <w:shd w:val="clear" w:color="auto" w:fill="auto"/>
            <w:vAlign w:val="center"/>
          </w:tcPr>
          <w:p w14:paraId="44BBA4F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37299EE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企事业单位、社会团体以及其他组织捐赠住房为公租房，减征公益性捐赠支出应纳税额</w:t>
            </w:r>
          </w:p>
        </w:tc>
        <w:tc>
          <w:tcPr>
            <w:tcW w:w="2334" w:type="dxa"/>
            <w:shd w:val="clear" w:color="auto" w:fill="auto"/>
            <w:vAlign w:val="center"/>
          </w:tcPr>
          <w:p w14:paraId="460E52B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税务总局关于继续实施公共租赁住房税收优惠政策的公告》（财政部 税务总局公告2023年第33号）</w:t>
            </w:r>
          </w:p>
        </w:tc>
        <w:tc>
          <w:tcPr>
            <w:tcW w:w="770" w:type="dxa"/>
            <w:shd w:val="clear" w:color="auto" w:fill="auto"/>
            <w:vAlign w:val="center"/>
          </w:tcPr>
          <w:p w14:paraId="306FADD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339F204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25F00E0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24F97C9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6AC5A49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6F3E096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4F84DA5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756BBCE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182490F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031FE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jc w:val="center"/>
        </w:trPr>
        <w:tc>
          <w:tcPr>
            <w:tcW w:w="500" w:type="dxa"/>
            <w:shd w:val="clear" w:color="auto" w:fill="auto"/>
            <w:vAlign w:val="center"/>
          </w:tcPr>
          <w:p w14:paraId="6717AB8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86</w:t>
            </w:r>
          </w:p>
        </w:tc>
        <w:tc>
          <w:tcPr>
            <w:tcW w:w="906" w:type="dxa"/>
            <w:shd w:val="clear" w:color="auto" w:fill="auto"/>
            <w:vAlign w:val="center"/>
          </w:tcPr>
          <w:p w14:paraId="79CEF05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124333A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免征经营公租房所取得的租金收入增值税</w:t>
            </w:r>
          </w:p>
        </w:tc>
        <w:tc>
          <w:tcPr>
            <w:tcW w:w="2334" w:type="dxa"/>
            <w:shd w:val="clear" w:color="auto" w:fill="auto"/>
            <w:vAlign w:val="center"/>
          </w:tcPr>
          <w:p w14:paraId="21BF3D8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税务总局关于继续实施公共租赁住房税收优惠政策的公告》（财政部 税务总局公告2023年第33号）</w:t>
            </w:r>
          </w:p>
        </w:tc>
        <w:tc>
          <w:tcPr>
            <w:tcW w:w="770" w:type="dxa"/>
            <w:shd w:val="clear" w:color="auto" w:fill="auto"/>
            <w:vAlign w:val="center"/>
          </w:tcPr>
          <w:p w14:paraId="03C305D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12A00D7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79F4B29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0FDFD50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2B28450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1E45AFA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企业、个体工商户</w:t>
            </w:r>
          </w:p>
        </w:tc>
        <w:tc>
          <w:tcPr>
            <w:tcW w:w="705" w:type="dxa"/>
            <w:shd w:val="clear" w:color="auto" w:fill="auto"/>
            <w:vAlign w:val="center"/>
          </w:tcPr>
          <w:p w14:paraId="2DC12B8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2CF1D31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0383F02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1FF12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jc w:val="center"/>
        </w:trPr>
        <w:tc>
          <w:tcPr>
            <w:tcW w:w="500" w:type="dxa"/>
            <w:shd w:val="clear" w:color="auto" w:fill="auto"/>
            <w:vAlign w:val="center"/>
          </w:tcPr>
          <w:p w14:paraId="66D6E13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87</w:t>
            </w:r>
          </w:p>
        </w:tc>
        <w:tc>
          <w:tcPr>
            <w:tcW w:w="906" w:type="dxa"/>
            <w:shd w:val="clear" w:color="auto" w:fill="auto"/>
            <w:vAlign w:val="center"/>
          </w:tcPr>
          <w:p w14:paraId="76F60D6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0B25612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免征用于经营农产品的房产、土地的房产税和城镇土地使用税</w:t>
            </w:r>
          </w:p>
        </w:tc>
        <w:tc>
          <w:tcPr>
            <w:tcW w:w="2334" w:type="dxa"/>
            <w:shd w:val="clear" w:color="auto" w:fill="auto"/>
            <w:vAlign w:val="center"/>
          </w:tcPr>
          <w:p w14:paraId="57B2B5F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税务总局关于继续实施农产品批发市场和农贸市场房产税、城镇土地使用税优惠政策的公告》（财政部 税务总局公告2023年第50号）</w:t>
            </w:r>
          </w:p>
        </w:tc>
        <w:tc>
          <w:tcPr>
            <w:tcW w:w="770" w:type="dxa"/>
            <w:shd w:val="clear" w:color="auto" w:fill="auto"/>
            <w:vAlign w:val="center"/>
          </w:tcPr>
          <w:p w14:paraId="30A5F91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0899BB9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6CF7C4C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76B8FE5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31F7051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0099FE3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企业、个体工商户</w:t>
            </w:r>
          </w:p>
        </w:tc>
        <w:tc>
          <w:tcPr>
            <w:tcW w:w="705" w:type="dxa"/>
            <w:shd w:val="clear" w:color="auto" w:fill="auto"/>
            <w:vAlign w:val="center"/>
          </w:tcPr>
          <w:p w14:paraId="63E13B7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0C65787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4256B1B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05BC1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jc w:val="center"/>
        </w:trPr>
        <w:tc>
          <w:tcPr>
            <w:tcW w:w="500" w:type="dxa"/>
            <w:shd w:val="clear" w:color="auto" w:fill="auto"/>
            <w:vAlign w:val="center"/>
          </w:tcPr>
          <w:p w14:paraId="3D10C0F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88</w:t>
            </w:r>
          </w:p>
        </w:tc>
        <w:tc>
          <w:tcPr>
            <w:tcW w:w="906" w:type="dxa"/>
            <w:shd w:val="clear" w:color="auto" w:fill="auto"/>
            <w:vAlign w:val="center"/>
          </w:tcPr>
          <w:p w14:paraId="15F1595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3B9DAD1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从事大型民用客机发动机、中大功率民用涡轴涡桨发动机研制项目税收优惠</w:t>
            </w:r>
          </w:p>
        </w:tc>
        <w:tc>
          <w:tcPr>
            <w:tcW w:w="2334" w:type="dxa"/>
            <w:shd w:val="clear" w:color="auto" w:fill="auto"/>
            <w:vAlign w:val="center"/>
          </w:tcPr>
          <w:p w14:paraId="1BEEBBB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税务总局关于民用航空发动机和民用飞机税收政策的公告》（财政部 税务总局公告2023年第27号）</w:t>
            </w:r>
          </w:p>
        </w:tc>
        <w:tc>
          <w:tcPr>
            <w:tcW w:w="770" w:type="dxa"/>
            <w:shd w:val="clear" w:color="auto" w:fill="auto"/>
            <w:vAlign w:val="center"/>
          </w:tcPr>
          <w:p w14:paraId="610AC87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21C24D7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607AA50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149A243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72B122A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7D89DDE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49844E2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7E29C82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4B7E18D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236E3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jc w:val="center"/>
        </w:trPr>
        <w:tc>
          <w:tcPr>
            <w:tcW w:w="500" w:type="dxa"/>
            <w:shd w:val="clear" w:color="auto" w:fill="auto"/>
            <w:vAlign w:val="center"/>
          </w:tcPr>
          <w:p w14:paraId="430D5B5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89</w:t>
            </w:r>
          </w:p>
        </w:tc>
        <w:tc>
          <w:tcPr>
            <w:tcW w:w="906" w:type="dxa"/>
            <w:shd w:val="clear" w:color="auto" w:fill="auto"/>
            <w:vAlign w:val="center"/>
          </w:tcPr>
          <w:p w14:paraId="12AD0C2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01D1C07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减征生产销售新支线飞机和空载重量大于25吨的民用喷气式飞机增值税</w:t>
            </w:r>
          </w:p>
        </w:tc>
        <w:tc>
          <w:tcPr>
            <w:tcW w:w="2334" w:type="dxa"/>
            <w:shd w:val="clear" w:color="auto" w:fill="auto"/>
            <w:vAlign w:val="center"/>
          </w:tcPr>
          <w:p w14:paraId="4794C07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税务总局关于民用航空发动机和民用飞机税收政策的公告》（财政部 税务总局公告2023年第27号）</w:t>
            </w:r>
          </w:p>
        </w:tc>
        <w:tc>
          <w:tcPr>
            <w:tcW w:w="770" w:type="dxa"/>
            <w:shd w:val="clear" w:color="auto" w:fill="auto"/>
            <w:vAlign w:val="center"/>
          </w:tcPr>
          <w:p w14:paraId="1C4607D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6194CC5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7AE2AEF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594C061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02396F8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2D2B9BE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2BB1797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5B790F5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2F4CE4A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6F51A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jc w:val="center"/>
        </w:trPr>
        <w:tc>
          <w:tcPr>
            <w:tcW w:w="500" w:type="dxa"/>
            <w:shd w:val="clear" w:color="auto" w:fill="auto"/>
            <w:vAlign w:val="center"/>
          </w:tcPr>
          <w:p w14:paraId="1CDD9F8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90</w:t>
            </w:r>
          </w:p>
        </w:tc>
        <w:tc>
          <w:tcPr>
            <w:tcW w:w="906" w:type="dxa"/>
            <w:shd w:val="clear" w:color="auto" w:fill="auto"/>
            <w:vAlign w:val="center"/>
          </w:tcPr>
          <w:p w14:paraId="4D0F30B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57DAC9D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从事空载重量大于45吨的民用客机研制项目税收优惠</w:t>
            </w:r>
          </w:p>
        </w:tc>
        <w:tc>
          <w:tcPr>
            <w:tcW w:w="2334" w:type="dxa"/>
            <w:shd w:val="clear" w:color="auto" w:fill="auto"/>
            <w:vAlign w:val="center"/>
          </w:tcPr>
          <w:p w14:paraId="3334DF2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税务总局关于民用航空发动机和民用飞机税收政策的公告》（财政部 税务总局公告2023年第27号）</w:t>
            </w:r>
          </w:p>
        </w:tc>
        <w:tc>
          <w:tcPr>
            <w:tcW w:w="770" w:type="dxa"/>
            <w:shd w:val="clear" w:color="auto" w:fill="auto"/>
            <w:vAlign w:val="center"/>
          </w:tcPr>
          <w:p w14:paraId="79DD5CF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5DC6A10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218BFFF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512F1BF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1B6061F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3C4CBD3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61DA0B7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2E8DC56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2BE65B6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10999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jc w:val="center"/>
        </w:trPr>
        <w:tc>
          <w:tcPr>
            <w:tcW w:w="500" w:type="dxa"/>
            <w:shd w:val="clear" w:color="auto" w:fill="auto"/>
            <w:vAlign w:val="center"/>
          </w:tcPr>
          <w:p w14:paraId="4837C86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91</w:t>
            </w:r>
          </w:p>
        </w:tc>
        <w:tc>
          <w:tcPr>
            <w:tcW w:w="906" w:type="dxa"/>
            <w:shd w:val="clear" w:color="auto" w:fill="auto"/>
            <w:vAlign w:val="center"/>
          </w:tcPr>
          <w:p w14:paraId="0753C81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1C0CE47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免征建设饮水工程承受土地使用权契税</w:t>
            </w:r>
          </w:p>
        </w:tc>
        <w:tc>
          <w:tcPr>
            <w:tcW w:w="2334" w:type="dxa"/>
            <w:shd w:val="clear" w:color="auto" w:fill="auto"/>
            <w:vAlign w:val="center"/>
          </w:tcPr>
          <w:p w14:paraId="74E2755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税务总局关于继续实施农村饮水安全工程税收优惠政策的公告》（财政部 税务总局公告2023年第58号）</w:t>
            </w:r>
          </w:p>
        </w:tc>
        <w:tc>
          <w:tcPr>
            <w:tcW w:w="770" w:type="dxa"/>
            <w:shd w:val="clear" w:color="auto" w:fill="auto"/>
            <w:vAlign w:val="center"/>
          </w:tcPr>
          <w:p w14:paraId="11BADD4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3295BD4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7AAFC6C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30178C9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3E445F3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54E4F67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7C2FEB3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3C104DB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36D0410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1BBF3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33" w:hRule="atLeast"/>
          <w:jc w:val="center"/>
        </w:trPr>
        <w:tc>
          <w:tcPr>
            <w:tcW w:w="500" w:type="dxa"/>
            <w:shd w:val="clear" w:color="auto" w:fill="auto"/>
            <w:vAlign w:val="center"/>
          </w:tcPr>
          <w:p w14:paraId="3313CAA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92</w:t>
            </w:r>
          </w:p>
        </w:tc>
        <w:tc>
          <w:tcPr>
            <w:tcW w:w="906" w:type="dxa"/>
            <w:shd w:val="clear" w:color="auto" w:fill="auto"/>
            <w:vAlign w:val="center"/>
          </w:tcPr>
          <w:p w14:paraId="2D58D68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2FF2AD8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免征建设饮水工程建设工程合同印花税</w:t>
            </w:r>
          </w:p>
        </w:tc>
        <w:tc>
          <w:tcPr>
            <w:tcW w:w="2334" w:type="dxa"/>
            <w:shd w:val="clear" w:color="auto" w:fill="auto"/>
            <w:vAlign w:val="center"/>
          </w:tcPr>
          <w:p w14:paraId="5124987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税务总局关于继续实施农村饮水安全工程税收优惠政策的公告》（财政部 税务总局公告2023年第58号）</w:t>
            </w:r>
          </w:p>
        </w:tc>
        <w:tc>
          <w:tcPr>
            <w:tcW w:w="770" w:type="dxa"/>
            <w:shd w:val="clear" w:color="auto" w:fill="auto"/>
            <w:vAlign w:val="center"/>
          </w:tcPr>
          <w:p w14:paraId="2AE3B22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2A58151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29ABF30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043AB47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75D90C0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751A525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55DFF23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33BDC6A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1C0FFAF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59C45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jc w:val="center"/>
        </w:trPr>
        <w:tc>
          <w:tcPr>
            <w:tcW w:w="500" w:type="dxa"/>
            <w:shd w:val="clear" w:color="auto" w:fill="auto"/>
            <w:vAlign w:val="center"/>
          </w:tcPr>
          <w:p w14:paraId="239E06B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93</w:t>
            </w:r>
          </w:p>
        </w:tc>
        <w:tc>
          <w:tcPr>
            <w:tcW w:w="906" w:type="dxa"/>
            <w:shd w:val="clear" w:color="auto" w:fill="auto"/>
            <w:vAlign w:val="center"/>
          </w:tcPr>
          <w:p w14:paraId="6B586BA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4469605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个体工商户减半征收个人所得税</w:t>
            </w:r>
          </w:p>
        </w:tc>
        <w:tc>
          <w:tcPr>
            <w:tcW w:w="2334" w:type="dxa"/>
            <w:shd w:val="clear" w:color="auto" w:fill="auto"/>
            <w:vAlign w:val="center"/>
          </w:tcPr>
          <w:p w14:paraId="4480887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国家税务总局关于进一步支持小微企业和个体工商户发展有关税费政策的公告》（财政部 税务总局公告2023年第12号）</w:t>
            </w:r>
          </w:p>
          <w:p w14:paraId="6E42ABB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《国家税务总局关于进一步落实支持个体工商户发展个人所得税优惠政策有关事项的公告》（国家税务总局公告2023年第12号）</w:t>
            </w:r>
          </w:p>
        </w:tc>
        <w:tc>
          <w:tcPr>
            <w:tcW w:w="770" w:type="dxa"/>
            <w:shd w:val="clear" w:color="auto" w:fill="auto"/>
            <w:vAlign w:val="center"/>
          </w:tcPr>
          <w:p w14:paraId="27E616E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34EAF3A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35385D1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5CEEF59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1D7C05A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28763A3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个体工商户</w:t>
            </w:r>
          </w:p>
        </w:tc>
        <w:tc>
          <w:tcPr>
            <w:tcW w:w="705" w:type="dxa"/>
            <w:shd w:val="clear" w:color="auto" w:fill="auto"/>
            <w:vAlign w:val="center"/>
          </w:tcPr>
          <w:p w14:paraId="1DAB95B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56BD4AE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05603F8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72FD2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jc w:val="center"/>
        </w:trPr>
        <w:tc>
          <w:tcPr>
            <w:tcW w:w="500" w:type="dxa"/>
            <w:shd w:val="clear" w:color="auto" w:fill="auto"/>
            <w:vAlign w:val="center"/>
          </w:tcPr>
          <w:p w14:paraId="63EDF43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94</w:t>
            </w:r>
          </w:p>
        </w:tc>
        <w:tc>
          <w:tcPr>
            <w:tcW w:w="906" w:type="dxa"/>
            <w:shd w:val="clear" w:color="auto" w:fill="auto"/>
            <w:vAlign w:val="center"/>
          </w:tcPr>
          <w:p w14:paraId="4956695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61758D5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免征饮水工程运营管理单位自用的生产、办公用房产、土地的房产税、城镇土地使用税</w:t>
            </w:r>
          </w:p>
        </w:tc>
        <w:tc>
          <w:tcPr>
            <w:tcW w:w="2334" w:type="dxa"/>
            <w:shd w:val="clear" w:color="auto" w:fill="auto"/>
            <w:vAlign w:val="center"/>
          </w:tcPr>
          <w:p w14:paraId="6DB5E97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税务总局关于继续实施农村饮水安全工程税收优惠政策的公告》（财政部 税务总局公告2023年第58号）</w:t>
            </w:r>
          </w:p>
        </w:tc>
        <w:tc>
          <w:tcPr>
            <w:tcW w:w="770" w:type="dxa"/>
            <w:shd w:val="clear" w:color="auto" w:fill="auto"/>
            <w:vAlign w:val="center"/>
          </w:tcPr>
          <w:p w14:paraId="7E10FE0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64EAA08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4545B38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7BD32A8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01289C2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650842B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3C726E1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488F82C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596DC60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25CA4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jc w:val="center"/>
        </w:trPr>
        <w:tc>
          <w:tcPr>
            <w:tcW w:w="500" w:type="dxa"/>
            <w:shd w:val="clear" w:color="auto" w:fill="auto"/>
            <w:vAlign w:val="center"/>
          </w:tcPr>
          <w:p w14:paraId="2BC607B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95</w:t>
            </w:r>
          </w:p>
        </w:tc>
        <w:tc>
          <w:tcPr>
            <w:tcW w:w="906" w:type="dxa"/>
            <w:shd w:val="clear" w:color="auto" w:fill="auto"/>
            <w:vAlign w:val="center"/>
          </w:tcPr>
          <w:p w14:paraId="637F54C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1BD0596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免征饮水工程运营管理单位向农村居民提供生活用水取得的自来水销售收入增值税</w:t>
            </w:r>
          </w:p>
        </w:tc>
        <w:tc>
          <w:tcPr>
            <w:tcW w:w="2334" w:type="dxa"/>
            <w:shd w:val="clear" w:color="auto" w:fill="auto"/>
            <w:vAlign w:val="center"/>
          </w:tcPr>
          <w:p w14:paraId="63993F7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税务总局关于继续实施农村饮水安全工程税收优惠政策的公告》（财政部 税务总局公告2023年第58号）</w:t>
            </w:r>
          </w:p>
        </w:tc>
        <w:tc>
          <w:tcPr>
            <w:tcW w:w="770" w:type="dxa"/>
            <w:shd w:val="clear" w:color="auto" w:fill="auto"/>
            <w:vAlign w:val="center"/>
          </w:tcPr>
          <w:p w14:paraId="7AD98CE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1E105BA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0D14E83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1B3ADCC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27CA4A6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33ACD70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企业、个体工商户</w:t>
            </w:r>
          </w:p>
        </w:tc>
        <w:tc>
          <w:tcPr>
            <w:tcW w:w="705" w:type="dxa"/>
            <w:shd w:val="clear" w:color="auto" w:fill="auto"/>
            <w:vAlign w:val="center"/>
          </w:tcPr>
          <w:p w14:paraId="3527F6B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1DD861E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444CFCA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38D84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57" w:hRule="atLeast"/>
          <w:jc w:val="center"/>
        </w:trPr>
        <w:tc>
          <w:tcPr>
            <w:tcW w:w="500" w:type="dxa"/>
            <w:shd w:val="clear" w:color="auto" w:fill="auto"/>
            <w:vAlign w:val="center"/>
          </w:tcPr>
          <w:p w14:paraId="1E4364C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96</w:t>
            </w:r>
          </w:p>
        </w:tc>
        <w:tc>
          <w:tcPr>
            <w:tcW w:w="906" w:type="dxa"/>
            <w:shd w:val="clear" w:color="auto" w:fill="auto"/>
            <w:vAlign w:val="center"/>
          </w:tcPr>
          <w:p w14:paraId="1C412E2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12DEA65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小型微利企业减按25%计算应纳税所得额，按20%的税率缴纳企业所得税</w:t>
            </w:r>
          </w:p>
        </w:tc>
        <w:tc>
          <w:tcPr>
            <w:tcW w:w="2334" w:type="dxa"/>
            <w:shd w:val="clear" w:color="auto" w:fill="auto"/>
            <w:vAlign w:val="center"/>
          </w:tcPr>
          <w:p w14:paraId="3A68CC9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国家税务总局关于进一步支持小微企业和个体工商户发展有关税费政策的公告》（财政部 税务总局公告2023年第12号）</w:t>
            </w:r>
          </w:p>
          <w:p w14:paraId="1049120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《国家税务总局关于进一步落实支持个体工商户发展个人所得税优惠政策有关事项的公告》（国家税务总局公告2023年第12号）</w:t>
            </w:r>
          </w:p>
        </w:tc>
        <w:tc>
          <w:tcPr>
            <w:tcW w:w="770" w:type="dxa"/>
            <w:shd w:val="clear" w:color="auto" w:fill="auto"/>
            <w:vAlign w:val="center"/>
          </w:tcPr>
          <w:p w14:paraId="2545E6E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35D1178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497A627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7BDC531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7275D93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10963B2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71437B6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486A6DF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68E31F8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008BF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57" w:hRule="atLeast"/>
          <w:jc w:val="center"/>
        </w:trPr>
        <w:tc>
          <w:tcPr>
            <w:tcW w:w="500" w:type="dxa"/>
            <w:shd w:val="clear" w:color="auto" w:fill="auto"/>
            <w:vAlign w:val="center"/>
          </w:tcPr>
          <w:p w14:paraId="27BCD6E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97</w:t>
            </w:r>
          </w:p>
        </w:tc>
        <w:tc>
          <w:tcPr>
            <w:tcW w:w="906" w:type="dxa"/>
            <w:shd w:val="clear" w:color="auto" w:fill="auto"/>
            <w:vAlign w:val="center"/>
          </w:tcPr>
          <w:p w14:paraId="7B36521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6EB7F8B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免征融资担保及再担保费用收入增值税</w:t>
            </w:r>
          </w:p>
        </w:tc>
        <w:tc>
          <w:tcPr>
            <w:tcW w:w="2334" w:type="dxa"/>
            <w:shd w:val="clear" w:color="auto" w:fill="auto"/>
            <w:vAlign w:val="center"/>
          </w:tcPr>
          <w:p w14:paraId="4A5916C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税务总局关于延续执行农户、小微企业和个体工商户融资担保增值税政策的公告》（财政部 税务总局公告2023年第18号）</w:t>
            </w:r>
          </w:p>
        </w:tc>
        <w:tc>
          <w:tcPr>
            <w:tcW w:w="770" w:type="dxa"/>
            <w:shd w:val="clear" w:color="auto" w:fill="auto"/>
            <w:vAlign w:val="center"/>
          </w:tcPr>
          <w:p w14:paraId="362E4F1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0BE4F68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1E661F8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36C42F2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3B3064F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368B3C7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7D1A09F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4B72776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22BEBB5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047C4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57" w:hRule="atLeast"/>
          <w:jc w:val="center"/>
        </w:trPr>
        <w:tc>
          <w:tcPr>
            <w:tcW w:w="500" w:type="dxa"/>
            <w:shd w:val="clear" w:color="auto" w:fill="auto"/>
            <w:vAlign w:val="center"/>
          </w:tcPr>
          <w:p w14:paraId="1237A92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98</w:t>
            </w:r>
          </w:p>
        </w:tc>
        <w:tc>
          <w:tcPr>
            <w:tcW w:w="906" w:type="dxa"/>
            <w:shd w:val="clear" w:color="auto" w:fill="auto"/>
            <w:vAlign w:val="center"/>
          </w:tcPr>
          <w:p w14:paraId="6B909A1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2CAF363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减征饮水工程新建项目投资经营的所得企业所得税</w:t>
            </w:r>
          </w:p>
        </w:tc>
        <w:tc>
          <w:tcPr>
            <w:tcW w:w="2334" w:type="dxa"/>
            <w:shd w:val="clear" w:color="auto" w:fill="auto"/>
            <w:vAlign w:val="center"/>
          </w:tcPr>
          <w:p w14:paraId="447541D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税务总局关于继续实施农村饮水安全工程税收优惠政策的公告》（财政部 税务总局公告2023年第58号）</w:t>
            </w:r>
          </w:p>
        </w:tc>
        <w:tc>
          <w:tcPr>
            <w:tcW w:w="770" w:type="dxa"/>
            <w:shd w:val="clear" w:color="auto" w:fill="auto"/>
            <w:vAlign w:val="center"/>
          </w:tcPr>
          <w:p w14:paraId="2E6C346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254D501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2D9D4FA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18680D3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3E61992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30C0FD5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2F7044D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42D341C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2CA88AA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6AA7F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57" w:hRule="atLeast"/>
          <w:jc w:val="center"/>
        </w:trPr>
        <w:tc>
          <w:tcPr>
            <w:tcW w:w="500" w:type="dxa"/>
            <w:shd w:val="clear" w:color="auto" w:fill="auto"/>
            <w:vAlign w:val="center"/>
          </w:tcPr>
          <w:p w14:paraId="07853B4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99</w:t>
            </w:r>
          </w:p>
        </w:tc>
        <w:tc>
          <w:tcPr>
            <w:tcW w:w="906" w:type="dxa"/>
            <w:shd w:val="clear" w:color="auto" w:fill="auto"/>
            <w:vAlign w:val="center"/>
          </w:tcPr>
          <w:p w14:paraId="66BC325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6DBEF90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免征在职职工人数在30人（含）以下企业的残疾人就业保障金</w:t>
            </w:r>
          </w:p>
        </w:tc>
        <w:tc>
          <w:tcPr>
            <w:tcW w:w="2334" w:type="dxa"/>
            <w:shd w:val="clear" w:color="auto" w:fill="auto"/>
            <w:vAlign w:val="center"/>
          </w:tcPr>
          <w:p w14:paraId="14C087B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《财政部关于延续实施残疾人就业保障金优惠政策的公告》（财政部公告2023年第8号）</w:t>
            </w:r>
          </w:p>
        </w:tc>
        <w:tc>
          <w:tcPr>
            <w:tcW w:w="770" w:type="dxa"/>
            <w:shd w:val="clear" w:color="auto" w:fill="auto"/>
            <w:vAlign w:val="center"/>
          </w:tcPr>
          <w:p w14:paraId="73361C0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11477C0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7A3791C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4638AED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29B1DFB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6AB0952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34D39D5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0BD6976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17E4F4B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42E38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00" w:type="dxa"/>
            <w:shd w:val="clear" w:color="auto" w:fill="auto"/>
            <w:vAlign w:val="center"/>
          </w:tcPr>
          <w:p w14:paraId="1CA4413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100</w:t>
            </w:r>
          </w:p>
        </w:tc>
        <w:tc>
          <w:tcPr>
            <w:tcW w:w="906" w:type="dxa"/>
            <w:shd w:val="clear" w:color="auto" w:fill="auto"/>
            <w:vAlign w:val="center"/>
          </w:tcPr>
          <w:p w14:paraId="41B21DD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1B04D9D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企业研发费用税前加计扣除优惠政策</w:t>
            </w:r>
          </w:p>
        </w:tc>
        <w:tc>
          <w:tcPr>
            <w:tcW w:w="2334" w:type="dxa"/>
            <w:shd w:val="clear" w:color="auto" w:fill="auto"/>
            <w:vAlign w:val="center"/>
          </w:tcPr>
          <w:p w14:paraId="4BF7655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《国家税务总局 财政部关于优化预缴申报享受研发费用加计扣除政策有关事项的公告》（国家税务总局 财政部2023年第11号）</w:t>
            </w:r>
          </w:p>
          <w:p w14:paraId="4619D96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税务总局关于进一步完善研发费用税前加计扣除政策的公告（财政部 税务总局公告2023年第7号）</w:t>
            </w:r>
          </w:p>
        </w:tc>
        <w:tc>
          <w:tcPr>
            <w:tcW w:w="770" w:type="dxa"/>
            <w:shd w:val="clear" w:color="auto" w:fill="auto"/>
            <w:vAlign w:val="center"/>
          </w:tcPr>
          <w:p w14:paraId="4BCAF47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39A7EFF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7A75CC9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5CEE510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4727EEF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1DC223A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12AD675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09233AC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6BD4E51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sz w:val="20"/>
                <w:szCs w:val="20"/>
                <w:lang w:val="en-US" w:eastAsia="zh-CN"/>
              </w:rPr>
              <w:t>长期</w:t>
            </w:r>
          </w:p>
        </w:tc>
      </w:tr>
      <w:tr w14:paraId="74693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00" w:type="dxa"/>
            <w:shd w:val="clear" w:color="auto" w:fill="auto"/>
            <w:vAlign w:val="center"/>
          </w:tcPr>
          <w:p w14:paraId="4D3F626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101</w:t>
            </w:r>
          </w:p>
        </w:tc>
        <w:tc>
          <w:tcPr>
            <w:tcW w:w="906" w:type="dxa"/>
            <w:shd w:val="clear" w:color="auto" w:fill="auto"/>
            <w:vAlign w:val="center"/>
          </w:tcPr>
          <w:p w14:paraId="37E4B2A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722424E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减征物流企业自有（包括自用和出租）或承租的大宗商品仓储设施用地城镇土地使用税</w:t>
            </w:r>
          </w:p>
        </w:tc>
        <w:tc>
          <w:tcPr>
            <w:tcW w:w="2334" w:type="dxa"/>
            <w:shd w:val="clear" w:color="auto" w:fill="auto"/>
            <w:vAlign w:val="center"/>
          </w:tcPr>
          <w:p w14:paraId="3586E9F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税务总局关于继续实施物流企业大宗商品仓储设施用地城镇土地使用税优惠政策的公告》（财政部 税务总局公告2023年第5号）</w:t>
            </w:r>
          </w:p>
        </w:tc>
        <w:tc>
          <w:tcPr>
            <w:tcW w:w="770" w:type="dxa"/>
            <w:shd w:val="clear" w:color="auto" w:fill="auto"/>
            <w:vAlign w:val="center"/>
          </w:tcPr>
          <w:p w14:paraId="609ED65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0F3A3C8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7495B93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4D3A5FA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0711773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012C50E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6B4C7DF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1C1B8EC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35305DE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60C6E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00" w:type="dxa"/>
            <w:shd w:val="clear" w:color="auto" w:fill="auto"/>
            <w:vAlign w:val="center"/>
          </w:tcPr>
          <w:p w14:paraId="3A3F7DE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102</w:t>
            </w:r>
          </w:p>
        </w:tc>
        <w:tc>
          <w:tcPr>
            <w:tcW w:w="906" w:type="dxa"/>
            <w:shd w:val="clear" w:color="auto" w:fill="auto"/>
            <w:vAlign w:val="center"/>
          </w:tcPr>
          <w:p w14:paraId="30B89CD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01C13B6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提高集成电路和工业母机企业研发费用加计扣除比例</w:t>
            </w:r>
          </w:p>
        </w:tc>
        <w:tc>
          <w:tcPr>
            <w:tcW w:w="2334" w:type="dxa"/>
            <w:shd w:val="clear" w:color="auto" w:fill="auto"/>
            <w:vAlign w:val="center"/>
          </w:tcPr>
          <w:p w14:paraId="0A3DFC0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 国家发展改革委 工业和信息化部关于提高集成电路和工业母机企业研发费用加计扣除比例的公告》（财政部 税务总局 国家发展改革委 工业和信息化部公告2023年第44号）</w:t>
            </w:r>
          </w:p>
        </w:tc>
        <w:tc>
          <w:tcPr>
            <w:tcW w:w="770" w:type="dxa"/>
            <w:shd w:val="clear" w:color="auto" w:fill="auto"/>
            <w:vAlign w:val="center"/>
          </w:tcPr>
          <w:p w14:paraId="2561BE3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0179F37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532678D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5AC3505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2CEAB06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587111B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76B4329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53AC598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67FFF04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3DDDB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00" w:type="dxa"/>
            <w:shd w:val="clear" w:color="auto" w:fill="auto"/>
            <w:vAlign w:val="center"/>
          </w:tcPr>
          <w:p w14:paraId="1F590E1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103</w:t>
            </w:r>
          </w:p>
        </w:tc>
        <w:tc>
          <w:tcPr>
            <w:tcW w:w="906" w:type="dxa"/>
            <w:shd w:val="clear" w:color="auto" w:fill="auto"/>
            <w:vAlign w:val="center"/>
          </w:tcPr>
          <w:p w14:paraId="300631C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53AC46C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延续实施减免二手车经销增值税政策</w:t>
            </w:r>
          </w:p>
        </w:tc>
        <w:tc>
          <w:tcPr>
            <w:tcW w:w="2334" w:type="dxa"/>
            <w:shd w:val="clear" w:color="auto" w:fill="auto"/>
            <w:vAlign w:val="center"/>
          </w:tcPr>
          <w:p w14:paraId="1BFC653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税务总局关于延续实施二手车经销有关增值税政策的公告》（财政部 税务总局公告2023年第63号）</w:t>
            </w:r>
          </w:p>
        </w:tc>
        <w:tc>
          <w:tcPr>
            <w:tcW w:w="770" w:type="dxa"/>
            <w:shd w:val="clear" w:color="auto" w:fill="auto"/>
            <w:vAlign w:val="center"/>
          </w:tcPr>
          <w:p w14:paraId="52890D5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626C085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5DD132D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4ADE9A3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2AEFEE3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08673D7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企业、个体工商户</w:t>
            </w:r>
          </w:p>
        </w:tc>
        <w:tc>
          <w:tcPr>
            <w:tcW w:w="705" w:type="dxa"/>
            <w:shd w:val="clear" w:color="auto" w:fill="auto"/>
            <w:vAlign w:val="center"/>
          </w:tcPr>
          <w:p w14:paraId="3460E97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71D3966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0274B0D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11D02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00" w:type="dxa"/>
            <w:shd w:val="clear" w:color="auto" w:fill="auto"/>
            <w:vAlign w:val="center"/>
          </w:tcPr>
          <w:p w14:paraId="5FA024D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104</w:t>
            </w:r>
          </w:p>
        </w:tc>
        <w:tc>
          <w:tcPr>
            <w:tcW w:w="906" w:type="dxa"/>
            <w:shd w:val="clear" w:color="auto" w:fill="auto"/>
            <w:vAlign w:val="center"/>
          </w:tcPr>
          <w:p w14:paraId="703F2F8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38E8B24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免征中国保险保障基金有限责任公司依法取得收入企业所得税</w:t>
            </w:r>
          </w:p>
        </w:tc>
        <w:tc>
          <w:tcPr>
            <w:tcW w:w="2334" w:type="dxa"/>
            <w:shd w:val="clear" w:color="auto" w:fill="auto"/>
            <w:vAlign w:val="center"/>
          </w:tcPr>
          <w:p w14:paraId="3357EC5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税务总局关于保险保障基金有关税收政策的通知》（财税〔2023〕44号）</w:t>
            </w:r>
          </w:p>
        </w:tc>
        <w:tc>
          <w:tcPr>
            <w:tcW w:w="770" w:type="dxa"/>
            <w:shd w:val="clear" w:color="auto" w:fill="auto"/>
            <w:vAlign w:val="center"/>
          </w:tcPr>
          <w:p w14:paraId="70BE271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740636E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5AE8A86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1A21C70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3DA76AD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28C446C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7B49747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55B63CB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660EED4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0FE32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00" w:type="dxa"/>
            <w:shd w:val="clear" w:color="auto" w:fill="auto"/>
            <w:vAlign w:val="center"/>
          </w:tcPr>
          <w:p w14:paraId="2189440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105</w:t>
            </w:r>
          </w:p>
        </w:tc>
        <w:tc>
          <w:tcPr>
            <w:tcW w:w="906" w:type="dxa"/>
            <w:shd w:val="clear" w:color="auto" w:fill="auto"/>
            <w:vAlign w:val="center"/>
          </w:tcPr>
          <w:p w14:paraId="1CE19C2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54F12CE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免征中国保险保障基金有限责任公司相关应税凭证印花税</w:t>
            </w:r>
          </w:p>
        </w:tc>
        <w:tc>
          <w:tcPr>
            <w:tcW w:w="2334" w:type="dxa"/>
            <w:shd w:val="clear" w:color="auto" w:fill="auto"/>
            <w:vAlign w:val="center"/>
          </w:tcPr>
          <w:p w14:paraId="01F14B8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税务总局关于保险保障基金有关税收政策的通知》（财税〔2023〕44号）</w:t>
            </w:r>
          </w:p>
        </w:tc>
        <w:tc>
          <w:tcPr>
            <w:tcW w:w="770" w:type="dxa"/>
            <w:shd w:val="clear" w:color="auto" w:fill="auto"/>
            <w:vAlign w:val="center"/>
          </w:tcPr>
          <w:p w14:paraId="4934B79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45F2313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07F3600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5388A10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6811184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36AFBBB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7699F78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6B549B5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0257141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19AA0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00" w:type="dxa"/>
            <w:shd w:val="clear" w:color="auto" w:fill="auto"/>
            <w:vAlign w:val="center"/>
          </w:tcPr>
          <w:p w14:paraId="02C4F00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106</w:t>
            </w:r>
          </w:p>
        </w:tc>
        <w:tc>
          <w:tcPr>
            <w:tcW w:w="906" w:type="dxa"/>
            <w:shd w:val="clear" w:color="auto" w:fill="auto"/>
            <w:vAlign w:val="center"/>
          </w:tcPr>
          <w:p w14:paraId="40F637A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0026A6E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免征股份有限公司变更为有限责任公司的契税</w:t>
            </w:r>
          </w:p>
        </w:tc>
        <w:tc>
          <w:tcPr>
            <w:tcW w:w="2334" w:type="dxa"/>
            <w:shd w:val="clear" w:color="auto" w:fill="auto"/>
            <w:vAlign w:val="center"/>
          </w:tcPr>
          <w:p w14:paraId="3CA27CA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税务总局关于继续实施企业、事业单位改制重组有关契税政策的公告》（财政部 税务总局公告2023年第49号）</w:t>
            </w:r>
          </w:p>
        </w:tc>
        <w:tc>
          <w:tcPr>
            <w:tcW w:w="770" w:type="dxa"/>
            <w:shd w:val="clear" w:color="auto" w:fill="auto"/>
            <w:vAlign w:val="center"/>
          </w:tcPr>
          <w:p w14:paraId="11F85DC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1F4511D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297D84B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338F25F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01A36D7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1505B47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符合申报条件的免征契税</w:t>
            </w:r>
          </w:p>
        </w:tc>
        <w:tc>
          <w:tcPr>
            <w:tcW w:w="705" w:type="dxa"/>
            <w:shd w:val="clear" w:color="auto" w:fill="auto"/>
            <w:vAlign w:val="center"/>
          </w:tcPr>
          <w:p w14:paraId="0CB18C0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1E58057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12A4974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3F8B4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00" w:type="dxa"/>
            <w:shd w:val="clear" w:color="auto" w:fill="auto"/>
            <w:vAlign w:val="center"/>
          </w:tcPr>
          <w:p w14:paraId="52A09AD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107</w:t>
            </w:r>
          </w:p>
        </w:tc>
        <w:tc>
          <w:tcPr>
            <w:tcW w:w="906" w:type="dxa"/>
            <w:shd w:val="clear" w:color="auto" w:fill="auto"/>
            <w:vAlign w:val="center"/>
          </w:tcPr>
          <w:p w14:paraId="442F1A5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1AAFC26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事业单位改制为企业的免征契税</w:t>
            </w:r>
          </w:p>
        </w:tc>
        <w:tc>
          <w:tcPr>
            <w:tcW w:w="2334" w:type="dxa"/>
            <w:shd w:val="clear" w:color="auto" w:fill="auto"/>
            <w:vAlign w:val="center"/>
          </w:tcPr>
          <w:p w14:paraId="02BF266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税务总局关于继续实施企业、事业单位改制重组有关契税政策的公告》（财政部 税务总局公告2023年第49号）</w:t>
            </w:r>
          </w:p>
        </w:tc>
        <w:tc>
          <w:tcPr>
            <w:tcW w:w="770" w:type="dxa"/>
            <w:shd w:val="clear" w:color="auto" w:fill="auto"/>
            <w:vAlign w:val="center"/>
          </w:tcPr>
          <w:p w14:paraId="47EA14D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797DC1A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370100A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41BAA8D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73B20B5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07598EA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04CD48B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4F057F0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0C3CB0D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58634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17" w:hRule="atLeast"/>
          <w:jc w:val="center"/>
        </w:trPr>
        <w:tc>
          <w:tcPr>
            <w:tcW w:w="500" w:type="dxa"/>
            <w:shd w:val="clear" w:color="auto" w:fill="auto"/>
            <w:vAlign w:val="center"/>
          </w:tcPr>
          <w:p w14:paraId="78F20CF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108</w:t>
            </w:r>
          </w:p>
        </w:tc>
        <w:tc>
          <w:tcPr>
            <w:tcW w:w="906" w:type="dxa"/>
            <w:shd w:val="clear" w:color="auto" w:fill="auto"/>
            <w:vAlign w:val="center"/>
          </w:tcPr>
          <w:p w14:paraId="0F0EDBF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261CD40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两个或两个以上的公司合并的免征契税</w:t>
            </w:r>
          </w:p>
        </w:tc>
        <w:tc>
          <w:tcPr>
            <w:tcW w:w="2334" w:type="dxa"/>
            <w:shd w:val="clear" w:color="auto" w:fill="auto"/>
            <w:vAlign w:val="center"/>
          </w:tcPr>
          <w:p w14:paraId="432D9B4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税务总局关于继续实施企业、事业单位改制重组有关契税政策的公告》（财政部 税务总局公告2023年第49号）</w:t>
            </w:r>
          </w:p>
        </w:tc>
        <w:tc>
          <w:tcPr>
            <w:tcW w:w="770" w:type="dxa"/>
            <w:shd w:val="clear" w:color="auto" w:fill="auto"/>
            <w:vAlign w:val="center"/>
          </w:tcPr>
          <w:p w14:paraId="5A56547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2749123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2139DA6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175B254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2C27B34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399B1E2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47B4426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2A66FCC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037AC8B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5A698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17" w:hRule="atLeast"/>
          <w:jc w:val="center"/>
        </w:trPr>
        <w:tc>
          <w:tcPr>
            <w:tcW w:w="500" w:type="dxa"/>
            <w:shd w:val="clear" w:color="auto" w:fill="auto"/>
            <w:vAlign w:val="center"/>
          </w:tcPr>
          <w:p w14:paraId="0D2A4B9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109</w:t>
            </w:r>
          </w:p>
        </w:tc>
        <w:tc>
          <w:tcPr>
            <w:tcW w:w="906" w:type="dxa"/>
            <w:shd w:val="clear" w:color="auto" w:fill="auto"/>
            <w:vAlign w:val="center"/>
          </w:tcPr>
          <w:p w14:paraId="1A0E5C8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78DDBB0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公司分立为两个或两个以上的免征契税</w:t>
            </w:r>
          </w:p>
        </w:tc>
        <w:tc>
          <w:tcPr>
            <w:tcW w:w="2334" w:type="dxa"/>
            <w:shd w:val="clear" w:color="auto" w:fill="auto"/>
            <w:vAlign w:val="center"/>
          </w:tcPr>
          <w:p w14:paraId="74044F0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税务总局关于继续实施企业、事业单位改制重组有关契税政策的公告》（财政部 税务总局公告2023年第49号）</w:t>
            </w:r>
          </w:p>
        </w:tc>
        <w:tc>
          <w:tcPr>
            <w:tcW w:w="770" w:type="dxa"/>
            <w:shd w:val="clear" w:color="auto" w:fill="auto"/>
            <w:vAlign w:val="center"/>
          </w:tcPr>
          <w:p w14:paraId="34F7AAF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5CB5F1D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36B5944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36AD219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41ACCEA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221F86E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38D075D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193C29A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71B00AB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01BC2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17" w:hRule="atLeast"/>
          <w:jc w:val="center"/>
        </w:trPr>
        <w:tc>
          <w:tcPr>
            <w:tcW w:w="500" w:type="dxa"/>
            <w:shd w:val="clear" w:color="auto" w:fill="auto"/>
            <w:vAlign w:val="center"/>
          </w:tcPr>
          <w:p w14:paraId="1868F16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110</w:t>
            </w:r>
          </w:p>
        </w:tc>
        <w:tc>
          <w:tcPr>
            <w:tcW w:w="906" w:type="dxa"/>
            <w:shd w:val="clear" w:color="auto" w:fill="auto"/>
            <w:vAlign w:val="center"/>
          </w:tcPr>
          <w:p w14:paraId="72C339E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499A84B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企业实施破产的债权人（包括破产企业职工）、非债权人，减征契税</w:t>
            </w:r>
          </w:p>
        </w:tc>
        <w:tc>
          <w:tcPr>
            <w:tcW w:w="2334" w:type="dxa"/>
            <w:shd w:val="clear" w:color="auto" w:fill="auto"/>
            <w:vAlign w:val="center"/>
          </w:tcPr>
          <w:p w14:paraId="5D5E7C6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税务总局关于继续实施企业、事业单位改制重组有关契税政策的公告》（财政部 税务总局公告2023年第49号）</w:t>
            </w:r>
          </w:p>
        </w:tc>
        <w:tc>
          <w:tcPr>
            <w:tcW w:w="770" w:type="dxa"/>
            <w:shd w:val="clear" w:color="auto" w:fill="auto"/>
            <w:vAlign w:val="center"/>
          </w:tcPr>
          <w:p w14:paraId="5C5589D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57CDDA4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140E592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3DA2C9A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083DD51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3ECDA6B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118A983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76D8514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21626F6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68D5F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17" w:hRule="atLeast"/>
          <w:jc w:val="center"/>
        </w:trPr>
        <w:tc>
          <w:tcPr>
            <w:tcW w:w="500" w:type="dxa"/>
            <w:shd w:val="clear" w:color="auto" w:fill="auto"/>
            <w:vAlign w:val="center"/>
          </w:tcPr>
          <w:p w14:paraId="07BFA96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111</w:t>
            </w:r>
          </w:p>
        </w:tc>
        <w:tc>
          <w:tcPr>
            <w:tcW w:w="906" w:type="dxa"/>
            <w:shd w:val="clear" w:color="auto" w:fill="auto"/>
            <w:vAlign w:val="center"/>
          </w:tcPr>
          <w:p w14:paraId="17D16DE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4D6168D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对承受县级以上人民政府或国有资产管理部门按规定进行行政性调整、划转国有土地、房屋权属的单位，免征契税</w:t>
            </w:r>
          </w:p>
        </w:tc>
        <w:tc>
          <w:tcPr>
            <w:tcW w:w="2334" w:type="dxa"/>
            <w:shd w:val="clear" w:color="auto" w:fill="auto"/>
            <w:vAlign w:val="center"/>
          </w:tcPr>
          <w:p w14:paraId="340784A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税务总局关于继续实施企业、事业单位改制重组有关契税政策的公告》（财政部 税务总局公告2023年第49号）</w:t>
            </w:r>
          </w:p>
        </w:tc>
        <w:tc>
          <w:tcPr>
            <w:tcW w:w="770" w:type="dxa"/>
            <w:shd w:val="clear" w:color="auto" w:fill="auto"/>
            <w:vAlign w:val="center"/>
          </w:tcPr>
          <w:p w14:paraId="68F2BBA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2788A06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48B6E4F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6CF41DB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51ACF9A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0417E98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029DB7B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6B967E1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46DA948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22F38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17" w:hRule="atLeast"/>
          <w:jc w:val="center"/>
        </w:trPr>
        <w:tc>
          <w:tcPr>
            <w:tcW w:w="500" w:type="dxa"/>
            <w:shd w:val="clear" w:color="auto" w:fill="auto"/>
            <w:vAlign w:val="center"/>
          </w:tcPr>
          <w:p w14:paraId="33FF79B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112</w:t>
            </w:r>
          </w:p>
        </w:tc>
        <w:tc>
          <w:tcPr>
            <w:tcW w:w="906" w:type="dxa"/>
            <w:shd w:val="clear" w:color="auto" w:fill="auto"/>
            <w:vAlign w:val="center"/>
          </w:tcPr>
          <w:p w14:paraId="5C7DFEB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733D39A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同一投资主体内部所属企业之间土地、房屋权属的划转，免征契税</w:t>
            </w:r>
          </w:p>
        </w:tc>
        <w:tc>
          <w:tcPr>
            <w:tcW w:w="2334" w:type="dxa"/>
            <w:shd w:val="clear" w:color="auto" w:fill="auto"/>
            <w:vAlign w:val="center"/>
          </w:tcPr>
          <w:p w14:paraId="3292235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税务总局关于继续实施企业、事业单位改制重组有关契税政策的公告》（财政部 税务总局公告2023年第49号）</w:t>
            </w:r>
          </w:p>
        </w:tc>
        <w:tc>
          <w:tcPr>
            <w:tcW w:w="770" w:type="dxa"/>
            <w:shd w:val="clear" w:color="auto" w:fill="auto"/>
            <w:vAlign w:val="center"/>
          </w:tcPr>
          <w:p w14:paraId="6460E75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64D06DF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1D71BED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7D3A34A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38ADBBB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6CF66C4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4744318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5C6727E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654712F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0066F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17" w:hRule="atLeast"/>
          <w:jc w:val="center"/>
        </w:trPr>
        <w:tc>
          <w:tcPr>
            <w:tcW w:w="500" w:type="dxa"/>
            <w:shd w:val="clear" w:color="auto" w:fill="auto"/>
            <w:vAlign w:val="center"/>
          </w:tcPr>
          <w:p w14:paraId="40B60C8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113</w:t>
            </w:r>
          </w:p>
        </w:tc>
        <w:tc>
          <w:tcPr>
            <w:tcW w:w="906" w:type="dxa"/>
            <w:shd w:val="clear" w:color="auto" w:fill="auto"/>
            <w:vAlign w:val="center"/>
          </w:tcPr>
          <w:p w14:paraId="4AA2227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4575A6F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母公司以土地、房屋权属向其全资子公司增资的免征契税</w:t>
            </w:r>
          </w:p>
        </w:tc>
        <w:tc>
          <w:tcPr>
            <w:tcW w:w="2334" w:type="dxa"/>
            <w:shd w:val="clear" w:color="auto" w:fill="auto"/>
            <w:vAlign w:val="center"/>
          </w:tcPr>
          <w:p w14:paraId="132211A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税务总局关于继续实施企业、事业单位改制重组有关契税政策的公告》（财政部 税务总局公告2023年第49号）</w:t>
            </w:r>
          </w:p>
        </w:tc>
        <w:tc>
          <w:tcPr>
            <w:tcW w:w="770" w:type="dxa"/>
            <w:shd w:val="clear" w:color="auto" w:fill="auto"/>
            <w:vAlign w:val="center"/>
          </w:tcPr>
          <w:p w14:paraId="2742207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2BB0F28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4694A1B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3A8FB58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72AAE5F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4D80877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2C858E3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5A24E2C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6F4DA13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08ECE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17" w:hRule="atLeast"/>
          <w:jc w:val="center"/>
        </w:trPr>
        <w:tc>
          <w:tcPr>
            <w:tcW w:w="500" w:type="dxa"/>
            <w:shd w:val="clear" w:color="auto" w:fill="auto"/>
            <w:vAlign w:val="center"/>
          </w:tcPr>
          <w:p w14:paraId="0CF1C9C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114</w:t>
            </w:r>
          </w:p>
        </w:tc>
        <w:tc>
          <w:tcPr>
            <w:tcW w:w="906" w:type="dxa"/>
            <w:shd w:val="clear" w:color="auto" w:fill="auto"/>
            <w:vAlign w:val="center"/>
          </w:tcPr>
          <w:p w14:paraId="27726B0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4496AD9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对国务院批准实施债权转股权的企业免征契税</w:t>
            </w:r>
          </w:p>
        </w:tc>
        <w:tc>
          <w:tcPr>
            <w:tcW w:w="2334" w:type="dxa"/>
            <w:shd w:val="clear" w:color="auto" w:fill="auto"/>
            <w:vAlign w:val="center"/>
          </w:tcPr>
          <w:p w14:paraId="5E212A7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税务总局关于继续实施企业、事业单位改制重组有关契税政策的公告》（财政部 税务总局公告2023年第49号）</w:t>
            </w:r>
          </w:p>
        </w:tc>
        <w:tc>
          <w:tcPr>
            <w:tcW w:w="770" w:type="dxa"/>
            <w:shd w:val="clear" w:color="auto" w:fill="auto"/>
            <w:vAlign w:val="center"/>
          </w:tcPr>
          <w:p w14:paraId="1A187C6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009F2B6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7C78725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2D22D8E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62ADD7E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582316D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1FA134F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6AF1916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1A88DA4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07509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17" w:hRule="atLeast"/>
          <w:jc w:val="center"/>
        </w:trPr>
        <w:tc>
          <w:tcPr>
            <w:tcW w:w="500" w:type="dxa"/>
            <w:shd w:val="clear" w:color="auto" w:fill="auto"/>
            <w:vAlign w:val="center"/>
          </w:tcPr>
          <w:p w14:paraId="6450B02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heme="minorHAnsi" w:hAnsiTheme="minorHAnsi" w:eastAsiaTheme="minorEastAsia" w:cstheme="minorBidi"/>
                <w:kern w:val="2"/>
                <w:sz w:val="21"/>
                <w:szCs w:val="24"/>
                <w:lang w:val="en-US" w:eastAsia="zh-CN" w:bidi="ar-SA"/>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115</w:t>
            </w:r>
          </w:p>
        </w:tc>
        <w:tc>
          <w:tcPr>
            <w:tcW w:w="906" w:type="dxa"/>
            <w:shd w:val="clear" w:color="auto" w:fill="auto"/>
            <w:vAlign w:val="center"/>
          </w:tcPr>
          <w:p w14:paraId="2744503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强化财税支持优惠政策</w:t>
            </w:r>
          </w:p>
        </w:tc>
        <w:tc>
          <w:tcPr>
            <w:tcW w:w="3227" w:type="dxa"/>
            <w:shd w:val="clear" w:color="auto" w:fill="auto"/>
            <w:vAlign w:val="center"/>
          </w:tcPr>
          <w:p w14:paraId="1CC456B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对提供城市电影放映服务的按简易计税办法计算缴纳增值税</w:t>
            </w:r>
          </w:p>
        </w:tc>
        <w:tc>
          <w:tcPr>
            <w:tcW w:w="2334" w:type="dxa"/>
            <w:shd w:val="clear" w:color="auto" w:fill="auto"/>
            <w:vAlign w:val="center"/>
          </w:tcPr>
          <w:p w14:paraId="3506FCE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税务总局关于延续实施支持文化企业发展增值税政策的公告》（财政部 税务总局公告2023年第61号）</w:t>
            </w:r>
          </w:p>
        </w:tc>
        <w:tc>
          <w:tcPr>
            <w:tcW w:w="770" w:type="dxa"/>
            <w:shd w:val="clear" w:color="auto" w:fill="auto"/>
            <w:vAlign w:val="center"/>
          </w:tcPr>
          <w:p w14:paraId="5B8ADA2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4E6948C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051269D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1AEA44C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0BB19DB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1C7FDD2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64784EC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7E39B0C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6E8E83A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29EAE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jc w:val="center"/>
        </w:trPr>
        <w:tc>
          <w:tcPr>
            <w:tcW w:w="500" w:type="dxa"/>
            <w:shd w:val="clear" w:color="auto" w:fill="auto"/>
            <w:vAlign w:val="center"/>
          </w:tcPr>
          <w:p w14:paraId="703E3BE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116</w:t>
            </w:r>
          </w:p>
        </w:tc>
        <w:tc>
          <w:tcPr>
            <w:tcW w:w="906" w:type="dxa"/>
            <w:shd w:val="clear" w:color="auto" w:fill="auto"/>
            <w:vAlign w:val="center"/>
          </w:tcPr>
          <w:p w14:paraId="310BFC6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鼓励金融支持优惠政策</w:t>
            </w:r>
          </w:p>
        </w:tc>
        <w:tc>
          <w:tcPr>
            <w:tcW w:w="3227" w:type="dxa"/>
            <w:shd w:val="clear" w:color="auto" w:fill="auto"/>
            <w:vAlign w:val="center"/>
          </w:tcPr>
          <w:p w14:paraId="26B0CEB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免征金融机构向农户发放小额贷款增值税</w:t>
            </w:r>
          </w:p>
        </w:tc>
        <w:tc>
          <w:tcPr>
            <w:tcW w:w="2334" w:type="dxa"/>
            <w:shd w:val="clear" w:color="auto" w:fill="auto"/>
            <w:vAlign w:val="center"/>
          </w:tcPr>
          <w:p w14:paraId="2CC0456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税务总局关于延续实施金融机构农户贷款利息收入免征增值税政策的公告》（财政部 税务总局公告2023年第67号）</w:t>
            </w:r>
          </w:p>
        </w:tc>
        <w:tc>
          <w:tcPr>
            <w:tcW w:w="770" w:type="dxa"/>
            <w:shd w:val="clear" w:color="auto" w:fill="auto"/>
            <w:vAlign w:val="center"/>
          </w:tcPr>
          <w:p w14:paraId="41803F1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2CA08F3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14787F6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0718283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7B05C8D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181FC8D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6E81632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3B82C6D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27F9245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13D41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jc w:val="center"/>
        </w:trPr>
        <w:tc>
          <w:tcPr>
            <w:tcW w:w="500" w:type="dxa"/>
            <w:shd w:val="clear" w:color="auto" w:fill="auto"/>
            <w:vAlign w:val="center"/>
          </w:tcPr>
          <w:p w14:paraId="512CFC4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117</w:t>
            </w:r>
          </w:p>
        </w:tc>
        <w:tc>
          <w:tcPr>
            <w:tcW w:w="906" w:type="dxa"/>
            <w:shd w:val="clear" w:color="auto" w:fill="auto"/>
            <w:vAlign w:val="center"/>
          </w:tcPr>
          <w:p w14:paraId="3D515A1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鼓励金融支持优惠政策</w:t>
            </w:r>
          </w:p>
        </w:tc>
        <w:tc>
          <w:tcPr>
            <w:tcW w:w="3227" w:type="dxa"/>
            <w:shd w:val="clear" w:color="auto" w:fill="auto"/>
            <w:vAlign w:val="center"/>
          </w:tcPr>
          <w:p w14:paraId="5D73D17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对提供农户贷款、农村企业和农村各类组织贷款的中国邮政储蓄银行减征增值税</w:t>
            </w:r>
          </w:p>
        </w:tc>
        <w:tc>
          <w:tcPr>
            <w:tcW w:w="2334" w:type="dxa"/>
            <w:shd w:val="clear" w:color="auto" w:fill="auto"/>
            <w:vAlign w:val="center"/>
          </w:tcPr>
          <w:p w14:paraId="767DC66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税务总局关于延续实施中国邮政储蓄银行三农金融事业部涉农贷款增值税政策的公告》（财政部 税务总局公告2023年第66号）</w:t>
            </w:r>
          </w:p>
        </w:tc>
        <w:tc>
          <w:tcPr>
            <w:tcW w:w="770" w:type="dxa"/>
            <w:shd w:val="clear" w:color="auto" w:fill="auto"/>
            <w:vAlign w:val="center"/>
          </w:tcPr>
          <w:p w14:paraId="5D57943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16F4A96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5B5FDC9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78B0940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7B6EA4F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7A34059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43D3BC7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3CAF7A1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7F34B51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5CE20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jc w:val="center"/>
        </w:trPr>
        <w:tc>
          <w:tcPr>
            <w:tcW w:w="500" w:type="dxa"/>
            <w:shd w:val="clear" w:color="auto" w:fill="auto"/>
            <w:vAlign w:val="center"/>
          </w:tcPr>
          <w:p w14:paraId="64F8862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118</w:t>
            </w:r>
          </w:p>
        </w:tc>
        <w:tc>
          <w:tcPr>
            <w:tcW w:w="906" w:type="dxa"/>
            <w:shd w:val="clear" w:color="auto" w:fill="auto"/>
            <w:vAlign w:val="center"/>
          </w:tcPr>
          <w:p w14:paraId="45AE223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鼓励金融支持优惠政策</w:t>
            </w:r>
          </w:p>
        </w:tc>
        <w:tc>
          <w:tcPr>
            <w:tcW w:w="3227" w:type="dxa"/>
            <w:shd w:val="clear" w:color="auto" w:fill="auto"/>
            <w:vAlign w:val="center"/>
          </w:tcPr>
          <w:p w14:paraId="418233B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金融机构向农户发放小额贷款所得税优惠</w:t>
            </w:r>
          </w:p>
        </w:tc>
        <w:tc>
          <w:tcPr>
            <w:tcW w:w="2334" w:type="dxa"/>
            <w:shd w:val="clear" w:color="auto" w:fill="auto"/>
            <w:vAlign w:val="center"/>
          </w:tcPr>
          <w:p w14:paraId="5BE00E4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税务总局关于延续实施支持农村金融发展企业所得税政策的公告》（财政部 税务总局公告2023年第55号）</w:t>
            </w:r>
          </w:p>
        </w:tc>
        <w:tc>
          <w:tcPr>
            <w:tcW w:w="770" w:type="dxa"/>
            <w:shd w:val="clear" w:color="auto" w:fill="auto"/>
            <w:vAlign w:val="center"/>
          </w:tcPr>
          <w:p w14:paraId="38D87F6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7F94F81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017D54D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4F7C8AD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2116107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683F445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0980AC3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2B75DC8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1394EDE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1135B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jc w:val="center"/>
        </w:trPr>
        <w:tc>
          <w:tcPr>
            <w:tcW w:w="500" w:type="dxa"/>
            <w:shd w:val="clear" w:color="auto" w:fill="auto"/>
            <w:vAlign w:val="center"/>
          </w:tcPr>
          <w:p w14:paraId="04DAED6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119</w:t>
            </w:r>
          </w:p>
        </w:tc>
        <w:tc>
          <w:tcPr>
            <w:tcW w:w="906" w:type="dxa"/>
            <w:shd w:val="clear" w:color="auto" w:fill="auto"/>
            <w:vAlign w:val="center"/>
          </w:tcPr>
          <w:p w14:paraId="5B6D827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鼓励金融支持优惠政策</w:t>
            </w:r>
          </w:p>
        </w:tc>
        <w:tc>
          <w:tcPr>
            <w:tcW w:w="3227" w:type="dxa"/>
            <w:shd w:val="clear" w:color="auto" w:fill="auto"/>
            <w:vAlign w:val="center"/>
          </w:tcPr>
          <w:p w14:paraId="0DD9191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保险公司为种植业、养殖业提供保险业务所得税优惠</w:t>
            </w:r>
          </w:p>
        </w:tc>
        <w:tc>
          <w:tcPr>
            <w:tcW w:w="2334" w:type="dxa"/>
            <w:shd w:val="clear" w:color="auto" w:fill="auto"/>
            <w:vAlign w:val="center"/>
          </w:tcPr>
          <w:p w14:paraId="24F03B8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税务总局关于延续实施支持农村金融发展企业所得税政策的公告》（财政部 税务总局公告2023年第55号）</w:t>
            </w:r>
          </w:p>
        </w:tc>
        <w:tc>
          <w:tcPr>
            <w:tcW w:w="770" w:type="dxa"/>
            <w:shd w:val="clear" w:color="auto" w:fill="auto"/>
            <w:vAlign w:val="center"/>
          </w:tcPr>
          <w:p w14:paraId="6BD4E5A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0B7255B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0307799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332D89C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5EF0A8D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5AAEE1F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5F71CAA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1FBC361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7FF2889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52B57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jc w:val="center"/>
        </w:trPr>
        <w:tc>
          <w:tcPr>
            <w:tcW w:w="500" w:type="dxa"/>
            <w:shd w:val="clear" w:color="auto" w:fill="auto"/>
            <w:vAlign w:val="center"/>
          </w:tcPr>
          <w:p w14:paraId="14C169F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120</w:t>
            </w:r>
          </w:p>
        </w:tc>
        <w:tc>
          <w:tcPr>
            <w:tcW w:w="906" w:type="dxa"/>
            <w:shd w:val="clear" w:color="auto" w:fill="auto"/>
            <w:vAlign w:val="center"/>
          </w:tcPr>
          <w:p w14:paraId="1679B60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鼓励金融支持优惠政策</w:t>
            </w:r>
          </w:p>
        </w:tc>
        <w:tc>
          <w:tcPr>
            <w:tcW w:w="3227" w:type="dxa"/>
            <w:shd w:val="clear" w:color="auto" w:fill="auto"/>
            <w:vAlign w:val="center"/>
          </w:tcPr>
          <w:p w14:paraId="070420C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免征小额贷款公司发放农户小额贷款增值税</w:t>
            </w:r>
          </w:p>
        </w:tc>
        <w:tc>
          <w:tcPr>
            <w:tcW w:w="2334" w:type="dxa"/>
            <w:shd w:val="clear" w:color="auto" w:fill="auto"/>
            <w:vAlign w:val="center"/>
          </w:tcPr>
          <w:p w14:paraId="7DE2D36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税务总局关于延续实施小额贷款公司有关税收优惠政策的公告》（财政部 税务总局公告2023年第54号）</w:t>
            </w:r>
          </w:p>
        </w:tc>
        <w:tc>
          <w:tcPr>
            <w:tcW w:w="770" w:type="dxa"/>
            <w:shd w:val="clear" w:color="auto" w:fill="auto"/>
            <w:vAlign w:val="center"/>
          </w:tcPr>
          <w:p w14:paraId="4C92233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2377AB6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6934723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07A25F0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3063BAF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5963D10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670349C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2582609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5AEF60C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3398E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jc w:val="center"/>
        </w:trPr>
        <w:tc>
          <w:tcPr>
            <w:tcW w:w="500" w:type="dxa"/>
            <w:shd w:val="clear" w:color="auto" w:fill="auto"/>
            <w:vAlign w:val="center"/>
          </w:tcPr>
          <w:p w14:paraId="5910AFE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121</w:t>
            </w:r>
          </w:p>
        </w:tc>
        <w:tc>
          <w:tcPr>
            <w:tcW w:w="906" w:type="dxa"/>
            <w:shd w:val="clear" w:color="auto" w:fill="auto"/>
            <w:vAlign w:val="center"/>
          </w:tcPr>
          <w:p w14:paraId="219B55E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鼓励金融支持优惠政策</w:t>
            </w:r>
          </w:p>
        </w:tc>
        <w:tc>
          <w:tcPr>
            <w:tcW w:w="3227" w:type="dxa"/>
            <w:shd w:val="clear" w:color="auto" w:fill="auto"/>
            <w:vAlign w:val="center"/>
          </w:tcPr>
          <w:p w14:paraId="5B1BF49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小额贷款公司发放农户小额贷款所得税优惠</w:t>
            </w:r>
          </w:p>
        </w:tc>
        <w:tc>
          <w:tcPr>
            <w:tcW w:w="2334" w:type="dxa"/>
            <w:shd w:val="clear" w:color="auto" w:fill="auto"/>
            <w:vAlign w:val="center"/>
          </w:tcPr>
          <w:p w14:paraId="23C255B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税务总局关于延续实施小额贷款公司有关税收优惠政策的公告》（财政部 税务总局公告2023年第54号）</w:t>
            </w:r>
          </w:p>
        </w:tc>
        <w:tc>
          <w:tcPr>
            <w:tcW w:w="770" w:type="dxa"/>
            <w:shd w:val="clear" w:color="auto" w:fill="auto"/>
            <w:vAlign w:val="center"/>
          </w:tcPr>
          <w:p w14:paraId="27B4FE5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0266748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6F09FB5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7808695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1E29348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0A46DD0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2E05D99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2C558FC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6E2B4AD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0EFDC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17" w:hRule="atLeast"/>
          <w:jc w:val="center"/>
        </w:trPr>
        <w:tc>
          <w:tcPr>
            <w:tcW w:w="500" w:type="dxa"/>
            <w:shd w:val="clear" w:color="auto" w:fill="auto"/>
            <w:vAlign w:val="center"/>
          </w:tcPr>
          <w:p w14:paraId="368F182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122</w:t>
            </w:r>
          </w:p>
        </w:tc>
        <w:tc>
          <w:tcPr>
            <w:tcW w:w="906" w:type="dxa"/>
            <w:shd w:val="clear" w:color="auto" w:fill="auto"/>
            <w:vAlign w:val="center"/>
          </w:tcPr>
          <w:p w14:paraId="0C9B54A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鼓励金融支持优惠政策</w:t>
            </w:r>
          </w:p>
        </w:tc>
        <w:tc>
          <w:tcPr>
            <w:tcW w:w="3227" w:type="dxa"/>
            <w:shd w:val="clear" w:color="auto" w:fill="auto"/>
            <w:vAlign w:val="center"/>
          </w:tcPr>
          <w:p w14:paraId="1EFCC9D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免征金融机构与小型企业、微型企业签订借款合同印花税</w:t>
            </w:r>
          </w:p>
        </w:tc>
        <w:tc>
          <w:tcPr>
            <w:tcW w:w="2334" w:type="dxa"/>
            <w:shd w:val="clear" w:color="auto" w:fill="auto"/>
            <w:vAlign w:val="center"/>
          </w:tcPr>
          <w:p w14:paraId="23ECDD2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税务总局关于支持小微企业融资有关税收政策的公告》（财政部 税务总局公告2023年第13号）</w:t>
            </w:r>
          </w:p>
        </w:tc>
        <w:tc>
          <w:tcPr>
            <w:tcW w:w="770" w:type="dxa"/>
            <w:shd w:val="clear" w:color="auto" w:fill="auto"/>
            <w:vAlign w:val="center"/>
          </w:tcPr>
          <w:p w14:paraId="1184355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714DB2A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202CEA5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23E6423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37447D6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700EC2F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4DE4D1D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5BC930A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1BA8C05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2D3B8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17" w:hRule="atLeast"/>
          <w:jc w:val="center"/>
        </w:trPr>
        <w:tc>
          <w:tcPr>
            <w:tcW w:w="500" w:type="dxa"/>
            <w:shd w:val="clear" w:color="auto" w:fill="auto"/>
            <w:vAlign w:val="center"/>
          </w:tcPr>
          <w:p w14:paraId="02B0F29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123</w:t>
            </w:r>
          </w:p>
        </w:tc>
        <w:tc>
          <w:tcPr>
            <w:tcW w:w="906" w:type="dxa"/>
            <w:shd w:val="clear" w:color="auto" w:fill="auto"/>
            <w:vAlign w:val="center"/>
          </w:tcPr>
          <w:p w14:paraId="6EDF770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鼓励金融支持优惠政策</w:t>
            </w:r>
          </w:p>
        </w:tc>
        <w:tc>
          <w:tcPr>
            <w:tcW w:w="3227" w:type="dxa"/>
            <w:shd w:val="clear" w:color="auto" w:fill="auto"/>
            <w:vAlign w:val="center"/>
          </w:tcPr>
          <w:p w14:paraId="1F4FC8E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免征金融机构发放小额贷款增值税</w:t>
            </w:r>
          </w:p>
        </w:tc>
        <w:tc>
          <w:tcPr>
            <w:tcW w:w="2334" w:type="dxa"/>
            <w:shd w:val="clear" w:color="auto" w:fill="auto"/>
            <w:vAlign w:val="center"/>
          </w:tcPr>
          <w:p w14:paraId="422BB2E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税务总局关于金融机构小微企业贷款利息收入免征增值税政策的公告》（财政部 税务总局公告2023年第16号）</w:t>
            </w:r>
          </w:p>
        </w:tc>
        <w:tc>
          <w:tcPr>
            <w:tcW w:w="770" w:type="dxa"/>
            <w:shd w:val="clear" w:color="auto" w:fill="auto"/>
            <w:vAlign w:val="center"/>
          </w:tcPr>
          <w:p w14:paraId="0AED3FF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5B2531D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7BF63FC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1D6F8CC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5CFAA0D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126B320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41BA755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57F7472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6D7E74D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3559E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17" w:hRule="atLeast"/>
          <w:jc w:val="center"/>
        </w:trPr>
        <w:tc>
          <w:tcPr>
            <w:tcW w:w="500" w:type="dxa"/>
            <w:shd w:val="clear" w:color="auto" w:fill="auto"/>
            <w:vAlign w:val="center"/>
          </w:tcPr>
          <w:p w14:paraId="5D34313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124</w:t>
            </w:r>
          </w:p>
        </w:tc>
        <w:tc>
          <w:tcPr>
            <w:tcW w:w="906" w:type="dxa"/>
            <w:shd w:val="clear" w:color="auto" w:fill="auto"/>
            <w:vAlign w:val="center"/>
          </w:tcPr>
          <w:p w14:paraId="5FD6DB9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支持绿色发展税费优惠政策</w:t>
            </w:r>
          </w:p>
        </w:tc>
        <w:tc>
          <w:tcPr>
            <w:tcW w:w="3227" w:type="dxa"/>
            <w:shd w:val="clear" w:color="auto" w:fill="auto"/>
            <w:vAlign w:val="center"/>
          </w:tcPr>
          <w:p w14:paraId="04F84A5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资源综合利用企业税收优惠</w:t>
            </w:r>
          </w:p>
        </w:tc>
        <w:tc>
          <w:tcPr>
            <w:tcW w:w="2334" w:type="dxa"/>
            <w:shd w:val="clear" w:color="auto" w:fill="auto"/>
            <w:vAlign w:val="center"/>
          </w:tcPr>
          <w:p w14:paraId="6B0859C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《中华人民共和国企业所得税法实施条例》（中华人民共和国国务院令第512号）</w:t>
            </w:r>
          </w:p>
        </w:tc>
        <w:tc>
          <w:tcPr>
            <w:tcW w:w="770" w:type="dxa"/>
            <w:shd w:val="clear" w:color="auto" w:fill="auto"/>
            <w:vAlign w:val="center"/>
          </w:tcPr>
          <w:p w14:paraId="33AF427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7FE7BF7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69E06A0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205ADB0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40019AE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24C6C85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4CCF0CF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3F06CF4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1BF81B2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长期</w:t>
            </w:r>
          </w:p>
        </w:tc>
      </w:tr>
      <w:tr w14:paraId="0E4B1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17" w:hRule="atLeast"/>
          <w:jc w:val="center"/>
        </w:trPr>
        <w:tc>
          <w:tcPr>
            <w:tcW w:w="500" w:type="dxa"/>
            <w:shd w:val="clear" w:color="auto" w:fill="auto"/>
            <w:vAlign w:val="center"/>
          </w:tcPr>
          <w:p w14:paraId="3CDA8C3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125</w:t>
            </w:r>
          </w:p>
        </w:tc>
        <w:tc>
          <w:tcPr>
            <w:tcW w:w="906" w:type="dxa"/>
            <w:shd w:val="clear" w:color="auto" w:fill="auto"/>
            <w:vAlign w:val="center"/>
          </w:tcPr>
          <w:p w14:paraId="129398D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支持绿色发展税费优惠政策</w:t>
            </w:r>
          </w:p>
        </w:tc>
        <w:tc>
          <w:tcPr>
            <w:tcW w:w="3227" w:type="dxa"/>
            <w:shd w:val="clear" w:color="auto" w:fill="auto"/>
            <w:vAlign w:val="center"/>
          </w:tcPr>
          <w:p w14:paraId="145FA3F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免征利用废弃的动物油和植物油为原料生产的纯生物柴油消费税</w:t>
            </w:r>
          </w:p>
        </w:tc>
        <w:tc>
          <w:tcPr>
            <w:tcW w:w="2334" w:type="dxa"/>
            <w:shd w:val="clear" w:color="auto" w:fill="auto"/>
            <w:vAlign w:val="center"/>
          </w:tcPr>
          <w:p w14:paraId="312197E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国家税务总局关于明确废弃动植物油生产 纯生物柴油免征消费税适用范围的通知》（财税〔2011〕46 号）</w:t>
            </w:r>
          </w:p>
        </w:tc>
        <w:tc>
          <w:tcPr>
            <w:tcW w:w="770" w:type="dxa"/>
            <w:shd w:val="clear" w:color="auto" w:fill="auto"/>
            <w:vAlign w:val="center"/>
          </w:tcPr>
          <w:p w14:paraId="64D5F46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52296BC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7CB23E1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32AE2C7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474D9A0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6D2688A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企业、个体工商户</w:t>
            </w:r>
          </w:p>
        </w:tc>
        <w:tc>
          <w:tcPr>
            <w:tcW w:w="705" w:type="dxa"/>
            <w:shd w:val="clear" w:color="auto" w:fill="auto"/>
            <w:vAlign w:val="center"/>
          </w:tcPr>
          <w:p w14:paraId="44F1319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245659C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13EB844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长期</w:t>
            </w:r>
          </w:p>
        </w:tc>
      </w:tr>
      <w:tr w14:paraId="56DCE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17" w:hRule="atLeast"/>
          <w:jc w:val="center"/>
        </w:trPr>
        <w:tc>
          <w:tcPr>
            <w:tcW w:w="500" w:type="dxa"/>
            <w:shd w:val="clear" w:color="auto" w:fill="auto"/>
            <w:vAlign w:val="center"/>
          </w:tcPr>
          <w:p w14:paraId="3513770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126</w:t>
            </w:r>
          </w:p>
        </w:tc>
        <w:tc>
          <w:tcPr>
            <w:tcW w:w="906" w:type="dxa"/>
            <w:shd w:val="clear" w:color="auto" w:fill="auto"/>
            <w:vAlign w:val="center"/>
          </w:tcPr>
          <w:p w14:paraId="5E5EF68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支持绿色发展税费优惠政策</w:t>
            </w:r>
          </w:p>
        </w:tc>
        <w:tc>
          <w:tcPr>
            <w:tcW w:w="3227" w:type="dxa"/>
            <w:shd w:val="clear" w:color="auto" w:fill="auto"/>
            <w:vAlign w:val="center"/>
          </w:tcPr>
          <w:p w14:paraId="35303CC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免征利用废矿物油生产的润滑油基础油、汽油、柴油等工业油料消费税</w:t>
            </w:r>
          </w:p>
        </w:tc>
        <w:tc>
          <w:tcPr>
            <w:tcW w:w="2334" w:type="dxa"/>
            <w:shd w:val="clear" w:color="auto" w:fill="auto"/>
            <w:vAlign w:val="center"/>
          </w:tcPr>
          <w:p w14:paraId="3417E05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税务总局关于继续对废矿物油再生油品免征消费税的公告》（财政部 税务总局公告2023年第69号）</w:t>
            </w:r>
          </w:p>
        </w:tc>
        <w:tc>
          <w:tcPr>
            <w:tcW w:w="770" w:type="dxa"/>
            <w:shd w:val="clear" w:color="auto" w:fill="auto"/>
            <w:vAlign w:val="center"/>
          </w:tcPr>
          <w:p w14:paraId="70B2329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1211644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3136464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46046E0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6439CFF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261403D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企业、个体工商户</w:t>
            </w:r>
          </w:p>
        </w:tc>
        <w:tc>
          <w:tcPr>
            <w:tcW w:w="705" w:type="dxa"/>
            <w:shd w:val="clear" w:color="auto" w:fill="auto"/>
            <w:vAlign w:val="center"/>
          </w:tcPr>
          <w:p w14:paraId="6C10FAA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3C0B38F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2674667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6F59F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17" w:hRule="atLeast"/>
          <w:jc w:val="center"/>
        </w:trPr>
        <w:tc>
          <w:tcPr>
            <w:tcW w:w="500" w:type="dxa"/>
            <w:shd w:val="clear" w:color="auto" w:fill="auto"/>
            <w:vAlign w:val="center"/>
          </w:tcPr>
          <w:p w14:paraId="2FC937A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127</w:t>
            </w:r>
          </w:p>
        </w:tc>
        <w:tc>
          <w:tcPr>
            <w:tcW w:w="906" w:type="dxa"/>
            <w:shd w:val="clear" w:color="auto" w:fill="auto"/>
            <w:vAlign w:val="center"/>
          </w:tcPr>
          <w:p w14:paraId="1C39844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支持绿色发展税费优惠政策</w:t>
            </w:r>
          </w:p>
        </w:tc>
        <w:tc>
          <w:tcPr>
            <w:tcW w:w="3227" w:type="dxa"/>
            <w:shd w:val="clear" w:color="auto" w:fill="auto"/>
            <w:vAlign w:val="center"/>
          </w:tcPr>
          <w:p w14:paraId="05CF4EF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免征承受荒山、荒地、荒滩土地使用权用于农、林、牧、渔业生产的契税</w:t>
            </w:r>
          </w:p>
        </w:tc>
        <w:tc>
          <w:tcPr>
            <w:tcW w:w="2334" w:type="dxa"/>
            <w:shd w:val="clear" w:color="auto" w:fill="auto"/>
            <w:vAlign w:val="center"/>
          </w:tcPr>
          <w:p w14:paraId="15A2380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《中华人民共和国契税法》（中华人民共和国主席令第五十二号）</w:t>
            </w:r>
          </w:p>
        </w:tc>
        <w:tc>
          <w:tcPr>
            <w:tcW w:w="770" w:type="dxa"/>
            <w:shd w:val="clear" w:color="auto" w:fill="auto"/>
            <w:vAlign w:val="center"/>
          </w:tcPr>
          <w:p w14:paraId="6C145DA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70E7781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1421F58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0FD74AE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58AC75B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1DF926E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企业、个体工商户</w:t>
            </w:r>
          </w:p>
        </w:tc>
        <w:tc>
          <w:tcPr>
            <w:tcW w:w="705" w:type="dxa"/>
            <w:shd w:val="clear" w:color="auto" w:fill="auto"/>
            <w:vAlign w:val="center"/>
          </w:tcPr>
          <w:p w14:paraId="391307E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1144458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613C6B5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长期</w:t>
            </w:r>
          </w:p>
        </w:tc>
      </w:tr>
      <w:tr w14:paraId="5C69B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587" w:hRule="atLeast"/>
          <w:jc w:val="center"/>
        </w:trPr>
        <w:tc>
          <w:tcPr>
            <w:tcW w:w="500" w:type="dxa"/>
            <w:shd w:val="clear" w:color="auto" w:fill="auto"/>
            <w:vAlign w:val="center"/>
          </w:tcPr>
          <w:p w14:paraId="14B6118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128</w:t>
            </w:r>
          </w:p>
        </w:tc>
        <w:tc>
          <w:tcPr>
            <w:tcW w:w="906" w:type="dxa"/>
            <w:shd w:val="clear" w:color="auto" w:fill="auto"/>
            <w:vAlign w:val="center"/>
          </w:tcPr>
          <w:p w14:paraId="7082493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支持绿色发展税费优惠政策</w:t>
            </w:r>
          </w:p>
        </w:tc>
        <w:tc>
          <w:tcPr>
            <w:tcW w:w="3227" w:type="dxa"/>
            <w:shd w:val="clear" w:color="auto" w:fill="auto"/>
            <w:vAlign w:val="center"/>
          </w:tcPr>
          <w:p w14:paraId="38E86F8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对自来水厂随水费收取的污水处理费免征增值税</w:t>
            </w:r>
          </w:p>
        </w:tc>
        <w:tc>
          <w:tcPr>
            <w:tcW w:w="2334" w:type="dxa"/>
            <w:shd w:val="clear" w:color="auto" w:fill="auto"/>
            <w:vAlign w:val="center"/>
          </w:tcPr>
          <w:p w14:paraId="4B44E0F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国家税务总局关于污水处理费有关增值税政 策的通知》（财税〔2001〕97 号）</w:t>
            </w:r>
          </w:p>
        </w:tc>
        <w:tc>
          <w:tcPr>
            <w:tcW w:w="770" w:type="dxa"/>
            <w:shd w:val="clear" w:color="auto" w:fill="auto"/>
            <w:vAlign w:val="center"/>
          </w:tcPr>
          <w:p w14:paraId="2339F9E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3B3CAC5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2AB85A5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7E4EFB1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00BC185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0013643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7359D3A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6DAAA3F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1138F10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长期</w:t>
            </w:r>
          </w:p>
        </w:tc>
      </w:tr>
      <w:tr w14:paraId="3704A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587" w:hRule="atLeast"/>
          <w:jc w:val="center"/>
        </w:trPr>
        <w:tc>
          <w:tcPr>
            <w:tcW w:w="500" w:type="dxa"/>
            <w:shd w:val="clear" w:color="auto" w:fill="auto"/>
            <w:vAlign w:val="center"/>
          </w:tcPr>
          <w:p w14:paraId="62BE47C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129</w:t>
            </w:r>
          </w:p>
        </w:tc>
        <w:tc>
          <w:tcPr>
            <w:tcW w:w="906" w:type="dxa"/>
            <w:shd w:val="clear" w:color="auto" w:fill="auto"/>
            <w:vAlign w:val="center"/>
          </w:tcPr>
          <w:p w14:paraId="434EB64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支持绿色发展税费优惠政策</w:t>
            </w:r>
          </w:p>
        </w:tc>
        <w:tc>
          <w:tcPr>
            <w:tcW w:w="3227" w:type="dxa"/>
            <w:shd w:val="clear" w:color="auto" w:fill="auto"/>
            <w:vAlign w:val="center"/>
          </w:tcPr>
          <w:p w14:paraId="12D0C29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购置环境保护专用设备税收优惠</w:t>
            </w:r>
          </w:p>
        </w:tc>
        <w:tc>
          <w:tcPr>
            <w:tcW w:w="2334" w:type="dxa"/>
            <w:shd w:val="clear" w:color="auto" w:fill="auto"/>
            <w:vAlign w:val="center"/>
          </w:tcPr>
          <w:p w14:paraId="6B86EF5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 国家发展改革委 工业和信息化 部 环境保护部关于印发节能节水和环境保护专用设备企业 所得税优惠目录（2017 年版）的通知》（财税〔2017〕71 号）</w:t>
            </w:r>
          </w:p>
        </w:tc>
        <w:tc>
          <w:tcPr>
            <w:tcW w:w="770" w:type="dxa"/>
            <w:shd w:val="clear" w:color="auto" w:fill="auto"/>
            <w:vAlign w:val="center"/>
          </w:tcPr>
          <w:p w14:paraId="4095F8D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321B9C7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2E3DB8C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6B02FFF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0994841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3C93769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0B03649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546BDBB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7A60064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3916A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587" w:hRule="atLeast"/>
          <w:jc w:val="center"/>
        </w:trPr>
        <w:tc>
          <w:tcPr>
            <w:tcW w:w="500" w:type="dxa"/>
            <w:shd w:val="clear" w:color="auto" w:fill="auto"/>
            <w:vAlign w:val="center"/>
          </w:tcPr>
          <w:p w14:paraId="2A67C01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130</w:t>
            </w:r>
          </w:p>
        </w:tc>
        <w:tc>
          <w:tcPr>
            <w:tcW w:w="906" w:type="dxa"/>
            <w:shd w:val="clear" w:color="auto" w:fill="auto"/>
            <w:vAlign w:val="center"/>
          </w:tcPr>
          <w:p w14:paraId="459513B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支持绿色发展税费优惠政策</w:t>
            </w:r>
          </w:p>
        </w:tc>
        <w:tc>
          <w:tcPr>
            <w:tcW w:w="3227" w:type="dxa"/>
            <w:shd w:val="clear" w:color="auto" w:fill="auto"/>
            <w:vAlign w:val="center"/>
          </w:tcPr>
          <w:p w14:paraId="04AF157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污染防治第三方企业所得税优惠</w:t>
            </w:r>
          </w:p>
        </w:tc>
        <w:tc>
          <w:tcPr>
            <w:tcW w:w="2334" w:type="dxa"/>
            <w:shd w:val="clear" w:color="auto" w:fill="auto"/>
            <w:vAlign w:val="center"/>
          </w:tcPr>
          <w:p w14:paraId="4880C14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 国家发展改革委 生态环境部关于从事污染防治的第三方企业所得税政策问题的公告》（财政部 税务总局 国家发展改革委 生态环境部公告2023年第38号）</w:t>
            </w:r>
          </w:p>
        </w:tc>
        <w:tc>
          <w:tcPr>
            <w:tcW w:w="770" w:type="dxa"/>
            <w:shd w:val="clear" w:color="auto" w:fill="auto"/>
            <w:vAlign w:val="center"/>
          </w:tcPr>
          <w:p w14:paraId="33675E2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1AA7F6D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78D1858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5F20495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2617ADB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3C9E19F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0476435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6B98BC9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6067751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0B942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00" w:type="dxa"/>
            <w:shd w:val="clear" w:color="auto" w:fill="auto"/>
            <w:vAlign w:val="center"/>
          </w:tcPr>
          <w:p w14:paraId="66A0703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131</w:t>
            </w:r>
          </w:p>
        </w:tc>
        <w:tc>
          <w:tcPr>
            <w:tcW w:w="906" w:type="dxa"/>
            <w:shd w:val="clear" w:color="auto" w:fill="auto"/>
            <w:vAlign w:val="center"/>
          </w:tcPr>
          <w:p w14:paraId="27436A6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支持绿色发展税费优惠政策</w:t>
            </w:r>
          </w:p>
        </w:tc>
        <w:tc>
          <w:tcPr>
            <w:tcW w:w="3227" w:type="dxa"/>
            <w:shd w:val="clear" w:color="auto" w:fill="auto"/>
            <w:vAlign w:val="center"/>
          </w:tcPr>
          <w:p w14:paraId="2F4B708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对企业厂区（包括生产、办公及生活区）以外的公共绿化用地和向社会开放的公园用地，免征土地使用税</w:t>
            </w:r>
          </w:p>
        </w:tc>
        <w:tc>
          <w:tcPr>
            <w:tcW w:w="2334" w:type="dxa"/>
            <w:shd w:val="clear" w:color="auto" w:fill="auto"/>
            <w:vAlign w:val="center"/>
          </w:tcPr>
          <w:p w14:paraId="06FA842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《国家税务局关于印发〈关于土地使用税若干具体问题的补充规定〉的通知》（国税地字〔1989〕140 号）</w:t>
            </w:r>
          </w:p>
        </w:tc>
        <w:tc>
          <w:tcPr>
            <w:tcW w:w="770" w:type="dxa"/>
            <w:shd w:val="clear" w:color="auto" w:fill="auto"/>
            <w:vAlign w:val="center"/>
          </w:tcPr>
          <w:p w14:paraId="69C5FAA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2DC0F71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2BF1031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7D047F4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2A27734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4457445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6A50BAB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6FF73CF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3043E07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长期</w:t>
            </w:r>
          </w:p>
        </w:tc>
      </w:tr>
      <w:tr w14:paraId="75510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00" w:type="dxa"/>
            <w:shd w:val="clear" w:color="auto" w:fill="auto"/>
            <w:vAlign w:val="center"/>
          </w:tcPr>
          <w:p w14:paraId="5ADC5F4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132</w:t>
            </w:r>
          </w:p>
        </w:tc>
        <w:tc>
          <w:tcPr>
            <w:tcW w:w="906" w:type="dxa"/>
            <w:shd w:val="clear" w:color="auto" w:fill="auto"/>
            <w:vAlign w:val="center"/>
          </w:tcPr>
          <w:p w14:paraId="4A2B0A9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支持绿色发展税费优惠政策</w:t>
            </w:r>
          </w:p>
        </w:tc>
        <w:tc>
          <w:tcPr>
            <w:tcW w:w="3227" w:type="dxa"/>
            <w:shd w:val="clear" w:color="auto" w:fill="auto"/>
            <w:vAlign w:val="center"/>
          </w:tcPr>
          <w:p w14:paraId="2A25566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对合同能源管理项目中的增值税应税货物转让给用能企业的免征增值税</w:t>
            </w:r>
          </w:p>
        </w:tc>
        <w:tc>
          <w:tcPr>
            <w:tcW w:w="2334" w:type="dxa"/>
            <w:shd w:val="clear" w:color="auto" w:fill="auto"/>
            <w:vAlign w:val="center"/>
          </w:tcPr>
          <w:p w14:paraId="0B66A0E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国家税务总局关于促进节能服务产业发展增值税、营业税和企业所得税政策问题的通知》（财税〔2010〕 110 号）</w:t>
            </w:r>
          </w:p>
        </w:tc>
        <w:tc>
          <w:tcPr>
            <w:tcW w:w="770" w:type="dxa"/>
            <w:shd w:val="clear" w:color="auto" w:fill="auto"/>
            <w:vAlign w:val="center"/>
          </w:tcPr>
          <w:p w14:paraId="6E91781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4A09CC9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0719D8B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3571321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5CE0638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20C7178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371EA41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6CC8D59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41B1B30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长期</w:t>
            </w:r>
          </w:p>
        </w:tc>
      </w:tr>
      <w:tr w14:paraId="577B4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00" w:type="dxa"/>
            <w:shd w:val="clear" w:color="auto" w:fill="auto"/>
            <w:vAlign w:val="center"/>
          </w:tcPr>
          <w:p w14:paraId="378A765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133</w:t>
            </w:r>
          </w:p>
        </w:tc>
        <w:tc>
          <w:tcPr>
            <w:tcW w:w="906" w:type="dxa"/>
            <w:shd w:val="clear" w:color="auto" w:fill="auto"/>
            <w:vAlign w:val="center"/>
          </w:tcPr>
          <w:p w14:paraId="62E8529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支持绿色发展税费优惠政策</w:t>
            </w:r>
          </w:p>
        </w:tc>
        <w:tc>
          <w:tcPr>
            <w:tcW w:w="3227" w:type="dxa"/>
            <w:shd w:val="clear" w:color="auto" w:fill="auto"/>
            <w:vAlign w:val="center"/>
          </w:tcPr>
          <w:p w14:paraId="17701AE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减征节能服务产业企业所得税</w:t>
            </w:r>
          </w:p>
        </w:tc>
        <w:tc>
          <w:tcPr>
            <w:tcW w:w="2334" w:type="dxa"/>
            <w:shd w:val="clear" w:color="auto" w:fill="auto"/>
            <w:vAlign w:val="center"/>
          </w:tcPr>
          <w:p w14:paraId="028742A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国家税务总局关于促进节能服务产业发展增值税营业税和企业所得税政策问题的通知》（财税〔2010〕110号）</w:t>
            </w:r>
          </w:p>
        </w:tc>
        <w:tc>
          <w:tcPr>
            <w:tcW w:w="770" w:type="dxa"/>
            <w:shd w:val="clear" w:color="auto" w:fill="auto"/>
            <w:vAlign w:val="center"/>
          </w:tcPr>
          <w:p w14:paraId="7C3E01B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05C4C34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1B97825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66A9E2E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12F874D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7194D3C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0DCB3D2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1D67EA5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04CC37E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长期</w:t>
            </w:r>
          </w:p>
        </w:tc>
      </w:tr>
      <w:tr w14:paraId="22A5F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00" w:type="dxa"/>
            <w:shd w:val="clear" w:color="auto" w:fill="auto"/>
            <w:vAlign w:val="center"/>
          </w:tcPr>
          <w:p w14:paraId="2FB7814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134</w:t>
            </w:r>
          </w:p>
        </w:tc>
        <w:tc>
          <w:tcPr>
            <w:tcW w:w="906" w:type="dxa"/>
            <w:shd w:val="clear" w:color="auto" w:fill="auto"/>
            <w:vAlign w:val="center"/>
          </w:tcPr>
          <w:p w14:paraId="6174185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支持绿色发展税费优惠政策</w:t>
            </w:r>
          </w:p>
        </w:tc>
        <w:tc>
          <w:tcPr>
            <w:tcW w:w="3227" w:type="dxa"/>
            <w:shd w:val="clear" w:color="auto" w:fill="auto"/>
            <w:vAlign w:val="center"/>
          </w:tcPr>
          <w:p w14:paraId="3D75AA0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免征无汞原电池、金属氢化物镍蓄电池、锂原电池、锂离子蓄电池、太阳能电池、燃料电池和全钒液流电池消费税</w:t>
            </w:r>
          </w:p>
        </w:tc>
        <w:tc>
          <w:tcPr>
            <w:tcW w:w="2334" w:type="dxa"/>
            <w:shd w:val="clear" w:color="auto" w:fill="auto"/>
            <w:vAlign w:val="center"/>
          </w:tcPr>
          <w:p w14:paraId="4E4BAAA6">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国家税务总局关于对电池涂料征收消费税的通知》（财税〔2015〕16 号）</w:t>
            </w:r>
          </w:p>
        </w:tc>
        <w:tc>
          <w:tcPr>
            <w:tcW w:w="770" w:type="dxa"/>
            <w:shd w:val="clear" w:color="auto" w:fill="auto"/>
            <w:vAlign w:val="center"/>
          </w:tcPr>
          <w:p w14:paraId="5170642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74AEFBA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0B0A2E7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753C67B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2AE2EC1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11C5AAA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57529ED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29E4485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01D560A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长期</w:t>
            </w:r>
          </w:p>
        </w:tc>
      </w:tr>
      <w:tr w14:paraId="2843F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00" w:type="dxa"/>
            <w:shd w:val="clear" w:color="auto" w:fill="auto"/>
            <w:vAlign w:val="center"/>
          </w:tcPr>
          <w:p w14:paraId="1B4D616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135</w:t>
            </w:r>
          </w:p>
        </w:tc>
        <w:tc>
          <w:tcPr>
            <w:tcW w:w="906" w:type="dxa"/>
            <w:shd w:val="clear" w:color="auto" w:fill="auto"/>
            <w:vAlign w:val="center"/>
          </w:tcPr>
          <w:p w14:paraId="5D71014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支持绿色发展税费优惠政策</w:t>
            </w:r>
          </w:p>
        </w:tc>
        <w:tc>
          <w:tcPr>
            <w:tcW w:w="3227" w:type="dxa"/>
            <w:shd w:val="clear" w:color="auto" w:fill="auto"/>
            <w:vAlign w:val="center"/>
          </w:tcPr>
          <w:p w14:paraId="746946D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免征施工状态下挥发性有机物含量低于 420 克/（含）的涂料消费税</w:t>
            </w:r>
          </w:p>
        </w:tc>
        <w:tc>
          <w:tcPr>
            <w:tcW w:w="2334" w:type="dxa"/>
            <w:shd w:val="clear" w:color="auto" w:fill="auto"/>
            <w:vAlign w:val="center"/>
          </w:tcPr>
          <w:p w14:paraId="08158DA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国家税务总局关于对电池涂料征收消费税的通知》（财税〔2015〕16 号）</w:t>
            </w:r>
          </w:p>
        </w:tc>
        <w:tc>
          <w:tcPr>
            <w:tcW w:w="770" w:type="dxa"/>
            <w:shd w:val="clear" w:color="auto" w:fill="auto"/>
            <w:vAlign w:val="center"/>
          </w:tcPr>
          <w:p w14:paraId="1787A1B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1570900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1B1BEFB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5F383F7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3C480A1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3CE0AA1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46ABCAA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02024BC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49A0F63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长期</w:t>
            </w:r>
          </w:p>
        </w:tc>
      </w:tr>
      <w:tr w14:paraId="34E2A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17" w:hRule="atLeast"/>
          <w:jc w:val="center"/>
        </w:trPr>
        <w:tc>
          <w:tcPr>
            <w:tcW w:w="500" w:type="dxa"/>
            <w:shd w:val="clear" w:color="auto" w:fill="auto"/>
            <w:vAlign w:val="center"/>
          </w:tcPr>
          <w:p w14:paraId="1598A54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136</w:t>
            </w:r>
          </w:p>
        </w:tc>
        <w:tc>
          <w:tcPr>
            <w:tcW w:w="906" w:type="dxa"/>
            <w:shd w:val="clear" w:color="auto" w:fill="auto"/>
            <w:vAlign w:val="center"/>
          </w:tcPr>
          <w:p w14:paraId="217126E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rPr>
              <w:t>支持绿色发展税费优惠政策</w:t>
            </w:r>
          </w:p>
        </w:tc>
        <w:tc>
          <w:tcPr>
            <w:tcW w:w="3227" w:type="dxa"/>
            <w:shd w:val="clear" w:color="auto" w:fill="auto"/>
            <w:vAlign w:val="center"/>
          </w:tcPr>
          <w:p w14:paraId="3F3ADBC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生产销售和批发、零售滴灌带和滴灌管产品免征增值税</w:t>
            </w:r>
          </w:p>
        </w:tc>
        <w:tc>
          <w:tcPr>
            <w:tcW w:w="2334" w:type="dxa"/>
            <w:shd w:val="clear" w:color="auto" w:fill="auto"/>
            <w:vAlign w:val="center"/>
          </w:tcPr>
          <w:p w14:paraId="5B73783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国家税务总局关于免征滴灌带和滴灌管产品 增值税的通知》（财税〔2007〕83号）</w:t>
            </w:r>
          </w:p>
        </w:tc>
        <w:tc>
          <w:tcPr>
            <w:tcW w:w="770" w:type="dxa"/>
            <w:shd w:val="clear" w:color="auto" w:fill="auto"/>
            <w:vAlign w:val="center"/>
          </w:tcPr>
          <w:p w14:paraId="1725022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192C578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56E8114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01462ED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628D097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130BE1C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3C7701E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35FE00C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14A7D75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长期</w:t>
            </w:r>
          </w:p>
        </w:tc>
      </w:tr>
      <w:tr w14:paraId="0FA0A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17" w:hRule="atLeast"/>
          <w:jc w:val="center"/>
        </w:trPr>
        <w:tc>
          <w:tcPr>
            <w:tcW w:w="500" w:type="dxa"/>
            <w:shd w:val="clear" w:color="auto" w:fill="auto"/>
            <w:vAlign w:val="center"/>
          </w:tcPr>
          <w:p w14:paraId="5322C98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137</w:t>
            </w:r>
          </w:p>
        </w:tc>
        <w:tc>
          <w:tcPr>
            <w:tcW w:w="906" w:type="dxa"/>
            <w:shd w:val="clear" w:color="auto" w:fill="auto"/>
            <w:vAlign w:val="center"/>
          </w:tcPr>
          <w:p w14:paraId="3F14178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支持绿色发展税费优惠政策</w:t>
            </w:r>
          </w:p>
        </w:tc>
        <w:tc>
          <w:tcPr>
            <w:tcW w:w="3227" w:type="dxa"/>
            <w:shd w:val="clear" w:color="auto" w:fill="auto"/>
            <w:vAlign w:val="center"/>
          </w:tcPr>
          <w:p w14:paraId="23023E7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经营节能节水项目所得税收优惠</w:t>
            </w:r>
          </w:p>
        </w:tc>
        <w:tc>
          <w:tcPr>
            <w:tcW w:w="2334" w:type="dxa"/>
            <w:shd w:val="clear" w:color="auto" w:fill="auto"/>
            <w:vAlign w:val="center"/>
          </w:tcPr>
          <w:p w14:paraId="0F025AB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《中华人民共和国企业所得税法实施条例》（中华人民共和国国务院令512号）</w:t>
            </w:r>
          </w:p>
        </w:tc>
        <w:tc>
          <w:tcPr>
            <w:tcW w:w="770" w:type="dxa"/>
            <w:shd w:val="clear" w:color="auto" w:fill="auto"/>
            <w:vAlign w:val="center"/>
          </w:tcPr>
          <w:p w14:paraId="1E33A09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1ABB051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1913AC1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5CD8569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34B929F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24D380D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04EB537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510D053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15134DA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长期</w:t>
            </w:r>
          </w:p>
        </w:tc>
      </w:tr>
      <w:tr w14:paraId="6742D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17" w:hRule="atLeast"/>
          <w:jc w:val="center"/>
        </w:trPr>
        <w:tc>
          <w:tcPr>
            <w:tcW w:w="500" w:type="dxa"/>
            <w:shd w:val="clear" w:color="auto" w:fill="auto"/>
            <w:vAlign w:val="center"/>
          </w:tcPr>
          <w:p w14:paraId="3993220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138</w:t>
            </w:r>
          </w:p>
        </w:tc>
        <w:tc>
          <w:tcPr>
            <w:tcW w:w="906" w:type="dxa"/>
            <w:shd w:val="clear" w:color="auto" w:fill="auto"/>
            <w:vAlign w:val="center"/>
          </w:tcPr>
          <w:p w14:paraId="2987B92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支持绿色发展税费优惠政策</w:t>
            </w:r>
          </w:p>
        </w:tc>
        <w:tc>
          <w:tcPr>
            <w:tcW w:w="3227" w:type="dxa"/>
            <w:shd w:val="clear" w:color="auto" w:fill="auto"/>
            <w:vAlign w:val="center"/>
          </w:tcPr>
          <w:p w14:paraId="1D53264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购置节能节水专用设备税收优惠</w:t>
            </w:r>
          </w:p>
        </w:tc>
        <w:tc>
          <w:tcPr>
            <w:tcW w:w="2334" w:type="dxa"/>
            <w:shd w:val="clear" w:color="auto" w:fill="auto"/>
            <w:vAlign w:val="center"/>
          </w:tcPr>
          <w:p w14:paraId="21BB9D3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《中华人民共和国企业所得税法实施条例》（中华人民共和国国务院令512号）</w:t>
            </w:r>
          </w:p>
        </w:tc>
        <w:tc>
          <w:tcPr>
            <w:tcW w:w="770" w:type="dxa"/>
            <w:shd w:val="clear" w:color="auto" w:fill="auto"/>
            <w:vAlign w:val="center"/>
          </w:tcPr>
          <w:p w14:paraId="584DC74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793BD65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5B5B6CF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56F0D18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57A12C3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1C74626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73B4342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38F0DC7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4139436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长期</w:t>
            </w:r>
          </w:p>
        </w:tc>
      </w:tr>
      <w:tr w14:paraId="51C66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00" w:type="dxa"/>
            <w:shd w:val="clear" w:color="auto" w:fill="auto"/>
            <w:vAlign w:val="center"/>
          </w:tcPr>
          <w:p w14:paraId="54708DF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139</w:t>
            </w:r>
          </w:p>
        </w:tc>
        <w:tc>
          <w:tcPr>
            <w:tcW w:w="906" w:type="dxa"/>
            <w:shd w:val="clear" w:color="auto" w:fill="auto"/>
            <w:vAlign w:val="center"/>
          </w:tcPr>
          <w:p w14:paraId="1BDDD56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支持绿色发展税费优惠政策</w:t>
            </w:r>
          </w:p>
        </w:tc>
        <w:tc>
          <w:tcPr>
            <w:tcW w:w="3227" w:type="dxa"/>
            <w:shd w:val="clear" w:color="auto" w:fill="auto"/>
            <w:vAlign w:val="center"/>
          </w:tcPr>
          <w:p w14:paraId="56A0EB4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新能源汽车车辆购置税优惠</w:t>
            </w:r>
          </w:p>
        </w:tc>
        <w:tc>
          <w:tcPr>
            <w:tcW w:w="2334" w:type="dxa"/>
            <w:shd w:val="clear" w:color="auto" w:fill="auto"/>
            <w:vAlign w:val="center"/>
          </w:tcPr>
          <w:p w14:paraId="5D107AA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 工业和信息化部关于延续</w:t>
            </w:r>
          </w:p>
          <w:p w14:paraId="4CEC923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和优化新能源汽车车辆购置税减免政策的公告》（财政部 税务总局 工业和信息化部公告2023年第10号）</w:t>
            </w:r>
          </w:p>
        </w:tc>
        <w:tc>
          <w:tcPr>
            <w:tcW w:w="770" w:type="dxa"/>
            <w:shd w:val="clear" w:color="auto" w:fill="auto"/>
            <w:vAlign w:val="center"/>
          </w:tcPr>
          <w:p w14:paraId="4540DDC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08570EB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37C5C2C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387E43F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1BD025F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0867609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企业、个体工商户</w:t>
            </w:r>
          </w:p>
        </w:tc>
        <w:tc>
          <w:tcPr>
            <w:tcW w:w="705" w:type="dxa"/>
            <w:shd w:val="clear" w:color="auto" w:fill="auto"/>
            <w:vAlign w:val="center"/>
          </w:tcPr>
          <w:p w14:paraId="054BED5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33636BB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6A9AFB1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2027年12月31日截止</w:t>
            </w:r>
          </w:p>
        </w:tc>
      </w:tr>
      <w:tr w14:paraId="0D09B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00" w:type="dxa"/>
            <w:shd w:val="clear" w:color="auto" w:fill="auto"/>
            <w:vAlign w:val="center"/>
          </w:tcPr>
          <w:p w14:paraId="50F5221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140</w:t>
            </w:r>
          </w:p>
        </w:tc>
        <w:tc>
          <w:tcPr>
            <w:tcW w:w="906" w:type="dxa"/>
            <w:shd w:val="clear" w:color="auto" w:fill="auto"/>
            <w:vAlign w:val="center"/>
          </w:tcPr>
          <w:p w14:paraId="4AE2ECE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支持绿色发展税费优惠政策</w:t>
            </w:r>
          </w:p>
        </w:tc>
        <w:tc>
          <w:tcPr>
            <w:tcW w:w="3227" w:type="dxa"/>
            <w:shd w:val="clear" w:color="auto" w:fill="auto"/>
            <w:vAlign w:val="center"/>
          </w:tcPr>
          <w:p w14:paraId="6464904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免征国家重大水利工程建设基金城市维护建设税</w:t>
            </w:r>
          </w:p>
        </w:tc>
        <w:tc>
          <w:tcPr>
            <w:tcW w:w="2334" w:type="dxa"/>
            <w:shd w:val="clear" w:color="auto" w:fill="auto"/>
            <w:vAlign w:val="center"/>
          </w:tcPr>
          <w:p w14:paraId="1FE9969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税务总局关于继续执行的城市维护建设税优惠政策的公告》（财政局 税务总局公告2021年第27号）</w:t>
            </w:r>
          </w:p>
        </w:tc>
        <w:tc>
          <w:tcPr>
            <w:tcW w:w="770" w:type="dxa"/>
            <w:shd w:val="clear" w:color="auto" w:fill="auto"/>
            <w:vAlign w:val="center"/>
          </w:tcPr>
          <w:p w14:paraId="6D8BCAB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77AA40B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5629570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187B988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3891163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318909D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企业、个体工商户</w:t>
            </w:r>
          </w:p>
        </w:tc>
        <w:tc>
          <w:tcPr>
            <w:tcW w:w="705" w:type="dxa"/>
            <w:shd w:val="clear" w:color="auto" w:fill="auto"/>
            <w:vAlign w:val="center"/>
          </w:tcPr>
          <w:p w14:paraId="7956A29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6CC888D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2542D78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202</w:t>
            </w:r>
            <w:r>
              <w:rPr>
                <w:rFonts w:hint="eastAsia" w:ascii="Times New Roman" w:hAnsi="Times New Roman" w:eastAsia="宋体" w:cs="Times New Roman"/>
                <w:color w:val="auto"/>
                <w:sz w:val="20"/>
                <w:szCs w:val="20"/>
                <w:lang w:val="en-US" w:eastAsia="zh-CN"/>
              </w:rPr>
              <w:t>5</w:t>
            </w:r>
            <w:r>
              <w:rPr>
                <w:rFonts w:hint="default" w:ascii="Times New Roman" w:hAnsi="Times New Roman" w:eastAsia="宋体" w:cs="Times New Roman"/>
                <w:color w:val="auto"/>
                <w:sz w:val="20"/>
                <w:szCs w:val="20"/>
                <w:lang w:val="en-US" w:eastAsia="zh-CN"/>
              </w:rPr>
              <w:t>年12月31日截止</w:t>
            </w:r>
          </w:p>
        </w:tc>
      </w:tr>
      <w:tr w14:paraId="6BE40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00" w:type="dxa"/>
            <w:shd w:val="clear" w:color="auto" w:fill="auto"/>
            <w:vAlign w:val="center"/>
          </w:tcPr>
          <w:p w14:paraId="3065C68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141</w:t>
            </w:r>
          </w:p>
        </w:tc>
        <w:tc>
          <w:tcPr>
            <w:tcW w:w="906" w:type="dxa"/>
            <w:shd w:val="clear" w:color="auto" w:fill="auto"/>
            <w:vAlign w:val="center"/>
          </w:tcPr>
          <w:p w14:paraId="408C0FE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支持绿色发展税费优惠政策</w:t>
            </w:r>
          </w:p>
        </w:tc>
        <w:tc>
          <w:tcPr>
            <w:tcW w:w="3227" w:type="dxa"/>
            <w:shd w:val="clear" w:color="auto" w:fill="auto"/>
            <w:vAlign w:val="center"/>
          </w:tcPr>
          <w:p w14:paraId="691A289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免征国家重大水利工程建设基金教育费附加</w:t>
            </w:r>
          </w:p>
        </w:tc>
        <w:tc>
          <w:tcPr>
            <w:tcW w:w="2334" w:type="dxa"/>
            <w:shd w:val="clear" w:color="auto" w:fill="auto"/>
            <w:vAlign w:val="center"/>
          </w:tcPr>
          <w:p w14:paraId="35B5AAC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国家税务总局关于免征国家重大水利工程建 设基金的城市维护建设税和教育费附加的通知》（财税 〔2010〕44 号）</w:t>
            </w:r>
          </w:p>
        </w:tc>
        <w:tc>
          <w:tcPr>
            <w:tcW w:w="770" w:type="dxa"/>
            <w:shd w:val="clear" w:color="auto" w:fill="auto"/>
            <w:vAlign w:val="center"/>
          </w:tcPr>
          <w:p w14:paraId="184AD38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2EC4B41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5C2499B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235A8D5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47A7A71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27ECD6D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1099E47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57446BE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078EE5E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长期</w:t>
            </w:r>
          </w:p>
        </w:tc>
      </w:tr>
      <w:tr w14:paraId="69F0A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00" w:type="dxa"/>
            <w:shd w:val="clear" w:color="auto" w:fill="auto"/>
            <w:vAlign w:val="center"/>
          </w:tcPr>
          <w:p w14:paraId="0C3A150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142</w:t>
            </w:r>
          </w:p>
        </w:tc>
        <w:tc>
          <w:tcPr>
            <w:tcW w:w="906" w:type="dxa"/>
            <w:shd w:val="clear" w:color="auto" w:fill="auto"/>
            <w:vAlign w:val="center"/>
          </w:tcPr>
          <w:p w14:paraId="3DE528F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支持绿色发展税费优惠政策</w:t>
            </w:r>
          </w:p>
        </w:tc>
        <w:tc>
          <w:tcPr>
            <w:tcW w:w="3227" w:type="dxa"/>
            <w:shd w:val="clear" w:color="auto" w:fill="auto"/>
            <w:vAlign w:val="center"/>
          </w:tcPr>
          <w:p w14:paraId="63AB7AF0">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对中国清洁发展机制基金取得的收入，免征企业所得税</w:t>
            </w:r>
          </w:p>
        </w:tc>
        <w:tc>
          <w:tcPr>
            <w:tcW w:w="2334" w:type="dxa"/>
            <w:shd w:val="clear" w:color="auto" w:fill="auto"/>
            <w:vAlign w:val="center"/>
          </w:tcPr>
          <w:p w14:paraId="0A6EB242">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国家税务总局关于中国清洁发展机制基金及 清洁发展机制项目实施企业有关企业所得税政策问题的通 知》（财税〔2009〕30 号）</w:t>
            </w:r>
          </w:p>
        </w:tc>
        <w:tc>
          <w:tcPr>
            <w:tcW w:w="770" w:type="dxa"/>
            <w:shd w:val="clear" w:color="auto" w:fill="auto"/>
            <w:vAlign w:val="center"/>
          </w:tcPr>
          <w:p w14:paraId="43CEBB9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7A1B60A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79B1078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0B6D4FC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6FF5BE7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31C44F3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3C18DA2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728B17C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216737E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长期</w:t>
            </w:r>
          </w:p>
        </w:tc>
      </w:tr>
      <w:tr w14:paraId="4594A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00" w:type="dxa"/>
            <w:shd w:val="clear" w:color="auto" w:fill="auto"/>
            <w:vAlign w:val="center"/>
          </w:tcPr>
          <w:p w14:paraId="2D8200B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143</w:t>
            </w:r>
          </w:p>
        </w:tc>
        <w:tc>
          <w:tcPr>
            <w:tcW w:w="906" w:type="dxa"/>
            <w:shd w:val="clear" w:color="auto" w:fill="auto"/>
            <w:vAlign w:val="center"/>
          </w:tcPr>
          <w:p w14:paraId="6DFB4DD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支持绿色发展税费优惠政策</w:t>
            </w:r>
          </w:p>
        </w:tc>
        <w:tc>
          <w:tcPr>
            <w:tcW w:w="3227" w:type="dxa"/>
            <w:shd w:val="clear" w:color="auto" w:fill="auto"/>
            <w:vAlign w:val="center"/>
          </w:tcPr>
          <w:p w14:paraId="7817B0D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对企业实施CDM项目获得的收入分类征收企业所得税</w:t>
            </w:r>
          </w:p>
        </w:tc>
        <w:tc>
          <w:tcPr>
            <w:tcW w:w="2334" w:type="dxa"/>
            <w:shd w:val="clear" w:color="auto" w:fill="auto"/>
            <w:vAlign w:val="center"/>
          </w:tcPr>
          <w:p w14:paraId="705AE8B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国家税务总局关于中国清洁发展机制基金及清洁发展机制项目实施企业有关企业所得税政策问题的通知》（财税〔2009〕30 号）</w:t>
            </w:r>
          </w:p>
        </w:tc>
        <w:tc>
          <w:tcPr>
            <w:tcW w:w="770" w:type="dxa"/>
            <w:shd w:val="clear" w:color="auto" w:fill="auto"/>
            <w:vAlign w:val="center"/>
          </w:tcPr>
          <w:p w14:paraId="4822318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7C7E446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1E736F6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2EE41EB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5021002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1DFC7CC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56B69D4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35FA2FF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29ECA0E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长期</w:t>
            </w:r>
          </w:p>
        </w:tc>
      </w:tr>
      <w:tr w14:paraId="68370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00" w:type="dxa"/>
            <w:shd w:val="clear" w:color="auto" w:fill="auto"/>
            <w:vAlign w:val="center"/>
          </w:tcPr>
          <w:p w14:paraId="1E4F548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144</w:t>
            </w:r>
          </w:p>
        </w:tc>
        <w:tc>
          <w:tcPr>
            <w:tcW w:w="906" w:type="dxa"/>
            <w:shd w:val="clear" w:color="auto" w:fill="auto"/>
            <w:vAlign w:val="center"/>
          </w:tcPr>
          <w:p w14:paraId="45F9205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支持绿色发展税费优惠政策</w:t>
            </w:r>
          </w:p>
        </w:tc>
        <w:tc>
          <w:tcPr>
            <w:tcW w:w="3227" w:type="dxa"/>
            <w:shd w:val="clear" w:color="auto" w:fill="auto"/>
            <w:vAlign w:val="center"/>
          </w:tcPr>
          <w:p w14:paraId="670EBE1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免征水电站其他用地城镇土地使用税</w:t>
            </w:r>
          </w:p>
        </w:tc>
        <w:tc>
          <w:tcPr>
            <w:tcW w:w="2334" w:type="dxa"/>
            <w:shd w:val="clear" w:color="auto" w:fill="auto"/>
            <w:vAlign w:val="center"/>
          </w:tcPr>
          <w:p w14:paraId="1696D15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《国家税务局关于电力行业征免土地使用税问题的规定》（国税地字〔1989〕13号）</w:t>
            </w:r>
          </w:p>
        </w:tc>
        <w:tc>
          <w:tcPr>
            <w:tcW w:w="770" w:type="dxa"/>
            <w:shd w:val="clear" w:color="auto" w:fill="auto"/>
            <w:vAlign w:val="center"/>
          </w:tcPr>
          <w:p w14:paraId="1345B97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688CA5A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7671756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4FECD81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0AD5787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0E1B6C0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16D6354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0487387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56A4BB7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长期</w:t>
            </w:r>
          </w:p>
        </w:tc>
      </w:tr>
      <w:tr w14:paraId="321AF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00" w:type="dxa"/>
            <w:shd w:val="clear" w:color="auto" w:fill="auto"/>
            <w:vAlign w:val="center"/>
          </w:tcPr>
          <w:p w14:paraId="2B7D8D5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145</w:t>
            </w:r>
          </w:p>
        </w:tc>
        <w:tc>
          <w:tcPr>
            <w:tcW w:w="906" w:type="dxa"/>
            <w:shd w:val="clear" w:color="auto" w:fill="auto"/>
            <w:vAlign w:val="center"/>
          </w:tcPr>
          <w:p w14:paraId="4A33C38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支持绿色发展税费优惠政策</w:t>
            </w:r>
          </w:p>
        </w:tc>
        <w:tc>
          <w:tcPr>
            <w:tcW w:w="3227" w:type="dxa"/>
            <w:shd w:val="clear" w:color="auto" w:fill="auto"/>
            <w:vAlign w:val="center"/>
          </w:tcPr>
          <w:p w14:paraId="7F0F616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对分布式光伏发电自发自用电量免收国家重大水利工程建设基金</w:t>
            </w:r>
          </w:p>
        </w:tc>
        <w:tc>
          <w:tcPr>
            <w:tcW w:w="2334" w:type="dxa"/>
            <w:shd w:val="clear" w:color="auto" w:fill="auto"/>
            <w:vAlign w:val="center"/>
          </w:tcPr>
          <w:p w14:paraId="521AF85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《财政部关于对分布式光伏发电自发自用电量免征政府性基金有关问题的通知》（财综〔2013〕103 号）</w:t>
            </w:r>
          </w:p>
        </w:tc>
        <w:tc>
          <w:tcPr>
            <w:tcW w:w="770" w:type="dxa"/>
            <w:shd w:val="clear" w:color="auto" w:fill="auto"/>
            <w:vAlign w:val="center"/>
          </w:tcPr>
          <w:p w14:paraId="1785E6A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5F41F77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7920CF6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393CAF4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538C76E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26EE449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7880A35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0EB6D02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22E5304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长期</w:t>
            </w:r>
          </w:p>
        </w:tc>
      </w:tr>
      <w:tr w14:paraId="12EE7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00" w:type="dxa"/>
            <w:shd w:val="clear" w:color="auto" w:fill="auto"/>
            <w:vAlign w:val="center"/>
          </w:tcPr>
          <w:p w14:paraId="321B128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146</w:t>
            </w:r>
          </w:p>
        </w:tc>
        <w:tc>
          <w:tcPr>
            <w:tcW w:w="906" w:type="dxa"/>
            <w:shd w:val="clear" w:color="auto" w:fill="auto"/>
            <w:vAlign w:val="center"/>
          </w:tcPr>
          <w:p w14:paraId="670CAC8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支持绿色发展税费优惠政策</w:t>
            </w:r>
          </w:p>
        </w:tc>
        <w:tc>
          <w:tcPr>
            <w:tcW w:w="3227" w:type="dxa"/>
            <w:shd w:val="clear" w:color="auto" w:fill="auto"/>
            <w:vAlign w:val="center"/>
          </w:tcPr>
          <w:p w14:paraId="5421D3A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对分布式光伏发电自发自用电量免收可再生能源电价附加</w:t>
            </w:r>
          </w:p>
        </w:tc>
        <w:tc>
          <w:tcPr>
            <w:tcW w:w="2334" w:type="dxa"/>
            <w:shd w:val="clear" w:color="auto" w:fill="auto"/>
            <w:vAlign w:val="center"/>
          </w:tcPr>
          <w:p w14:paraId="603F956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《财政部关于对分布式光伏发电自发自用电量免征政府性基金有关问题的通知》（财综〔2013〕103号）</w:t>
            </w:r>
          </w:p>
        </w:tc>
        <w:tc>
          <w:tcPr>
            <w:tcW w:w="770" w:type="dxa"/>
            <w:shd w:val="clear" w:color="auto" w:fill="auto"/>
            <w:vAlign w:val="center"/>
          </w:tcPr>
          <w:p w14:paraId="6D1D438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25895BC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395C8F2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2F34AAF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4A036E2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4336AF0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5FFEF0E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01D0FC1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6FC97FC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长期</w:t>
            </w:r>
          </w:p>
        </w:tc>
      </w:tr>
      <w:tr w14:paraId="076D5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00" w:type="dxa"/>
            <w:shd w:val="clear" w:color="auto" w:fill="auto"/>
            <w:vAlign w:val="center"/>
          </w:tcPr>
          <w:p w14:paraId="0C89D6B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147</w:t>
            </w:r>
          </w:p>
        </w:tc>
        <w:tc>
          <w:tcPr>
            <w:tcW w:w="906" w:type="dxa"/>
            <w:shd w:val="clear" w:color="auto" w:fill="auto"/>
            <w:vAlign w:val="center"/>
          </w:tcPr>
          <w:p w14:paraId="7EEDB6F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支持绿色发展税费优惠政策</w:t>
            </w:r>
          </w:p>
        </w:tc>
        <w:tc>
          <w:tcPr>
            <w:tcW w:w="3227" w:type="dxa"/>
            <w:shd w:val="clear" w:color="auto" w:fill="auto"/>
            <w:vAlign w:val="center"/>
          </w:tcPr>
          <w:p w14:paraId="61B17511">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对分布式光伏发电自发自用电量免收大中型水库移民后期扶持基金</w:t>
            </w:r>
          </w:p>
        </w:tc>
        <w:tc>
          <w:tcPr>
            <w:tcW w:w="2334" w:type="dxa"/>
            <w:shd w:val="clear" w:color="auto" w:fill="auto"/>
            <w:vAlign w:val="center"/>
          </w:tcPr>
          <w:p w14:paraId="1351919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《财政部关于对分布式光伏发电自发自用电量免征政 府性基金有关问题的通知》（财综〔2013〕103 号）</w:t>
            </w:r>
          </w:p>
        </w:tc>
        <w:tc>
          <w:tcPr>
            <w:tcW w:w="770" w:type="dxa"/>
            <w:shd w:val="clear" w:color="auto" w:fill="auto"/>
            <w:vAlign w:val="center"/>
          </w:tcPr>
          <w:p w14:paraId="2549BC8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5F25438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4095B1A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5C43BA7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09CEBAC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2AA7C78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1BBB8F4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5EF656B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246BA3D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长期</w:t>
            </w:r>
          </w:p>
        </w:tc>
      </w:tr>
      <w:tr w14:paraId="21042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00" w:type="dxa"/>
            <w:shd w:val="clear" w:color="auto" w:fill="auto"/>
            <w:vAlign w:val="center"/>
          </w:tcPr>
          <w:p w14:paraId="4BC3B45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148</w:t>
            </w:r>
          </w:p>
        </w:tc>
        <w:tc>
          <w:tcPr>
            <w:tcW w:w="906" w:type="dxa"/>
            <w:shd w:val="clear" w:color="auto" w:fill="auto"/>
            <w:vAlign w:val="center"/>
          </w:tcPr>
          <w:p w14:paraId="2EE98DD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支持绿色发展税费优惠政策</w:t>
            </w:r>
          </w:p>
        </w:tc>
        <w:tc>
          <w:tcPr>
            <w:tcW w:w="3227" w:type="dxa"/>
            <w:shd w:val="clear" w:color="auto" w:fill="auto"/>
            <w:vAlign w:val="center"/>
          </w:tcPr>
          <w:p w14:paraId="7FA51CE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对分布式光伏发电自发自用电量免收农网还贷资金</w:t>
            </w:r>
          </w:p>
        </w:tc>
        <w:tc>
          <w:tcPr>
            <w:tcW w:w="2334" w:type="dxa"/>
            <w:shd w:val="clear" w:color="auto" w:fill="auto"/>
            <w:vAlign w:val="center"/>
          </w:tcPr>
          <w:p w14:paraId="64458DC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《财政部关于对分布式光伏发电自发自用电量免征政 府性基金有关问题的通知》（财综〔2013〕103 号）</w:t>
            </w:r>
          </w:p>
        </w:tc>
        <w:tc>
          <w:tcPr>
            <w:tcW w:w="770" w:type="dxa"/>
            <w:shd w:val="clear" w:color="auto" w:fill="auto"/>
            <w:vAlign w:val="center"/>
          </w:tcPr>
          <w:p w14:paraId="1A95A27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1E0C489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6763A88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7FAA703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481B067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4793FA2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725A3EC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30E9E6B9">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4E7EFB0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长期</w:t>
            </w:r>
          </w:p>
        </w:tc>
      </w:tr>
      <w:tr w14:paraId="3C130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522" w:hRule="atLeast"/>
          <w:jc w:val="center"/>
        </w:trPr>
        <w:tc>
          <w:tcPr>
            <w:tcW w:w="500" w:type="dxa"/>
            <w:shd w:val="clear" w:color="auto" w:fill="auto"/>
            <w:vAlign w:val="center"/>
          </w:tcPr>
          <w:p w14:paraId="1B6D93E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149</w:t>
            </w:r>
          </w:p>
        </w:tc>
        <w:tc>
          <w:tcPr>
            <w:tcW w:w="906" w:type="dxa"/>
            <w:shd w:val="clear" w:color="auto" w:fill="auto"/>
            <w:vAlign w:val="center"/>
          </w:tcPr>
          <w:p w14:paraId="7063BC5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支持绿色发展税费优惠政策</w:t>
            </w:r>
          </w:p>
        </w:tc>
        <w:tc>
          <w:tcPr>
            <w:tcW w:w="3227" w:type="dxa"/>
            <w:shd w:val="clear" w:color="auto" w:fill="auto"/>
            <w:vAlign w:val="center"/>
          </w:tcPr>
          <w:p w14:paraId="7CE7F15A">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免征核电站其他用地城镇土地使用税</w:t>
            </w:r>
          </w:p>
        </w:tc>
        <w:tc>
          <w:tcPr>
            <w:tcW w:w="2334" w:type="dxa"/>
            <w:shd w:val="clear" w:color="auto" w:fill="auto"/>
            <w:vAlign w:val="center"/>
          </w:tcPr>
          <w:p w14:paraId="562C46A9">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国家税务总局关于核电站用地征免城镇土地 使用税的通知》（财税〔2007〕124 号）</w:t>
            </w:r>
          </w:p>
        </w:tc>
        <w:tc>
          <w:tcPr>
            <w:tcW w:w="770" w:type="dxa"/>
            <w:shd w:val="clear" w:color="auto" w:fill="auto"/>
            <w:vAlign w:val="center"/>
          </w:tcPr>
          <w:p w14:paraId="00DF01A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642D4EB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3FDC23D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4D031F2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021B9FD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21D340D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36F4031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21BA7D0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531CBAFE">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长期</w:t>
            </w:r>
          </w:p>
        </w:tc>
      </w:tr>
      <w:tr w14:paraId="242F1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00" w:type="dxa"/>
            <w:shd w:val="clear" w:color="auto" w:fill="auto"/>
            <w:vAlign w:val="center"/>
          </w:tcPr>
          <w:p w14:paraId="7902126F">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150</w:t>
            </w:r>
          </w:p>
        </w:tc>
        <w:tc>
          <w:tcPr>
            <w:tcW w:w="906" w:type="dxa"/>
            <w:shd w:val="clear" w:color="auto" w:fill="auto"/>
            <w:vAlign w:val="center"/>
          </w:tcPr>
          <w:p w14:paraId="0E128AF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支持绿色发展税费优惠政策</w:t>
            </w:r>
          </w:p>
        </w:tc>
        <w:tc>
          <w:tcPr>
            <w:tcW w:w="3227" w:type="dxa"/>
            <w:shd w:val="clear" w:color="auto" w:fill="auto"/>
            <w:vAlign w:val="center"/>
          </w:tcPr>
          <w:p w14:paraId="6F3E186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对核电站应税土地在基建期内减征城镇土地使用税</w:t>
            </w:r>
          </w:p>
        </w:tc>
        <w:tc>
          <w:tcPr>
            <w:tcW w:w="2334" w:type="dxa"/>
            <w:shd w:val="clear" w:color="auto" w:fill="auto"/>
            <w:vAlign w:val="center"/>
          </w:tcPr>
          <w:p w14:paraId="68A278E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《财政部 国家税务总局关于核电站用地征免城镇土地 使用税的通知》（财税〔2007〕124 号）</w:t>
            </w:r>
          </w:p>
        </w:tc>
        <w:tc>
          <w:tcPr>
            <w:tcW w:w="770" w:type="dxa"/>
            <w:shd w:val="clear" w:color="auto" w:fill="auto"/>
            <w:vAlign w:val="center"/>
          </w:tcPr>
          <w:p w14:paraId="305E699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减免类</w:t>
            </w:r>
          </w:p>
        </w:tc>
        <w:tc>
          <w:tcPr>
            <w:tcW w:w="770" w:type="dxa"/>
            <w:shd w:val="clear" w:color="auto" w:fill="auto"/>
            <w:vAlign w:val="center"/>
          </w:tcPr>
          <w:p w14:paraId="4173D79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国家级</w:t>
            </w:r>
          </w:p>
        </w:tc>
        <w:tc>
          <w:tcPr>
            <w:tcW w:w="770" w:type="dxa"/>
            <w:shd w:val="clear" w:color="auto" w:fill="auto"/>
            <w:vAlign w:val="center"/>
          </w:tcPr>
          <w:p w14:paraId="25B01C58">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10005DE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市政务服务中心惠企政策服务专窗</w:t>
            </w:r>
          </w:p>
        </w:tc>
        <w:tc>
          <w:tcPr>
            <w:tcW w:w="942" w:type="dxa"/>
            <w:shd w:val="clear" w:color="auto" w:fill="auto"/>
            <w:vAlign w:val="center"/>
          </w:tcPr>
          <w:p w14:paraId="62A4620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国家税务总局广安市税务局</w:t>
            </w:r>
          </w:p>
        </w:tc>
        <w:tc>
          <w:tcPr>
            <w:tcW w:w="1085" w:type="dxa"/>
            <w:shd w:val="clear" w:color="auto" w:fill="auto"/>
            <w:vAlign w:val="center"/>
          </w:tcPr>
          <w:p w14:paraId="64E7FD3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企业</w:t>
            </w:r>
          </w:p>
        </w:tc>
        <w:tc>
          <w:tcPr>
            <w:tcW w:w="705" w:type="dxa"/>
            <w:shd w:val="clear" w:color="auto" w:fill="auto"/>
            <w:vAlign w:val="center"/>
          </w:tcPr>
          <w:p w14:paraId="56D0596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免申即享</w:t>
            </w:r>
          </w:p>
        </w:tc>
        <w:tc>
          <w:tcPr>
            <w:tcW w:w="1171" w:type="dxa"/>
            <w:shd w:val="clear" w:color="auto" w:fill="auto"/>
            <w:vAlign w:val="center"/>
          </w:tcPr>
          <w:p w14:paraId="4AE6BF6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p>
        </w:tc>
        <w:tc>
          <w:tcPr>
            <w:tcW w:w="1095" w:type="dxa"/>
            <w:shd w:val="clear" w:color="auto" w:fill="auto"/>
            <w:vAlign w:val="center"/>
          </w:tcPr>
          <w:p w14:paraId="5BBE6623">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长期</w:t>
            </w:r>
          </w:p>
        </w:tc>
      </w:tr>
      <w:tr w14:paraId="2E7BA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00" w:type="dxa"/>
            <w:shd w:val="clear" w:color="auto" w:fill="auto"/>
            <w:vAlign w:val="center"/>
          </w:tcPr>
          <w:p w14:paraId="66CD657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151</w:t>
            </w:r>
          </w:p>
        </w:tc>
        <w:tc>
          <w:tcPr>
            <w:tcW w:w="906" w:type="dxa"/>
            <w:shd w:val="clear" w:color="auto" w:fill="auto"/>
            <w:vAlign w:val="center"/>
          </w:tcPr>
          <w:p w14:paraId="5421EF6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实施旅行社引客入广奖补</w:t>
            </w:r>
          </w:p>
        </w:tc>
        <w:tc>
          <w:tcPr>
            <w:tcW w:w="3227" w:type="dxa"/>
            <w:shd w:val="clear" w:color="auto" w:fill="auto"/>
            <w:vAlign w:val="center"/>
          </w:tcPr>
          <w:p w14:paraId="6EFB84B5">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对2025年4月1日至2025年12月31日期间，组织境外旅游团来广的旅行社，按游客每人次100元给予奖励。组织市外旅游团来广的旅行社，按游客每人次20元给予奖励，对组织市外研学团队单次300人及以上来广的旅行社，再按游客每人次10元追加奖励。</w:t>
            </w:r>
          </w:p>
        </w:tc>
        <w:tc>
          <w:tcPr>
            <w:tcW w:w="2334" w:type="dxa"/>
            <w:shd w:val="clear" w:color="auto" w:fill="auto"/>
            <w:vAlign w:val="center"/>
          </w:tcPr>
          <w:p w14:paraId="2BE44B5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广安市人民政府办公室印发《广安市关于进一步推动经济运行回升向好的若干政策措施》的通知》</w:t>
            </w:r>
          </w:p>
          <w:p w14:paraId="4411339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（广安府办规〔2025〕3 号）</w:t>
            </w:r>
          </w:p>
        </w:tc>
        <w:tc>
          <w:tcPr>
            <w:tcW w:w="770" w:type="dxa"/>
            <w:shd w:val="clear" w:color="auto" w:fill="auto"/>
            <w:vAlign w:val="center"/>
          </w:tcPr>
          <w:p w14:paraId="2DAEE9F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奖补类</w:t>
            </w:r>
          </w:p>
        </w:tc>
        <w:tc>
          <w:tcPr>
            <w:tcW w:w="770" w:type="dxa"/>
            <w:shd w:val="clear" w:color="auto" w:fill="auto"/>
            <w:vAlign w:val="center"/>
          </w:tcPr>
          <w:p w14:paraId="34BF53F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770" w:type="dxa"/>
            <w:shd w:val="clear" w:color="auto" w:fill="auto"/>
            <w:vAlign w:val="center"/>
          </w:tcPr>
          <w:p w14:paraId="3F68A0F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41105CE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w:t>
            </w:r>
            <w:r>
              <w:rPr>
                <w:rFonts w:hint="default" w:ascii="宋体" w:hAnsi="宋体" w:eastAsia="宋体" w:cs="宋体"/>
                <w:color w:val="auto"/>
                <w:sz w:val="20"/>
                <w:szCs w:val="20"/>
                <w:lang w:val="en-US" w:eastAsia="zh-CN"/>
              </w:rPr>
              <w:t>政务服务中心惠企政策服务专窗</w:t>
            </w:r>
          </w:p>
        </w:tc>
        <w:tc>
          <w:tcPr>
            <w:tcW w:w="942" w:type="dxa"/>
            <w:shd w:val="clear" w:color="auto" w:fill="auto"/>
            <w:vAlign w:val="center"/>
          </w:tcPr>
          <w:p w14:paraId="1800A14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市文化广电旅游局</w:t>
            </w:r>
          </w:p>
        </w:tc>
        <w:tc>
          <w:tcPr>
            <w:tcW w:w="1085" w:type="dxa"/>
            <w:shd w:val="clear" w:color="auto" w:fill="auto"/>
            <w:vAlign w:val="center"/>
          </w:tcPr>
          <w:p w14:paraId="6933ED3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旅行社</w:t>
            </w:r>
          </w:p>
        </w:tc>
        <w:tc>
          <w:tcPr>
            <w:tcW w:w="705" w:type="dxa"/>
            <w:shd w:val="clear" w:color="auto" w:fill="auto"/>
            <w:vAlign w:val="center"/>
          </w:tcPr>
          <w:p w14:paraId="06881765">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快申</w:t>
            </w:r>
          </w:p>
          <w:p w14:paraId="2C66D5D1">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快享</w:t>
            </w:r>
          </w:p>
        </w:tc>
        <w:tc>
          <w:tcPr>
            <w:tcW w:w="1171" w:type="dxa"/>
            <w:shd w:val="clear" w:color="auto" w:fill="auto"/>
            <w:vAlign w:val="center"/>
          </w:tcPr>
          <w:p w14:paraId="44A5C6A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按程序执行</w:t>
            </w:r>
          </w:p>
        </w:tc>
        <w:tc>
          <w:tcPr>
            <w:tcW w:w="1095" w:type="dxa"/>
            <w:shd w:val="clear" w:color="auto" w:fill="auto"/>
            <w:vAlign w:val="center"/>
          </w:tcPr>
          <w:p w14:paraId="656C18E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2025年4月 1日至2025 年12月31 日</w:t>
            </w:r>
          </w:p>
        </w:tc>
      </w:tr>
      <w:tr w14:paraId="4B139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00" w:type="dxa"/>
            <w:shd w:val="clear" w:color="auto" w:fill="auto"/>
            <w:vAlign w:val="center"/>
          </w:tcPr>
          <w:p w14:paraId="508D2E5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152</w:t>
            </w:r>
          </w:p>
        </w:tc>
        <w:tc>
          <w:tcPr>
            <w:tcW w:w="906" w:type="dxa"/>
            <w:shd w:val="clear" w:color="auto" w:fill="auto"/>
            <w:vAlign w:val="center"/>
          </w:tcPr>
          <w:p w14:paraId="45A2BC4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实施重大文旅消费促进活动激励</w:t>
            </w:r>
          </w:p>
        </w:tc>
        <w:tc>
          <w:tcPr>
            <w:tcW w:w="3227" w:type="dxa"/>
            <w:shd w:val="clear" w:color="auto" w:fill="auto"/>
            <w:vAlign w:val="center"/>
          </w:tcPr>
          <w:p w14:paraId="09284354">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对2025年4月1日至2025年12月31日期间，引进在广安举办国际性、全国性、全省性重大文旅消费促进活动的单位，分别按200万元、100万元、50万元给予奖励。</w:t>
            </w:r>
          </w:p>
          <w:p w14:paraId="4666303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重大文旅消费促进活动指由政府部门、文旅机构或相关企业举办的规模较大、影响力较广，旨在促进文化和旅游消费增长的活动，包括但不限于文化展览、旅游节庆、大型演唱会、音乐节。</w:t>
            </w:r>
          </w:p>
        </w:tc>
        <w:tc>
          <w:tcPr>
            <w:tcW w:w="2334" w:type="dxa"/>
            <w:shd w:val="clear" w:color="auto" w:fill="auto"/>
            <w:vAlign w:val="center"/>
          </w:tcPr>
          <w:p w14:paraId="5DD028C3">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广安市人民政府办公室印发《广安市关于进一步推动经济运行回升向好的若干政策措施》的通知》</w:t>
            </w:r>
          </w:p>
          <w:p w14:paraId="7BF57EDB">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（广安府办规〔2025〕3 号）</w:t>
            </w:r>
          </w:p>
        </w:tc>
        <w:tc>
          <w:tcPr>
            <w:tcW w:w="770" w:type="dxa"/>
            <w:shd w:val="clear" w:color="auto" w:fill="auto"/>
            <w:vAlign w:val="center"/>
          </w:tcPr>
          <w:p w14:paraId="5214AA2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奖补类</w:t>
            </w:r>
          </w:p>
        </w:tc>
        <w:tc>
          <w:tcPr>
            <w:tcW w:w="770" w:type="dxa"/>
            <w:shd w:val="clear" w:color="auto" w:fill="auto"/>
            <w:vAlign w:val="center"/>
          </w:tcPr>
          <w:p w14:paraId="261F305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770" w:type="dxa"/>
            <w:shd w:val="clear" w:color="auto" w:fill="auto"/>
            <w:vAlign w:val="center"/>
          </w:tcPr>
          <w:p w14:paraId="2105201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334B29B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w:t>
            </w:r>
            <w:r>
              <w:rPr>
                <w:rFonts w:hint="default" w:ascii="宋体" w:hAnsi="宋体" w:eastAsia="宋体" w:cs="宋体"/>
                <w:color w:val="auto"/>
                <w:sz w:val="20"/>
                <w:szCs w:val="20"/>
                <w:lang w:val="en-US" w:eastAsia="zh-CN"/>
              </w:rPr>
              <w:t>政务服务中心惠企政策服务专窗</w:t>
            </w:r>
          </w:p>
        </w:tc>
        <w:tc>
          <w:tcPr>
            <w:tcW w:w="942" w:type="dxa"/>
            <w:shd w:val="clear" w:color="auto" w:fill="auto"/>
            <w:vAlign w:val="center"/>
          </w:tcPr>
          <w:p w14:paraId="3FF1E62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市文化广电旅游局</w:t>
            </w:r>
          </w:p>
        </w:tc>
        <w:tc>
          <w:tcPr>
            <w:tcW w:w="1085" w:type="dxa"/>
            <w:shd w:val="clear" w:color="auto" w:fill="auto"/>
            <w:vAlign w:val="center"/>
          </w:tcPr>
          <w:p w14:paraId="30CFB06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行政机关、企业事业单位、公司</w:t>
            </w:r>
          </w:p>
        </w:tc>
        <w:tc>
          <w:tcPr>
            <w:tcW w:w="705" w:type="dxa"/>
            <w:shd w:val="clear" w:color="auto" w:fill="auto"/>
            <w:vAlign w:val="center"/>
          </w:tcPr>
          <w:p w14:paraId="1317A110">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即审</w:t>
            </w:r>
          </w:p>
          <w:p w14:paraId="6087404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3CABC7E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按程序执行</w:t>
            </w:r>
          </w:p>
        </w:tc>
        <w:tc>
          <w:tcPr>
            <w:tcW w:w="1095" w:type="dxa"/>
            <w:shd w:val="clear" w:color="auto" w:fill="auto"/>
            <w:vAlign w:val="center"/>
          </w:tcPr>
          <w:p w14:paraId="4877887F">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2025年4月 1日至2025 年12月31 日</w:t>
            </w:r>
          </w:p>
        </w:tc>
      </w:tr>
      <w:tr w14:paraId="0F3F5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00" w:type="dxa"/>
            <w:shd w:val="clear" w:color="auto" w:fill="auto"/>
            <w:vAlign w:val="center"/>
          </w:tcPr>
          <w:p w14:paraId="2B479F9C">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center"/>
              <w:textAlignment w:val="center"/>
              <w:rPr>
                <w:rFonts w:hint="default"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b w:val="0"/>
                <w:bCs w:val="0"/>
                <w:i w:val="0"/>
                <w:color w:val="000000" w:themeColor="text1"/>
                <w:kern w:val="0"/>
                <w:sz w:val="20"/>
                <w:szCs w:val="20"/>
                <w:u w:val="none"/>
                <w:lang w:val="en-US" w:eastAsia="zh-CN" w:bidi="ar"/>
                <w14:textFill>
                  <w14:solidFill>
                    <w14:schemeClr w14:val="tx1"/>
                  </w14:solidFill>
                </w14:textFill>
              </w:rPr>
              <w:t>153</w:t>
            </w:r>
          </w:p>
        </w:tc>
        <w:tc>
          <w:tcPr>
            <w:tcW w:w="906" w:type="dxa"/>
            <w:shd w:val="clear" w:color="auto" w:fill="auto"/>
            <w:vAlign w:val="center"/>
          </w:tcPr>
          <w:p w14:paraId="46BCDA9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实施“跟着微短剧去旅行”创作计划</w:t>
            </w:r>
          </w:p>
        </w:tc>
        <w:tc>
          <w:tcPr>
            <w:tcW w:w="3227" w:type="dxa"/>
            <w:shd w:val="clear" w:color="auto" w:fill="auto"/>
            <w:vAlign w:val="center"/>
          </w:tcPr>
          <w:p w14:paraId="74B95DF8">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对2025年4月1日至2025年12月31日期间，在广安取景拍摄制作微短剧开展文旅宣传，在头部网络微短剧视听平台播出且单集全网播放量达500万以上的单位，按每集1万元给予奖励，每部微短剧不超过10万元。</w:t>
            </w:r>
          </w:p>
        </w:tc>
        <w:tc>
          <w:tcPr>
            <w:tcW w:w="2334" w:type="dxa"/>
            <w:shd w:val="clear" w:color="auto" w:fill="auto"/>
            <w:vAlign w:val="center"/>
          </w:tcPr>
          <w:p w14:paraId="4F539FD7">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广安市人民政府办公室印发《广安市关于进一步推动经济运行回升向好的若干政策措施》的通知》</w:t>
            </w:r>
          </w:p>
          <w:p w14:paraId="20C4387D">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70" w:lineRule="exact"/>
              <w:ind w:left="42" w:leftChars="20" w:right="42" w:rightChars="20"/>
              <w:jc w:val="both"/>
              <w:textAlignment w:val="center"/>
              <w:rPr>
                <w:rFonts w:hint="eastAsia" w:ascii="Times New Roman" w:hAnsi="Times New Roman" w:eastAsia="宋体" w:cs="Times New Roman"/>
                <w:b w:val="0"/>
                <w:bCs w:val="0"/>
                <w:i w:val="0"/>
                <w:color w:val="000000"/>
                <w:kern w:val="0"/>
                <w:sz w:val="20"/>
                <w:szCs w:val="20"/>
                <w:u w:val="none"/>
                <w:lang w:val="en-US" w:eastAsia="zh-CN" w:bidi="ar"/>
              </w:rPr>
            </w:pPr>
            <w:r>
              <w:rPr>
                <w:rFonts w:hint="eastAsia" w:ascii="Times New Roman" w:hAnsi="Times New Roman" w:eastAsia="宋体" w:cs="Times New Roman"/>
                <w:b w:val="0"/>
                <w:bCs w:val="0"/>
                <w:i w:val="0"/>
                <w:color w:val="000000"/>
                <w:kern w:val="0"/>
                <w:sz w:val="20"/>
                <w:szCs w:val="20"/>
                <w:u w:val="none"/>
                <w:lang w:val="en-US" w:eastAsia="zh-CN" w:bidi="ar"/>
              </w:rPr>
              <w:t>（广安府办规〔2025〕3 号）</w:t>
            </w:r>
          </w:p>
        </w:tc>
        <w:tc>
          <w:tcPr>
            <w:tcW w:w="770" w:type="dxa"/>
            <w:shd w:val="clear" w:color="auto" w:fill="auto"/>
            <w:vAlign w:val="center"/>
          </w:tcPr>
          <w:p w14:paraId="170F4047">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奖补类</w:t>
            </w:r>
          </w:p>
        </w:tc>
        <w:tc>
          <w:tcPr>
            <w:tcW w:w="770" w:type="dxa"/>
            <w:shd w:val="clear" w:color="auto" w:fill="auto"/>
            <w:vAlign w:val="center"/>
          </w:tcPr>
          <w:p w14:paraId="328F67C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770" w:type="dxa"/>
            <w:shd w:val="clear" w:color="auto" w:fill="auto"/>
            <w:vAlign w:val="center"/>
          </w:tcPr>
          <w:p w14:paraId="581502B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广安市</w:t>
            </w:r>
          </w:p>
        </w:tc>
        <w:tc>
          <w:tcPr>
            <w:tcW w:w="888" w:type="dxa"/>
            <w:shd w:val="clear" w:color="auto" w:fill="auto"/>
            <w:vAlign w:val="center"/>
          </w:tcPr>
          <w:p w14:paraId="4C5F2FB6">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w:t>
            </w:r>
            <w:r>
              <w:rPr>
                <w:rFonts w:hint="default" w:ascii="宋体" w:hAnsi="宋体" w:eastAsia="宋体" w:cs="宋体"/>
                <w:color w:val="auto"/>
                <w:sz w:val="20"/>
                <w:szCs w:val="20"/>
                <w:lang w:val="en-US" w:eastAsia="zh-CN"/>
              </w:rPr>
              <w:t>政务服务中心惠企政策服务专窗</w:t>
            </w:r>
          </w:p>
        </w:tc>
        <w:tc>
          <w:tcPr>
            <w:tcW w:w="942" w:type="dxa"/>
            <w:shd w:val="clear" w:color="auto" w:fill="auto"/>
            <w:vAlign w:val="center"/>
          </w:tcPr>
          <w:p w14:paraId="4514C75C">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市文化广电旅游局</w:t>
            </w:r>
          </w:p>
        </w:tc>
        <w:tc>
          <w:tcPr>
            <w:tcW w:w="1085" w:type="dxa"/>
            <w:shd w:val="clear" w:color="auto" w:fill="auto"/>
            <w:vAlign w:val="center"/>
          </w:tcPr>
          <w:p w14:paraId="7DAC8492">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企业事业单位、公司、个人</w:t>
            </w:r>
          </w:p>
        </w:tc>
        <w:tc>
          <w:tcPr>
            <w:tcW w:w="705" w:type="dxa"/>
            <w:shd w:val="clear" w:color="auto" w:fill="auto"/>
            <w:vAlign w:val="center"/>
          </w:tcPr>
          <w:p w14:paraId="74583B8A">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即审</w:t>
            </w:r>
          </w:p>
          <w:p w14:paraId="49C94884">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即享</w:t>
            </w:r>
          </w:p>
        </w:tc>
        <w:tc>
          <w:tcPr>
            <w:tcW w:w="1171" w:type="dxa"/>
            <w:shd w:val="clear" w:color="auto" w:fill="auto"/>
            <w:vAlign w:val="center"/>
          </w:tcPr>
          <w:p w14:paraId="05F995FB">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按程序执行</w:t>
            </w:r>
          </w:p>
        </w:tc>
        <w:tc>
          <w:tcPr>
            <w:tcW w:w="1095" w:type="dxa"/>
            <w:shd w:val="clear" w:color="auto" w:fill="auto"/>
            <w:vAlign w:val="center"/>
          </w:tcPr>
          <w:p w14:paraId="1072858D">
            <w:pPr>
              <w:keepNext w:val="0"/>
              <w:keepLines w:val="0"/>
              <w:pageBreakBefore w:val="0"/>
              <w:widowControl w:val="0"/>
              <w:suppressLineNumbers w:val="0"/>
              <w:kinsoku/>
              <w:wordWrap/>
              <w:overflowPunct/>
              <w:topLinePunct w:val="0"/>
              <w:autoSpaceDE/>
              <w:autoSpaceDN w:val="0"/>
              <w:bidi w:val="0"/>
              <w:adjustRightInd/>
              <w:snapToGrid/>
              <w:spacing w:line="270" w:lineRule="exact"/>
              <w:ind w:left="42" w:leftChars="20" w:right="42" w:rightChars="20"/>
              <w:jc w:val="center"/>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2025年4月 1日至2025 年12月31 日</w:t>
            </w:r>
          </w:p>
        </w:tc>
      </w:tr>
    </w:tbl>
    <w:p w14:paraId="5B03D6E5"/>
    <w:sectPr>
      <w:footerReference r:id="rId4" w:type="default"/>
      <w:pgSz w:w="16838" w:h="11906" w:orient="landscape"/>
      <w:pgMar w:top="1531" w:right="1531" w:bottom="1531" w:left="1531" w:header="851" w:footer="992" w:gutter="0"/>
      <w:pgBorders w:offsetFrom="page">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095C0">
    <w:pPr>
      <w:pStyle w:val="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50ECC">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4015105</wp:posOffset>
              </wp:positionH>
              <wp:positionV relativeFrom="paragraph">
                <wp:posOffset>-85725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622EF7">
                          <w:pPr>
                            <w:pStyle w:val="2"/>
                            <w:rPr>
                              <w:rFonts w:hint="eastAsia" w:eastAsiaTheme="minorEastAsia"/>
                              <w:sz w:val="28"/>
                              <w:szCs w:val="28"/>
                              <w:lang w:eastAsia="zh-CN"/>
                            </w:rPr>
                          </w:pPr>
                          <w:r>
                            <w:rPr>
                              <w:rFonts w:hint="eastAsia"/>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16.15pt;margin-top:-6.75pt;height:144pt;width:144pt;mso-position-horizontal-relative:margin;mso-wrap-style:none;z-index:251659264;mso-width-relative:page;mso-height-relative:page;" filled="f" stroked="f" coordsize="21600,21600" o:gfxdata="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8oM6XZAAAACwEAAA8AAAAAAAAAAQAgAAAAIgAAAGRycy9kb3ducmV2Lnht&#10;bFBLAQIUABQAAAAIAIdO4kAkgka0MQIAAGEEAAAOAAAAAAAAAAEAIAAAACgBAABkcnMvZTJvRG9j&#10;LnhtbFBLBQYAAAAABgAGAFkBAADLBQAAAAA=&#10;">
              <v:fill on="f" focussize="0,0"/>
              <v:stroke on="f" weight="0.5pt"/>
              <v:imagedata o:title=""/>
              <o:lock v:ext="edit" aspectratio="f"/>
              <v:textbox inset="0mm,0mm,0mm,0mm" style="mso-fit-shape-to-text:t;">
                <w:txbxContent>
                  <w:p w14:paraId="5E622EF7">
                    <w:pPr>
                      <w:pStyle w:val="2"/>
                      <w:rPr>
                        <w:rFonts w:hint="eastAsia" w:eastAsiaTheme="minorEastAsia"/>
                        <w:sz w:val="28"/>
                        <w:szCs w:val="28"/>
                        <w:lang w:eastAsia="zh-CN"/>
                      </w:rPr>
                    </w:pPr>
                    <w:r>
                      <w:rPr>
                        <w:rFonts w:hint="eastAsia"/>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E6305D"/>
    <w:rsid w:val="00B0507A"/>
    <w:rsid w:val="03E94B2B"/>
    <w:rsid w:val="04272627"/>
    <w:rsid w:val="05067436"/>
    <w:rsid w:val="06701EE5"/>
    <w:rsid w:val="0A860F55"/>
    <w:rsid w:val="0BEF2B3A"/>
    <w:rsid w:val="0C0054E2"/>
    <w:rsid w:val="0C04288D"/>
    <w:rsid w:val="0C7E7DDA"/>
    <w:rsid w:val="0FF24D67"/>
    <w:rsid w:val="145E2AD3"/>
    <w:rsid w:val="16293D45"/>
    <w:rsid w:val="16596193"/>
    <w:rsid w:val="18D72912"/>
    <w:rsid w:val="19D8128E"/>
    <w:rsid w:val="1A807414"/>
    <w:rsid w:val="1B33350C"/>
    <w:rsid w:val="1DF93126"/>
    <w:rsid w:val="1E181E86"/>
    <w:rsid w:val="20661434"/>
    <w:rsid w:val="21311468"/>
    <w:rsid w:val="21EC76DF"/>
    <w:rsid w:val="25056889"/>
    <w:rsid w:val="254329D4"/>
    <w:rsid w:val="254F010E"/>
    <w:rsid w:val="2A2B2EF8"/>
    <w:rsid w:val="2AF459E0"/>
    <w:rsid w:val="2B791925"/>
    <w:rsid w:val="2DE92364"/>
    <w:rsid w:val="31FC0059"/>
    <w:rsid w:val="3445105A"/>
    <w:rsid w:val="34B55DC5"/>
    <w:rsid w:val="350E3B42"/>
    <w:rsid w:val="351C46BD"/>
    <w:rsid w:val="35366D7E"/>
    <w:rsid w:val="355F3B6F"/>
    <w:rsid w:val="365C66F6"/>
    <w:rsid w:val="374C4292"/>
    <w:rsid w:val="37E90DFF"/>
    <w:rsid w:val="389A66BB"/>
    <w:rsid w:val="391C22A2"/>
    <w:rsid w:val="3AC27079"/>
    <w:rsid w:val="3B351E28"/>
    <w:rsid w:val="3D4A4347"/>
    <w:rsid w:val="3D522E4B"/>
    <w:rsid w:val="3E68233D"/>
    <w:rsid w:val="3EA00ACB"/>
    <w:rsid w:val="3F9217FF"/>
    <w:rsid w:val="40161DA8"/>
    <w:rsid w:val="425B7C9B"/>
    <w:rsid w:val="43086074"/>
    <w:rsid w:val="43CF3436"/>
    <w:rsid w:val="447F2366"/>
    <w:rsid w:val="45B002FD"/>
    <w:rsid w:val="45F428E0"/>
    <w:rsid w:val="475B1998"/>
    <w:rsid w:val="48592ECE"/>
    <w:rsid w:val="4876582E"/>
    <w:rsid w:val="49E35378"/>
    <w:rsid w:val="4B8B7843"/>
    <w:rsid w:val="4D9E2555"/>
    <w:rsid w:val="4DAF1670"/>
    <w:rsid w:val="50EA0B67"/>
    <w:rsid w:val="51A319C3"/>
    <w:rsid w:val="52113C98"/>
    <w:rsid w:val="523C0E33"/>
    <w:rsid w:val="52D74820"/>
    <w:rsid w:val="52D91355"/>
    <w:rsid w:val="53084533"/>
    <w:rsid w:val="547F7A92"/>
    <w:rsid w:val="55682AA8"/>
    <w:rsid w:val="5A2E74DE"/>
    <w:rsid w:val="5C2F6499"/>
    <w:rsid w:val="5D347D3A"/>
    <w:rsid w:val="5E015742"/>
    <w:rsid w:val="603E036C"/>
    <w:rsid w:val="61987D8E"/>
    <w:rsid w:val="64AD03D2"/>
    <w:rsid w:val="668A2779"/>
    <w:rsid w:val="672D43EE"/>
    <w:rsid w:val="67CE2B39"/>
    <w:rsid w:val="67D83D1C"/>
    <w:rsid w:val="6D735982"/>
    <w:rsid w:val="6DFE3C9A"/>
    <w:rsid w:val="6E6E3798"/>
    <w:rsid w:val="6EE6305D"/>
    <w:rsid w:val="7120632D"/>
    <w:rsid w:val="71403A8A"/>
    <w:rsid w:val="724C2FD8"/>
    <w:rsid w:val="7273582F"/>
    <w:rsid w:val="72C6668F"/>
    <w:rsid w:val="74387CB8"/>
    <w:rsid w:val="784060B0"/>
    <w:rsid w:val="78D878D5"/>
    <w:rsid w:val="7A61643E"/>
    <w:rsid w:val="7A7237F8"/>
    <w:rsid w:val="7AAB10B3"/>
    <w:rsid w:val="7FA01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w:basedOn w:val="4"/>
    <w:qFormat/>
    <w:uiPriority w:val="0"/>
  </w:style>
  <w:style w:type="paragraph" w:styleId="9">
    <w:name w:val="Body Text First Indent 2"/>
    <w:basedOn w:val="5"/>
    <w:next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12118</Words>
  <Characters>12930</Characters>
  <Lines>0</Lines>
  <Paragraphs>0</Paragraphs>
  <TotalTime>2</TotalTime>
  <ScaleCrop>false</ScaleCrop>
  <LinksUpToDate>false</LinksUpToDate>
  <CharactersWithSpaces>13111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2025-08-21T02:15:00Z</dcterms:created>
  <dc:creator>Administrator</dc:creator>
  <cp:lastModifiedBy>Administrator</cp:lastModifiedBy>
  <cp:lastPrinted>2025-10-23T01:34:30Z</cp:lastPrinted>
  <dcterms:modified xsi:type="dcterms:W3CDTF">2025-10-23T01:46:49Z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7B042471B20E436C8BB307718B1CD1A4_13</vt:lpwstr>
  </property>
  <property fmtid="{D5CDD505-2E9C-101B-9397-08002B2CF9AE}" pid="4" name="KSOTemplateDocerSaveRecord">
    <vt:lpwstr>eyJoZGlkIjoiN2RhMzI3ZWQzYWVmOTBkZTJhMjY0MjQ3NTYyMDQwZTgiLCJ1c2VySWQiOiIyMzM1NDI5NTIifQ==</vt:lpwstr>
  </property>
</Properties>
</file>