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Style w:val="7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</w:pPr>
      <w:r>
        <w:rPr>
          <w:rStyle w:val="7"/>
          <w:rFonts w:hint="eastAsia"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  <w:t>附件</w:t>
      </w:r>
      <w:r>
        <w:rPr>
          <w:rStyle w:val="7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  <w:t>3</w:t>
      </w:r>
    </w:p>
    <w:p>
      <w:pPr>
        <w:pStyle w:val="2"/>
      </w:pPr>
    </w:p>
    <w:p>
      <w:pPr>
        <w:tabs>
          <w:tab w:val="left" w:pos="1774"/>
        </w:tabs>
        <w:snapToGrid w:val="0"/>
        <w:jc w:val="center"/>
        <w:rPr>
          <w:rStyle w:val="7"/>
          <w:rFonts w:ascii="Times New Roman" w:hAnsi="Times New Roman" w:eastAsia="方正小标宋_GBK" w:cs="方正小标宋_GBK"/>
          <w:i w:val="0"/>
          <w:color w:val="000000"/>
          <w:sz w:val="44"/>
          <w:szCs w:val="44"/>
          <w:shd w:val="clear" w:color="auto" w:fill="FFFFFF"/>
        </w:rPr>
      </w:pPr>
      <w:bookmarkStart w:id="1" w:name="_GoBack"/>
      <w:r>
        <w:rPr>
          <w:rStyle w:val="7"/>
          <w:rFonts w:hint="eastAsia" w:ascii="Times New Roman" w:hAnsi="Times New Roman" w:eastAsia="方正小标宋_GBK" w:cs="方正小标宋_GBK"/>
          <w:i w:val="0"/>
          <w:color w:val="000000"/>
          <w:sz w:val="44"/>
          <w:szCs w:val="44"/>
          <w:shd w:val="clear" w:color="auto" w:fill="FFFFFF"/>
        </w:rPr>
        <w:t>广安市生态环境分区管控方案</w:t>
      </w:r>
    </w:p>
    <w:bookmarkEnd w:id="1"/>
    <w:p>
      <w:pPr>
        <w:tabs>
          <w:tab w:val="left" w:pos="627"/>
        </w:tabs>
        <w:snapToGrid w:val="0"/>
        <w:ind w:firstLine="660" w:firstLineChars="200"/>
        <w:jc w:val="left"/>
        <w:rPr>
          <w:rFonts w:hint="eastAsia" w:ascii="Times New Roman" w:hAnsi="Times New Roman" w:eastAsia="方正仿宋_GBK"/>
          <w:color w:val="000000"/>
          <w:sz w:val="33"/>
          <w:szCs w:val="33"/>
          <w:shd w:val="clear" w:color="auto" w:fill="FFFFFF"/>
        </w:rPr>
      </w:pPr>
    </w:p>
    <w:p>
      <w:pPr>
        <w:tabs>
          <w:tab w:val="left" w:pos="627"/>
        </w:tabs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color w:val="00000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3"/>
          <w:szCs w:val="33"/>
          <w:shd w:val="clear" w:color="auto" w:fill="FFFFFF"/>
        </w:rPr>
        <w:t>为实现生态环境精细化管理，建立国土空间全覆盖的生态环境保护制度，将全市行政区划从生态环境保护角度划分为优先保护、重点管控和一般管控三类环境管控单元，在一张图上落实生态保护、环境质量目标管理、资源利用管控要求，按照环境管控单元编制生态环境准入清单，构建生态环境分区管控体系。</w:t>
      </w:r>
    </w:p>
    <w:p>
      <w:pPr>
        <w:shd w:val="clear" w:color="auto" w:fill="FFFFFF"/>
        <w:snapToGrid w:val="0"/>
        <w:spacing w:line="590" w:lineRule="exact"/>
        <w:ind w:firstLine="660" w:firstLineChars="200"/>
        <w:rPr>
          <w:rFonts w:ascii="Times New Roman" w:hAnsi="Times New Roman" w:eastAsia="方正黑体_GBK" w:cs="方正黑体_GBK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3"/>
          <w:szCs w:val="33"/>
          <w:shd w:val="clear" w:color="auto" w:fill="FFFFFF"/>
        </w:rPr>
        <w:t>一、全市环境管控单元生态环境管控要求</w:t>
      </w:r>
    </w:p>
    <w:p>
      <w:pPr>
        <w:shd w:val="clear" w:color="auto" w:fill="FFFFFF"/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color w:val="000000"/>
          <w:kern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kern w:val="0"/>
          <w:sz w:val="33"/>
          <w:szCs w:val="33"/>
          <w:shd w:val="clear" w:color="auto" w:fill="FFFFFF"/>
        </w:rPr>
        <w:t>全市层面确定优先保护、重点管控、一般管控单元的总体生态环境管控要求。</w:t>
      </w:r>
    </w:p>
    <w:tbl>
      <w:tblPr>
        <w:tblStyle w:val="4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5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  <w:t>环境管控单元类型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  <w:t>生态环境管控要求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eastAsia" w:ascii="Times New Roman" w:hAnsi="Times New Roman" w:eastAsia="方正仿宋_GBK"/>
                <w:i w:val="0"/>
                <w:color w:val="000000"/>
                <w:sz w:val="24"/>
                <w:szCs w:val="24"/>
                <w:shd w:val="clear" w:color="auto" w:fill="FFFFFF"/>
              </w:rPr>
              <w:t>优先保护单元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4"/>
              </w:rPr>
              <w:t>优先保护单元中，以生态环境保护优先为原则，严格执行相关法律、法规要求，严守生态环境质量底线，确保生态环境功能不降低。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eastAsia" w:ascii="Times New Roman" w:hAnsi="Times New Roman" w:eastAsia="方正仿宋_GBK"/>
                <w:i w:val="0"/>
                <w:color w:val="000000"/>
                <w:sz w:val="24"/>
                <w:szCs w:val="24"/>
                <w:shd w:val="clear" w:color="auto" w:fill="FFFFFF"/>
              </w:rPr>
              <w:t>重点管控单元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重点管控单元中，针对环境质量是否达标以及经济社会发展水平等因素，制定差别化的生态环境准入要求，对环境质量不达标区域，提出污染物削减比例要求，对环境质量达标区域，提出允许排放量建议指标。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eastAsia" w:ascii="Times New Roman" w:hAnsi="Times New Roman" w:eastAsia="方正仿宋_GBK"/>
                <w:i w:val="0"/>
                <w:color w:val="000000"/>
                <w:sz w:val="24"/>
                <w:szCs w:val="24"/>
                <w:shd w:val="clear" w:color="auto" w:fill="FFFFFF"/>
              </w:rPr>
              <w:t>一般管控单元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一般管控单元中，执行区域生态环境保护的基本要求，重点加强农业、生活等领域污染治理。</w:t>
            </w:r>
          </w:p>
        </w:tc>
      </w:tr>
    </w:tbl>
    <w:p>
      <w:pPr>
        <w:tabs>
          <w:tab w:val="left" w:pos="627"/>
        </w:tabs>
        <w:spacing w:line="590" w:lineRule="exact"/>
        <w:jc w:val="center"/>
        <w:rPr>
          <w:rStyle w:val="7"/>
          <w:rFonts w:ascii="Times New Roman" w:hAnsi="Times New Roman" w:eastAsia="方正黑体_GBK" w:cs="方正黑体_GBK"/>
          <w:i w:val="0"/>
          <w:color w:val="000000"/>
          <w:sz w:val="33"/>
          <w:szCs w:val="33"/>
          <w:shd w:val="clear" w:color="auto" w:fill="FFFFFF"/>
        </w:rPr>
      </w:pPr>
      <w:r>
        <w:rPr>
          <w:rStyle w:val="7"/>
          <w:rFonts w:hint="eastAsia" w:ascii="Times New Roman" w:hAnsi="Times New Roman" w:eastAsia="方正黑体_GBK" w:cs="方正黑体_GBK"/>
          <w:i w:val="0"/>
          <w:color w:val="000000"/>
          <w:sz w:val="33"/>
          <w:szCs w:val="33"/>
          <w:shd w:val="clear" w:color="auto" w:fill="FFFFFF"/>
        </w:rPr>
        <w:t>二、全市及各县（市、区）总体生态环境管控要求</w:t>
      </w:r>
    </w:p>
    <w:p>
      <w:pPr>
        <w:tabs>
          <w:tab w:val="left" w:pos="627"/>
        </w:tabs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color w:val="000000"/>
          <w:sz w:val="33"/>
          <w:szCs w:val="33"/>
          <w:shd w:val="clear" w:color="auto" w:fill="FFFFFF"/>
        </w:rPr>
      </w:pPr>
      <w:r>
        <w:rPr>
          <w:rStyle w:val="7"/>
          <w:rFonts w:hint="eastAsia" w:ascii="Times New Roman" w:hAnsi="Times New Roman" w:eastAsia="方正仿宋_GBK"/>
          <w:i w:val="0"/>
          <w:color w:val="000000"/>
          <w:sz w:val="33"/>
          <w:szCs w:val="33"/>
          <w:shd w:val="clear" w:color="auto" w:fill="FFFFFF"/>
        </w:rPr>
        <w:t>根据全市及各县（市、区）的区域特征、发展定位和突出生态环境问题，明确全市和各县（市、区）差别化的总体生态环境管控要求。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  <w:t>行政区划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  <w:t>全市及各县（市、区）总体生态环境管控要求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广安市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严格“高耗能、高排放”和产业转移项目环境准入，推进减污降碳协同控制。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4"/>
                <w:shd w:val="clear" w:color="auto" w:fill="FFFFFF"/>
              </w:rPr>
              <w:t>农药制造、印染行业资源环境绩效管理。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加强跨省流域上下游突发水污染事件联防联控。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加强环保基础设施建设，强化农业农村污染治理。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加强华蓥山区生态系统保护修复。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 xml:space="preserve">加强饮用水水源地保护，确保饮用水安全。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广安区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严格控制化肥农药施用量，积极推广畜禽清洁养殖和畜禽粪污无害化、资源化处理技术，加强农业面源污染和农村生活污水治理，改善西溪河等小流域水环境质量。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加强渠江西来寺、全民水库饮用水水源地环境风险防控，确保广安市主城区饮用水安全。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执行大气污染物特别排放限值。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前锋区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4"/>
                <w:shd w:val="clear" w:color="auto" w:fill="FFFFFF"/>
              </w:rPr>
              <w:t>农药制造、印染行业资源环境绩效管理。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hd w:val="clear" w:color="auto" w:fill="FFFFFF"/>
              </w:rPr>
              <w:t>加强化工、印染、建材等行业企业污染治理，提升清洁生产水平。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严格控制化肥农药施用量，积极推广畜禽清洁养殖和畜禽粪污无害化、资源化处理技术，加强农业面源污染和农村生活污水治理，改善芦溪河等小流域水环境质量。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有序开发矿产资源，加大矿山污染治理和生态修复力度。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优化园区布局，加强园区环保基础设施建设。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加强区域大气污染防治，执行大气污染物特别排放限值，有效防治挥发性有机物等污染。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华蓥市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完善电子信息产业绿色供应链。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严格控制水泥产能，持续推动深度治理。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严格控制化肥农药施用量，积极推广畜禽清洁养殖和畜禽粪污无害化、资源化处理技术，加强农业面源污染和农村生活污水治理，加强良好水体保护。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有序开发矿产资源，加大矿山污染治理和生态修复力度。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加快园区外工业企业退城入园。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岳池县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加强医药行业污染治理，提升清洁生产水平。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优化园区布局，加强园区环保基础设施建设。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严格控制化肥农药施用量，积极推广畜禽清洁养殖和畜禽粪污无害化、资源化处理技术，加强农业面源污染和城乡生活污水治理，改善长滩寺河等小流域水环境质量。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深化跨界水体污染联防联治，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2"/>
              </w:rPr>
              <w:t>确保渠江出境断面水质稳定达标。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加强全民水库饮用水水源地保护。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加强区域大气污染防治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有效防治挥发性有机物等污染。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武胜县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bookmarkStart w:id="0" w:name="_Hlk73278562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加强重点行业挥发性有机物治理。</w:t>
            </w:r>
            <w:bookmarkEnd w:id="0"/>
          </w:p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严格控制化肥农药施用量，积极推广畜禽清洁养殖和畜禽粪污无害化、资源化处理技术，加强农业面源污染和农村生活污水治理，改善长滩寺河等小流域水环境质量。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  <w:t>深化跨界水体污染联防联治，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确保嘉陵江出境断面水质稳定达标。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加强湿地生态保护修复，强化湿地用途管控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邻水县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深化跨界水体污染联防联治，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2"/>
              </w:rPr>
              <w:t>确保出境断面水质稳定达标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严格控制化肥农药施用量，积极推广畜禽清洁养殖和畜禽粪污无害化、资源化处理技术，加强农业面源污染和农村生活污水治理，加强良好水体保护。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有序开发矿产资源，加大矿山污染治理和生态修复力度。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优化园区规划布局，加强园区环保基础设施建设。</w:t>
            </w:r>
          </w:p>
          <w:p>
            <w:pPr>
              <w:pStyle w:val="3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加强区域大气污染联防联治。</w:t>
            </w:r>
          </w:p>
        </w:tc>
      </w:tr>
    </w:tbl>
    <w:p>
      <w:pPr>
        <w:tabs>
          <w:tab w:val="left" w:pos="1687"/>
        </w:tabs>
        <w:snapToGrid w:val="0"/>
        <w:spacing w:line="500" w:lineRule="exact"/>
        <w:ind w:firstLine="480" w:firstLineChars="200"/>
      </w:pPr>
      <w:r>
        <w:rPr>
          <w:rFonts w:hint="eastAsia" w:ascii="Times New Roman" w:hAnsi="Times New Roman" w:eastAsia="方正仿宋_GBK"/>
          <w:color w:val="000000"/>
          <w:kern w:val="0"/>
          <w:sz w:val="24"/>
          <w:szCs w:val="24"/>
          <w:shd w:val="clear" w:color="auto" w:fill="FFFFFF"/>
        </w:rPr>
        <w:t>注：上述管控要求涉及广安经开区、枣山园区、协兴园区、华蓥山景区等园区管理范围的，由园区管委会负责组织落实。</w:t>
      </w:r>
    </w:p>
    <w:sectPr>
      <w:footerReference r:id="rId3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420" w:leftChars="200" w:right="420" w:rightChars="2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59EB"/>
    <w:rsid w:val="7EE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_Style 4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2021-07-02T06:56:00Z</dcterms:created>
  <dc:creator>Administrator</dc:creator>
  <cp:lastModifiedBy>Administrator</cp:lastModifiedBy>
  <dcterms:modified xsi:type="dcterms:W3CDTF">2021-07-02T06:56:49Z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7464EDD71F8F43EE9B0C15F1DE87AA80</vt:lpwstr>
  </property>
</Properties>
</file>