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p>
      <w:pPr>
        <w:adjustRightInd w:val="0"/>
        <w:snapToGrid w:val="0"/>
        <w:spacing w:line="360" w:lineRule="auto"/>
        <w:ind w:firstLine="0" w:firstLineChars="0"/>
        <w:jc w:val="center"/>
        <w:outlineLvl w:val="0"/>
        <w:rPr>
          <w:rFonts w:ascii="黑体" w:hAnsi="黑体" w:eastAsia="黑体" w:cs="黑体"/>
          <w:b/>
          <w:bCs/>
          <w:color w:val="000000"/>
          <w:sz w:val="52"/>
          <w:szCs w:val="52"/>
        </w:rPr>
      </w:pPr>
      <w:bookmarkStart w:id="1" w:name="_Toc15377193"/>
      <w:bookmarkStart w:id="2" w:name="_Toc15396597"/>
      <w:bookmarkStart w:id="3" w:name="_Toc15377425"/>
      <w:bookmarkStart w:id="4" w:name="_Toc15396475"/>
      <w:bookmarkStart w:id="5" w:name="_Toc15378441"/>
      <w:bookmarkStart w:id="6" w:name="_Toc23557"/>
      <w:r>
        <w:rPr>
          <w:rFonts w:hint="eastAsia" w:ascii="黑体" w:hAnsi="黑体" w:eastAsia="黑体" w:cs="黑体"/>
          <w:b/>
          <w:bCs/>
          <w:color w:val="000000"/>
          <w:sz w:val="52"/>
          <w:szCs w:val="52"/>
        </w:rPr>
        <w:t>2020年度</w:t>
      </w:r>
      <w:bookmarkEnd w:id="1"/>
      <w:bookmarkEnd w:id="2"/>
      <w:bookmarkEnd w:id="3"/>
      <w:bookmarkEnd w:id="4"/>
      <w:bookmarkEnd w:id="5"/>
      <w:bookmarkEnd w:id="6"/>
      <w:bookmarkStart w:id="7" w:name="_Toc15378442"/>
      <w:bookmarkStart w:id="8" w:name="_Toc15377426"/>
      <w:bookmarkStart w:id="9" w:name="_Toc15396598"/>
      <w:bookmarkStart w:id="10" w:name="_Toc15377194"/>
      <w:bookmarkStart w:id="11" w:name="_Toc15396476"/>
    </w:p>
    <w:p>
      <w:pPr>
        <w:adjustRightInd w:val="0"/>
        <w:snapToGrid w:val="0"/>
        <w:spacing w:line="360" w:lineRule="auto"/>
        <w:ind w:firstLine="0" w:firstLineChars="0"/>
        <w:jc w:val="center"/>
        <w:outlineLvl w:val="0"/>
        <w:rPr>
          <w:rFonts w:hint="eastAsia" w:ascii="黑体" w:hAnsi="黑体" w:eastAsia="黑体" w:cs="黑体"/>
          <w:b/>
          <w:bCs/>
          <w:color w:val="000000"/>
          <w:sz w:val="52"/>
          <w:szCs w:val="52"/>
        </w:rPr>
      </w:pPr>
      <w:bookmarkStart w:id="12" w:name="_Toc15306268"/>
      <w:bookmarkStart w:id="13" w:name="_Toc18359"/>
      <w:r>
        <w:rPr>
          <w:rFonts w:hint="eastAsia" w:ascii="黑体" w:hAnsi="黑体" w:eastAsia="黑体" w:cs="黑体"/>
          <w:b/>
          <w:bCs/>
          <w:color w:val="000000"/>
          <w:sz w:val="52"/>
          <w:szCs w:val="52"/>
        </w:rPr>
        <w:t>广安广播电视大学部门决算</w:t>
      </w:r>
      <w:bookmarkEnd w:id="7"/>
      <w:bookmarkEnd w:id="8"/>
      <w:bookmarkEnd w:id="9"/>
      <w:bookmarkEnd w:id="10"/>
      <w:bookmarkEnd w:id="11"/>
      <w:bookmarkEnd w:id="12"/>
      <w:r>
        <w:rPr>
          <w:rFonts w:hint="eastAsia" w:ascii="黑体" w:hAnsi="黑体" w:eastAsia="黑体" w:cs="黑体"/>
          <w:b/>
          <w:bCs/>
          <w:color w:val="000000"/>
          <w:sz w:val="52"/>
          <w:szCs w:val="52"/>
        </w:rPr>
        <w:t>编制</w:t>
      </w:r>
    </w:p>
    <w:p>
      <w:pPr>
        <w:adjustRightInd w:val="0"/>
        <w:snapToGrid w:val="0"/>
        <w:spacing w:line="360" w:lineRule="auto"/>
        <w:ind w:firstLine="0" w:firstLineChars="0"/>
        <w:jc w:val="center"/>
        <w:outlineLvl w:val="0"/>
        <w:rPr>
          <w:rFonts w:ascii="黑体" w:hAnsi="黑体" w:eastAsia="黑体" w:cs="黑体"/>
          <w:b/>
          <w:bCs/>
          <w:color w:val="000000"/>
          <w:sz w:val="52"/>
          <w:szCs w:val="52"/>
        </w:rPr>
      </w:pPr>
      <w:r>
        <w:rPr>
          <w:rFonts w:hint="eastAsia" w:ascii="黑体" w:hAnsi="黑体" w:eastAsia="黑体" w:cs="黑体"/>
          <w:b/>
          <w:bCs/>
          <w:color w:val="000000"/>
          <w:sz w:val="52"/>
          <w:szCs w:val="52"/>
        </w:rPr>
        <w:t>说明</w:t>
      </w:r>
      <w:bookmarkEnd w:id="13"/>
    </w:p>
    <w:p>
      <w:pPr>
        <w:pStyle w:val="2"/>
        <w:spacing w:before="93"/>
        <w:ind w:left="640" w:firstLine="720"/>
        <w:rPr>
          <w:rFonts w:ascii="方正小标宋简体" w:hAnsi="宋体" w:eastAsia="方正小标宋简体"/>
          <w:color w:val="000000"/>
          <w:sz w:val="72"/>
          <w:szCs w:val="72"/>
        </w:rPr>
      </w:pPr>
    </w:p>
    <w:p>
      <w:pPr>
        <w:pStyle w:val="2"/>
        <w:spacing w:before="93"/>
        <w:ind w:left="640" w:firstLine="720"/>
        <w:rPr>
          <w:rFonts w:ascii="方正小标宋简体" w:hAnsi="宋体" w:eastAsia="方正小标宋简体"/>
          <w:color w:val="000000"/>
          <w:sz w:val="72"/>
          <w:szCs w:val="72"/>
        </w:rPr>
      </w:pPr>
    </w:p>
    <w:p>
      <w:pPr>
        <w:pStyle w:val="2"/>
        <w:spacing w:before="93"/>
        <w:ind w:left="640" w:firstLine="720"/>
        <w:rPr>
          <w:rFonts w:ascii="方正小标宋简体" w:hAnsi="宋体" w:eastAsia="方正小标宋简体"/>
          <w:color w:val="000000"/>
          <w:sz w:val="72"/>
          <w:szCs w:val="72"/>
        </w:rPr>
      </w:pPr>
    </w:p>
    <w:p>
      <w:pPr>
        <w:pStyle w:val="2"/>
        <w:spacing w:before="93"/>
        <w:ind w:left="640" w:firstLine="720"/>
        <w:rPr>
          <w:rFonts w:ascii="方正小标宋简体" w:hAnsi="宋体" w:eastAsia="方正小标宋简体"/>
          <w:color w:val="000000"/>
          <w:sz w:val="72"/>
          <w:szCs w:val="72"/>
        </w:rPr>
      </w:pPr>
    </w:p>
    <w:p>
      <w:pPr>
        <w:pStyle w:val="2"/>
        <w:spacing w:before="93"/>
        <w:ind w:left="640" w:firstLine="720"/>
        <w:rPr>
          <w:rFonts w:ascii="方正小标宋简体" w:hAnsi="宋体" w:eastAsia="方正小标宋简体"/>
          <w:color w:val="000000"/>
          <w:sz w:val="72"/>
          <w:szCs w:val="72"/>
        </w:rPr>
      </w:pPr>
    </w:p>
    <w:p>
      <w:pPr>
        <w:pStyle w:val="2"/>
        <w:spacing w:before="93"/>
        <w:ind w:left="640" w:firstLine="720"/>
        <w:rPr>
          <w:rFonts w:ascii="方正小标宋简体" w:hAnsi="宋体" w:eastAsia="方正小标宋简体"/>
          <w:color w:val="000000"/>
          <w:sz w:val="72"/>
          <w:szCs w:val="72"/>
        </w:rPr>
      </w:pPr>
    </w:p>
    <w:p>
      <w:pPr>
        <w:pStyle w:val="2"/>
        <w:spacing w:before="93"/>
        <w:ind w:left="640" w:firstLine="720"/>
        <w:rPr>
          <w:rFonts w:ascii="方正小标宋简体" w:hAnsi="宋体" w:eastAsia="方正小标宋简体"/>
          <w:color w:val="000000"/>
          <w:sz w:val="72"/>
          <w:szCs w:val="72"/>
        </w:rPr>
      </w:pPr>
    </w:p>
    <w:p>
      <w:pPr>
        <w:pStyle w:val="2"/>
        <w:spacing w:before="93"/>
        <w:ind w:left="640" w:firstLine="720"/>
        <w:rPr>
          <w:rFonts w:ascii="方正小标宋简体" w:hAnsi="宋体" w:eastAsia="方正小标宋简体"/>
          <w:color w:val="000000"/>
          <w:sz w:val="72"/>
          <w:szCs w:val="72"/>
        </w:rPr>
      </w:pPr>
    </w:p>
    <w:p>
      <w:pPr>
        <w:pStyle w:val="4"/>
        <w:ind w:firstLine="883"/>
        <w:rPr>
          <w:rFonts w:ascii="黑体" w:hAnsi="黑体"/>
          <w:szCs w:val="48"/>
        </w:rPr>
      </w:pPr>
      <w:bookmarkStart w:id="14" w:name="_Toc13514"/>
      <w:r>
        <w:rPr>
          <w:rFonts w:hint="eastAsia" w:ascii="黑体" w:hAnsi="黑体"/>
          <w:szCs w:val="48"/>
        </w:rPr>
        <w:t>目录</w:t>
      </w:r>
      <w:bookmarkEnd w:id="14"/>
    </w:p>
    <w:p>
      <w:pPr>
        <w:ind w:firstLine="600"/>
        <w:jc w:val="center"/>
        <w:rPr>
          <w:rFonts w:ascii="仿宋" w:hAnsi="仿宋" w:cs="仿宋"/>
          <w:sz w:val="30"/>
          <w:szCs w:val="30"/>
        </w:rPr>
      </w:pPr>
      <w:r>
        <w:rPr>
          <w:rFonts w:hint="eastAsia" w:ascii="仿宋" w:hAnsi="仿宋" w:cs="仿宋"/>
          <w:sz w:val="30"/>
          <w:szCs w:val="30"/>
        </w:rPr>
        <w:t>公开时间：2021年8月27日</w:t>
      </w:r>
    </w:p>
    <w:p>
      <w:pPr>
        <w:pStyle w:val="12"/>
        <w:tabs>
          <w:tab w:val="right" w:leader="dot" w:pos="8306"/>
          <w:tab w:val="clear" w:pos="8296"/>
        </w:tabs>
        <w:ind w:firstLine="600"/>
        <w:jc w:val="left"/>
        <w:rPr>
          <w:sz w:val="30"/>
        </w:rPr>
      </w:pPr>
      <w:r>
        <w:rPr>
          <w:rFonts w:ascii="黑体" w:hAnsi="黑体"/>
          <w:sz w:val="30"/>
          <w:szCs w:val="48"/>
        </w:rPr>
        <w:fldChar w:fldCharType="begin"/>
      </w:r>
      <w:r>
        <w:rPr>
          <w:rFonts w:ascii="黑体" w:hAnsi="黑体"/>
          <w:sz w:val="30"/>
          <w:szCs w:val="48"/>
        </w:rPr>
        <w:instrText xml:space="preserve"> TOC \o "1-2" \h \z \u </w:instrText>
      </w:r>
      <w:r>
        <w:rPr>
          <w:rFonts w:ascii="黑体" w:hAnsi="黑体"/>
          <w:sz w:val="30"/>
          <w:szCs w:val="48"/>
        </w:rPr>
        <w:fldChar w:fldCharType="separate"/>
      </w:r>
      <w:r>
        <w:fldChar w:fldCharType="begin"/>
      </w:r>
      <w:r>
        <w:instrText xml:space="preserve"> HYPERLINK \l "_Toc17992" </w:instrText>
      </w:r>
      <w:r>
        <w:fldChar w:fldCharType="separate"/>
      </w:r>
      <w:r>
        <w:rPr>
          <w:rFonts w:hint="eastAsia"/>
          <w:sz w:val="30"/>
        </w:rPr>
        <w:t>第一部分 部门概况</w:t>
      </w:r>
      <w:r>
        <w:rPr>
          <w:sz w:val="30"/>
        </w:rPr>
        <w:tab/>
      </w:r>
      <w:r>
        <w:rPr>
          <w:sz w:val="30"/>
        </w:rPr>
        <w:fldChar w:fldCharType="begin"/>
      </w:r>
      <w:r>
        <w:rPr>
          <w:sz w:val="30"/>
        </w:rPr>
        <w:instrText xml:space="preserve"> PAGEREF _Toc17992 \h </w:instrText>
      </w:r>
      <w:r>
        <w:rPr>
          <w:sz w:val="30"/>
        </w:rPr>
        <w:fldChar w:fldCharType="separate"/>
      </w:r>
      <w:r>
        <w:rPr>
          <w:sz w:val="30"/>
        </w:rPr>
        <w:t>4</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"_Toc3098" </w:instrText>
      </w:r>
      <w:r>
        <w:fldChar w:fldCharType="separate"/>
      </w:r>
      <w:r>
        <w:rPr>
          <w:rFonts w:hint="eastAsia" w:ascii="黑体" w:hAnsi="黑体" w:cs="黑体"/>
          <w:sz w:val="30"/>
          <w:szCs w:val="32"/>
        </w:rPr>
        <w:t>一、基本职能及主要工作</w:t>
      </w:r>
      <w:r>
        <w:rPr>
          <w:sz w:val="30"/>
        </w:rPr>
        <w:tab/>
      </w:r>
      <w:r>
        <w:rPr>
          <w:sz w:val="30"/>
        </w:rPr>
        <w:fldChar w:fldCharType="begin"/>
      </w:r>
      <w:r>
        <w:rPr>
          <w:sz w:val="30"/>
        </w:rPr>
        <w:instrText xml:space="preserve"> PAGEREF _Toc3098 \h </w:instrText>
      </w:r>
      <w:r>
        <w:rPr>
          <w:sz w:val="30"/>
        </w:rPr>
        <w:fldChar w:fldCharType="separate"/>
      </w:r>
      <w:r>
        <w:rPr>
          <w:sz w:val="30"/>
        </w:rPr>
        <w:t>4</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"_Toc32367" </w:instrText>
      </w:r>
      <w:r>
        <w:fldChar w:fldCharType="separate"/>
      </w:r>
      <w:r>
        <w:rPr>
          <w:rFonts w:hint="eastAsia"/>
          <w:sz w:val="30"/>
        </w:rPr>
        <w:t>二、机构设置</w:t>
      </w:r>
      <w:r>
        <w:rPr>
          <w:sz w:val="30"/>
        </w:rPr>
        <w:tab/>
      </w:r>
      <w:r>
        <w:rPr>
          <w:sz w:val="30"/>
        </w:rPr>
        <w:fldChar w:fldCharType="begin"/>
      </w:r>
      <w:r>
        <w:rPr>
          <w:sz w:val="30"/>
        </w:rPr>
        <w:instrText xml:space="preserve"> PAGEREF _Toc32367 \h </w:instrText>
      </w:r>
      <w:r>
        <w:rPr>
          <w:sz w:val="30"/>
        </w:rPr>
        <w:fldChar w:fldCharType="separate"/>
      </w:r>
      <w:r>
        <w:rPr>
          <w:sz w:val="30"/>
        </w:rPr>
        <w:t>8</w:t>
      </w:r>
      <w:r>
        <w:rPr>
          <w:sz w:val="30"/>
        </w:rPr>
        <w:fldChar w:fldCharType="end"/>
      </w:r>
      <w:r>
        <w:rPr>
          <w:sz w:val="30"/>
        </w:rPr>
        <w:fldChar w:fldCharType="end"/>
      </w:r>
    </w:p>
    <w:p>
      <w:pPr>
        <w:pStyle w:val="12"/>
        <w:tabs>
          <w:tab w:val="right" w:leader="dot" w:pos="8306"/>
          <w:tab w:val="clear" w:pos="8296"/>
        </w:tabs>
        <w:ind w:firstLine="560"/>
        <w:jc w:val="left"/>
        <w:rPr>
          <w:sz w:val="30"/>
        </w:rPr>
      </w:pPr>
      <w:r>
        <w:fldChar w:fldCharType="begin"/>
      </w:r>
      <w:r>
        <w:instrText xml:space="preserve"> HYPERLINK \l "_Toc1029" </w:instrText>
      </w:r>
      <w:r>
        <w:fldChar w:fldCharType="separate"/>
      </w:r>
      <w:r>
        <w:rPr>
          <w:rFonts w:hint="eastAsia"/>
          <w:sz w:val="30"/>
        </w:rPr>
        <w:t>第二部分2020年度部门决算情况说明</w:t>
      </w:r>
      <w:r>
        <w:rPr>
          <w:sz w:val="30"/>
        </w:rPr>
        <w:tab/>
      </w:r>
      <w:r>
        <w:rPr>
          <w:sz w:val="30"/>
        </w:rPr>
        <w:fldChar w:fldCharType="begin"/>
      </w:r>
      <w:r>
        <w:rPr>
          <w:sz w:val="30"/>
        </w:rPr>
        <w:instrText xml:space="preserve"> PAGEREF _Toc1029 \h </w:instrText>
      </w:r>
      <w:r>
        <w:rPr>
          <w:sz w:val="30"/>
        </w:rPr>
        <w:fldChar w:fldCharType="separate"/>
      </w:r>
      <w:r>
        <w:rPr>
          <w:sz w:val="30"/>
        </w:rPr>
        <w:t>9</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"_Toc9653" </w:instrText>
      </w:r>
      <w:r>
        <w:fldChar w:fldCharType="separate"/>
      </w:r>
      <w:r>
        <w:rPr>
          <w:rFonts w:hint="eastAsia"/>
          <w:sz w:val="30"/>
        </w:rPr>
        <w:t>一、收入支出决算总体情况说明</w:t>
      </w:r>
      <w:r>
        <w:rPr>
          <w:sz w:val="30"/>
        </w:rPr>
        <w:tab/>
      </w:r>
      <w:r>
        <w:rPr>
          <w:sz w:val="30"/>
        </w:rPr>
        <w:fldChar w:fldCharType="begin"/>
      </w:r>
      <w:r>
        <w:rPr>
          <w:sz w:val="30"/>
        </w:rPr>
        <w:instrText xml:space="preserve"> PAGEREF _Toc9653 \h </w:instrText>
      </w:r>
      <w:r>
        <w:rPr>
          <w:sz w:val="30"/>
        </w:rPr>
        <w:fldChar w:fldCharType="separate"/>
      </w:r>
      <w:r>
        <w:rPr>
          <w:sz w:val="30"/>
        </w:rPr>
        <w:t>9</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"_Toc4284" </w:instrText>
      </w:r>
      <w:r>
        <w:fldChar w:fldCharType="separate"/>
      </w:r>
      <w:r>
        <w:rPr>
          <w:rFonts w:hint="eastAsia"/>
          <w:sz w:val="30"/>
        </w:rPr>
        <w:t>二、收入决算情况说明</w:t>
      </w:r>
      <w:r>
        <w:rPr>
          <w:sz w:val="30"/>
        </w:rPr>
        <w:tab/>
      </w:r>
      <w:r>
        <w:rPr>
          <w:sz w:val="30"/>
        </w:rPr>
        <w:fldChar w:fldCharType="begin"/>
      </w:r>
      <w:r>
        <w:rPr>
          <w:sz w:val="30"/>
        </w:rPr>
        <w:instrText xml:space="preserve"> PAGEREF _Toc4284 \h </w:instrText>
      </w:r>
      <w:r>
        <w:rPr>
          <w:sz w:val="30"/>
        </w:rPr>
        <w:fldChar w:fldCharType="separate"/>
      </w:r>
      <w:r>
        <w:rPr>
          <w:sz w:val="30"/>
        </w:rPr>
        <w:t>9</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"_Toc26899" </w:instrText>
      </w:r>
      <w:r>
        <w:fldChar w:fldCharType="separate"/>
      </w:r>
      <w:r>
        <w:rPr>
          <w:rFonts w:hint="eastAsia"/>
          <w:sz w:val="30"/>
        </w:rPr>
        <w:t>三、支出决算情况说明</w:t>
      </w:r>
      <w:r>
        <w:rPr>
          <w:sz w:val="30"/>
        </w:rPr>
        <w:tab/>
      </w:r>
      <w:r>
        <w:rPr>
          <w:sz w:val="30"/>
        </w:rPr>
        <w:fldChar w:fldCharType="begin"/>
      </w:r>
      <w:r>
        <w:rPr>
          <w:sz w:val="30"/>
        </w:rPr>
        <w:instrText xml:space="preserve"> PAGEREF _Toc26899 \h </w:instrText>
      </w:r>
      <w:r>
        <w:rPr>
          <w:sz w:val="30"/>
        </w:rPr>
        <w:fldChar w:fldCharType="separate"/>
      </w:r>
      <w:r>
        <w:rPr>
          <w:sz w:val="30"/>
        </w:rPr>
        <w:t>10</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"_Toc14011" </w:instrText>
      </w:r>
      <w:r>
        <w:fldChar w:fldCharType="separate"/>
      </w:r>
      <w:r>
        <w:rPr>
          <w:rFonts w:hint="eastAsia"/>
          <w:sz w:val="30"/>
        </w:rPr>
        <w:t>四、财政拨款收入支出决算总体情况说明</w:t>
      </w:r>
      <w:r>
        <w:rPr>
          <w:sz w:val="30"/>
        </w:rPr>
        <w:tab/>
      </w:r>
      <w:r>
        <w:rPr>
          <w:sz w:val="30"/>
        </w:rPr>
        <w:fldChar w:fldCharType="begin"/>
      </w:r>
      <w:r>
        <w:rPr>
          <w:sz w:val="30"/>
        </w:rPr>
        <w:instrText xml:space="preserve"> PAGEREF _Toc14011 \h </w:instrText>
      </w:r>
      <w:r>
        <w:rPr>
          <w:sz w:val="30"/>
        </w:rPr>
        <w:fldChar w:fldCharType="separate"/>
      </w:r>
      <w:r>
        <w:rPr>
          <w:sz w:val="30"/>
        </w:rPr>
        <w:t>11</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"_Toc8431" </w:instrText>
      </w:r>
      <w:r>
        <w:fldChar w:fldCharType="separate"/>
      </w:r>
      <w:r>
        <w:rPr>
          <w:rFonts w:hint="eastAsia"/>
          <w:sz w:val="30"/>
        </w:rPr>
        <w:t>五、一般公共预算财政拨款支出决算情况说明</w:t>
      </w:r>
      <w:r>
        <w:rPr>
          <w:sz w:val="30"/>
        </w:rPr>
        <w:tab/>
      </w:r>
      <w:r>
        <w:rPr>
          <w:sz w:val="30"/>
        </w:rPr>
        <w:fldChar w:fldCharType="begin"/>
      </w:r>
      <w:r>
        <w:rPr>
          <w:sz w:val="30"/>
        </w:rPr>
        <w:instrText xml:space="preserve"> PAGEREF _Toc8431 \h </w:instrText>
      </w:r>
      <w:r>
        <w:rPr>
          <w:sz w:val="30"/>
        </w:rPr>
        <w:fldChar w:fldCharType="separate"/>
      </w:r>
      <w:r>
        <w:rPr>
          <w:sz w:val="30"/>
        </w:rPr>
        <w:t>11</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"_Toc9022" </w:instrText>
      </w:r>
      <w:r>
        <w:fldChar w:fldCharType="separate"/>
      </w:r>
      <w:r>
        <w:rPr>
          <w:rFonts w:hint="eastAsia"/>
          <w:sz w:val="30"/>
        </w:rPr>
        <w:t>六、一般公共预算财政拨款基本支出决算情况说明</w:t>
      </w:r>
      <w:r>
        <w:rPr>
          <w:sz w:val="30"/>
        </w:rPr>
        <w:tab/>
      </w:r>
      <w:r>
        <w:rPr>
          <w:sz w:val="30"/>
        </w:rPr>
        <w:fldChar w:fldCharType="begin"/>
      </w:r>
      <w:r>
        <w:rPr>
          <w:sz w:val="30"/>
        </w:rPr>
        <w:instrText xml:space="preserve"> PAGEREF _Toc9022 \h </w:instrText>
      </w:r>
      <w:r>
        <w:rPr>
          <w:sz w:val="30"/>
        </w:rPr>
        <w:fldChar w:fldCharType="separate"/>
      </w:r>
      <w:r>
        <w:rPr>
          <w:sz w:val="30"/>
        </w:rPr>
        <w:t>14</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"_Toc27197" </w:instrText>
      </w:r>
      <w:r>
        <w:fldChar w:fldCharType="separate"/>
      </w:r>
      <w:r>
        <w:rPr>
          <w:rFonts w:hint="eastAsia"/>
          <w:sz w:val="30"/>
        </w:rPr>
        <w:t>七、“三公”经费财政拨款支出决算情况说明</w:t>
      </w:r>
      <w:r>
        <w:rPr>
          <w:sz w:val="30"/>
        </w:rPr>
        <w:tab/>
      </w:r>
      <w:r>
        <w:rPr>
          <w:sz w:val="30"/>
        </w:rPr>
        <w:fldChar w:fldCharType="begin"/>
      </w:r>
      <w:r>
        <w:rPr>
          <w:sz w:val="30"/>
        </w:rPr>
        <w:instrText xml:space="preserve"> PAGEREF _Toc27197 \h </w:instrText>
      </w:r>
      <w:r>
        <w:rPr>
          <w:sz w:val="30"/>
        </w:rPr>
        <w:fldChar w:fldCharType="separate"/>
      </w:r>
      <w:r>
        <w:rPr>
          <w:sz w:val="30"/>
        </w:rPr>
        <w:t>14</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"_Toc14704" </w:instrText>
      </w:r>
      <w:r>
        <w:fldChar w:fldCharType="separate"/>
      </w:r>
      <w:r>
        <w:rPr>
          <w:rFonts w:hint="eastAsia"/>
          <w:sz w:val="30"/>
        </w:rPr>
        <w:t>八、政府性基金预算支出决算情况说明</w:t>
      </w:r>
      <w:r>
        <w:rPr>
          <w:sz w:val="30"/>
        </w:rPr>
        <w:tab/>
      </w:r>
      <w:r>
        <w:rPr>
          <w:sz w:val="30"/>
        </w:rPr>
        <w:fldChar w:fldCharType="begin"/>
      </w:r>
      <w:r>
        <w:rPr>
          <w:sz w:val="30"/>
        </w:rPr>
        <w:instrText xml:space="preserve"> PAGEREF _Toc14704 \h </w:instrText>
      </w:r>
      <w:r>
        <w:rPr>
          <w:sz w:val="30"/>
        </w:rPr>
        <w:fldChar w:fldCharType="separate"/>
      </w:r>
      <w:r>
        <w:rPr>
          <w:sz w:val="30"/>
        </w:rPr>
        <w:t>16</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"_Toc30071" </w:instrText>
      </w:r>
      <w:r>
        <w:fldChar w:fldCharType="separate"/>
      </w:r>
      <w:r>
        <w:rPr>
          <w:rFonts w:hint="eastAsia"/>
          <w:sz w:val="30"/>
        </w:rPr>
        <w:t>九、国有资本经营预算支出决算情况说明</w:t>
      </w:r>
      <w:r>
        <w:rPr>
          <w:sz w:val="30"/>
        </w:rPr>
        <w:tab/>
      </w:r>
      <w:r>
        <w:rPr>
          <w:sz w:val="30"/>
        </w:rPr>
        <w:fldChar w:fldCharType="begin"/>
      </w:r>
      <w:r>
        <w:rPr>
          <w:sz w:val="30"/>
        </w:rPr>
        <w:instrText xml:space="preserve"> PAGEREF _Toc30071 \h </w:instrText>
      </w:r>
      <w:r>
        <w:rPr>
          <w:sz w:val="30"/>
        </w:rPr>
        <w:fldChar w:fldCharType="separate"/>
      </w:r>
      <w:r>
        <w:rPr>
          <w:sz w:val="30"/>
        </w:rPr>
        <w:t>16</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"_Toc16881" </w:instrText>
      </w:r>
      <w:r>
        <w:fldChar w:fldCharType="separate"/>
      </w:r>
      <w:r>
        <w:rPr>
          <w:rFonts w:hint="eastAsia"/>
          <w:sz w:val="30"/>
        </w:rPr>
        <w:t>十、其他重要事项的情况说明</w:t>
      </w:r>
      <w:r>
        <w:rPr>
          <w:sz w:val="30"/>
        </w:rPr>
        <w:tab/>
      </w:r>
      <w:r>
        <w:rPr>
          <w:sz w:val="30"/>
        </w:rPr>
        <w:fldChar w:fldCharType="begin"/>
      </w:r>
      <w:r>
        <w:rPr>
          <w:sz w:val="30"/>
        </w:rPr>
        <w:instrText xml:space="preserve"> PAGEREF _Toc16881 \h </w:instrText>
      </w:r>
      <w:r>
        <w:rPr>
          <w:sz w:val="30"/>
        </w:rPr>
        <w:fldChar w:fldCharType="separate"/>
      </w:r>
      <w:r>
        <w:rPr>
          <w:sz w:val="30"/>
        </w:rPr>
        <w:t>16</w:t>
      </w:r>
      <w:r>
        <w:rPr>
          <w:sz w:val="30"/>
        </w:rPr>
        <w:fldChar w:fldCharType="end"/>
      </w:r>
      <w:r>
        <w:rPr>
          <w:sz w:val="30"/>
        </w:rPr>
        <w:fldChar w:fldCharType="end"/>
      </w:r>
    </w:p>
    <w:p>
      <w:pPr>
        <w:pStyle w:val="12"/>
        <w:tabs>
          <w:tab w:val="right" w:leader="dot" w:pos="8306"/>
          <w:tab w:val="clear" w:pos="8296"/>
        </w:tabs>
        <w:ind w:firstLine="560"/>
        <w:jc w:val="left"/>
        <w:rPr>
          <w:sz w:val="30"/>
        </w:rPr>
      </w:pPr>
      <w:r>
        <w:fldChar w:fldCharType="begin"/>
      </w:r>
      <w:r>
        <w:instrText xml:space="preserve"> HYPERLINK \l "_Toc8839" </w:instrText>
      </w:r>
      <w:r>
        <w:fldChar w:fldCharType="separate"/>
      </w:r>
      <w:r>
        <w:rPr>
          <w:rFonts w:hint="eastAsia" w:ascii="黑体" w:hAnsi="黑体"/>
          <w:sz w:val="30"/>
        </w:rPr>
        <w:t xml:space="preserve">第三部分 </w:t>
      </w:r>
      <w:r>
        <w:rPr>
          <w:rFonts w:hint="eastAsia" w:ascii="黑体" w:hAnsi="黑体"/>
          <w:sz w:val="30"/>
          <w:szCs w:val="44"/>
        </w:rPr>
        <w:t>名</w:t>
      </w:r>
      <w:r>
        <w:rPr>
          <w:rFonts w:hint="eastAsia" w:ascii="黑体" w:hAnsi="黑体"/>
          <w:sz w:val="30"/>
        </w:rPr>
        <w:t>词解释</w:t>
      </w:r>
      <w:r>
        <w:rPr>
          <w:sz w:val="30"/>
        </w:rPr>
        <w:tab/>
      </w:r>
      <w:r>
        <w:rPr>
          <w:sz w:val="30"/>
        </w:rPr>
        <w:fldChar w:fldCharType="begin"/>
      </w:r>
      <w:r>
        <w:rPr>
          <w:sz w:val="30"/>
        </w:rPr>
        <w:instrText xml:space="preserve"> PAGEREF _Toc8839 \h </w:instrText>
      </w:r>
      <w:r>
        <w:rPr>
          <w:sz w:val="30"/>
        </w:rPr>
        <w:fldChar w:fldCharType="separate"/>
      </w:r>
      <w:r>
        <w:rPr>
          <w:sz w:val="30"/>
        </w:rPr>
        <w:t>19</w:t>
      </w:r>
      <w:r>
        <w:rPr>
          <w:sz w:val="30"/>
        </w:rPr>
        <w:fldChar w:fldCharType="end"/>
      </w:r>
      <w:r>
        <w:rPr>
          <w:sz w:val="30"/>
        </w:rPr>
        <w:fldChar w:fldCharType="end"/>
      </w:r>
    </w:p>
    <w:p>
      <w:pPr>
        <w:pStyle w:val="12"/>
        <w:tabs>
          <w:tab w:val="right" w:leader="dot" w:pos="8306"/>
          <w:tab w:val="clear" w:pos="8296"/>
        </w:tabs>
        <w:ind w:firstLine="560"/>
        <w:jc w:val="left"/>
        <w:rPr>
          <w:sz w:val="30"/>
        </w:rPr>
      </w:pPr>
      <w:r>
        <w:fldChar w:fldCharType="begin"/>
      </w:r>
      <w:r>
        <w:instrText xml:space="preserve"> HYPERLINK \l "_Toc6052" </w:instrText>
      </w:r>
      <w:r>
        <w:fldChar w:fldCharType="separate"/>
      </w:r>
      <w:r>
        <w:rPr>
          <w:rFonts w:hint="eastAsia" w:ascii="黑体" w:hAnsi="黑体"/>
          <w:sz w:val="30"/>
          <w:szCs w:val="44"/>
        </w:rPr>
        <w:t>第</w:t>
      </w:r>
      <w:r>
        <w:rPr>
          <w:rFonts w:hint="eastAsia" w:ascii="黑体" w:hAnsi="黑体"/>
          <w:sz w:val="30"/>
        </w:rPr>
        <w:t>四部分 附件</w:t>
      </w:r>
      <w:r>
        <w:rPr>
          <w:sz w:val="30"/>
        </w:rPr>
        <w:tab/>
      </w:r>
      <w:r>
        <w:rPr>
          <w:sz w:val="30"/>
        </w:rPr>
        <w:fldChar w:fldCharType="begin"/>
      </w:r>
      <w:r>
        <w:rPr>
          <w:sz w:val="30"/>
        </w:rPr>
        <w:instrText xml:space="preserve"> PAGEREF _Toc6052 \h </w:instrText>
      </w:r>
      <w:r>
        <w:rPr>
          <w:sz w:val="30"/>
        </w:rPr>
        <w:fldChar w:fldCharType="separate"/>
      </w:r>
      <w:r>
        <w:rPr>
          <w:sz w:val="30"/>
        </w:rPr>
        <w:t>21</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"_Toc30943" </w:instrText>
      </w:r>
      <w:r>
        <w:fldChar w:fldCharType="separate"/>
      </w:r>
      <w:r>
        <w:rPr>
          <w:rFonts w:hint="eastAsia" w:ascii="黑体" w:hAnsi="黑体" w:cs="黑体"/>
          <w:sz w:val="30"/>
          <w:szCs w:val="32"/>
        </w:rPr>
        <w:t>附件1</w:t>
      </w:r>
      <w:r>
        <w:rPr>
          <w:sz w:val="30"/>
        </w:rPr>
        <w:tab/>
      </w:r>
      <w:r>
        <w:rPr>
          <w:sz w:val="30"/>
        </w:rPr>
        <w:fldChar w:fldCharType="begin"/>
      </w:r>
      <w:r>
        <w:rPr>
          <w:sz w:val="30"/>
        </w:rPr>
        <w:instrText xml:space="preserve"> PAGEREF _Toc30943 \h </w:instrText>
      </w:r>
      <w:r>
        <w:rPr>
          <w:sz w:val="30"/>
        </w:rPr>
        <w:fldChar w:fldCharType="separate"/>
      </w:r>
      <w:r>
        <w:rPr>
          <w:sz w:val="30"/>
        </w:rPr>
        <w:t>21</w:t>
      </w:r>
      <w:r>
        <w:rPr>
          <w:sz w:val="30"/>
        </w:rPr>
        <w:fldChar w:fldCharType="end"/>
      </w:r>
      <w:r>
        <w:rPr>
          <w:sz w:val="30"/>
        </w:rPr>
        <w:fldChar w:fldCharType="end"/>
      </w:r>
    </w:p>
    <w:p>
      <w:pPr>
        <w:pStyle w:val="12"/>
        <w:tabs>
          <w:tab w:val="right" w:leader="dot" w:pos="8306"/>
          <w:tab w:val="clear" w:pos="8296"/>
        </w:tabs>
        <w:ind w:firstLine="560"/>
        <w:jc w:val="left"/>
        <w:rPr>
          <w:sz w:val="30"/>
        </w:rPr>
      </w:pPr>
      <w:r>
        <w:fldChar w:fldCharType="begin"/>
      </w:r>
      <w:r>
        <w:instrText xml:space="preserve"> HYPERLINK \l "_Toc17386" </w:instrText>
      </w:r>
      <w:r>
        <w:fldChar w:fldCharType="separate"/>
      </w:r>
      <w:r>
        <w:rPr>
          <w:rFonts w:hint="eastAsia"/>
          <w:sz w:val="30"/>
        </w:rPr>
        <w:t>第五部分 附表</w:t>
      </w:r>
      <w:r>
        <w:rPr>
          <w:sz w:val="30"/>
        </w:rPr>
        <w:tab/>
      </w:r>
      <w:r>
        <w:rPr>
          <w:sz w:val="30"/>
        </w:rPr>
        <w:fldChar w:fldCharType="begin"/>
      </w:r>
      <w:r>
        <w:rPr>
          <w:sz w:val="30"/>
        </w:rPr>
        <w:instrText xml:space="preserve"> PAGEREF _Toc17386 \h </w:instrText>
      </w:r>
      <w:r>
        <w:rPr>
          <w:sz w:val="30"/>
        </w:rPr>
        <w:fldChar w:fldCharType="separate"/>
      </w:r>
      <w:r>
        <w:rPr>
          <w:sz w:val="30"/>
        </w:rPr>
        <w:t>25</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"_Toc17732" </w:instrText>
      </w:r>
      <w:r>
        <w:fldChar w:fldCharType="separate"/>
      </w:r>
      <w:r>
        <w:rPr>
          <w:rFonts w:hint="eastAsia"/>
          <w:sz w:val="30"/>
        </w:rPr>
        <w:t>一、收入支出决算总表</w:t>
      </w:r>
      <w:r>
        <w:rPr>
          <w:sz w:val="30"/>
        </w:rPr>
        <w:tab/>
      </w:r>
      <w:r>
        <w:rPr>
          <w:sz w:val="30"/>
        </w:rPr>
        <w:fldChar w:fldCharType="begin"/>
      </w:r>
      <w:r>
        <w:rPr>
          <w:sz w:val="30"/>
        </w:rPr>
        <w:instrText xml:space="preserve"> PAGEREF _Toc17732 \h </w:instrText>
      </w:r>
      <w:r>
        <w:rPr>
          <w:sz w:val="30"/>
        </w:rPr>
        <w:fldChar w:fldCharType="separate"/>
      </w:r>
      <w:r>
        <w:rPr>
          <w:sz w:val="30"/>
        </w:rPr>
        <w:t>25</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"_Toc19891" </w:instrText>
      </w:r>
      <w:r>
        <w:fldChar w:fldCharType="separate"/>
      </w:r>
      <w:r>
        <w:rPr>
          <w:rFonts w:hint="eastAsia"/>
          <w:sz w:val="30"/>
        </w:rPr>
        <w:t>二、收入决算表</w:t>
      </w:r>
      <w:r>
        <w:rPr>
          <w:sz w:val="30"/>
        </w:rPr>
        <w:tab/>
      </w:r>
      <w:r>
        <w:rPr>
          <w:sz w:val="30"/>
        </w:rPr>
        <w:fldChar w:fldCharType="begin"/>
      </w:r>
      <w:r>
        <w:rPr>
          <w:sz w:val="30"/>
        </w:rPr>
        <w:instrText xml:space="preserve"> PAGEREF _Toc19891 \h </w:instrText>
      </w:r>
      <w:r>
        <w:rPr>
          <w:sz w:val="30"/>
        </w:rPr>
        <w:fldChar w:fldCharType="separate"/>
      </w:r>
      <w:r>
        <w:rPr>
          <w:sz w:val="30"/>
        </w:rPr>
        <w:t>25</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"_Toc13092" </w:instrText>
      </w:r>
      <w:r>
        <w:fldChar w:fldCharType="separate"/>
      </w:r>
      <w:r>
        <w:rPr>
          <w:rFonts w:hint="eastAsia"/>
          <w:sz w:val="30"/>
        </w:rPr>
        <w:t>三、支出决算表</w:t>
      </w:r>
      <w:r>
        <w:rPr>
          <w:sz w:val="30"/>
        </w:rPr>
        <w:tab/>
      </w:r>
      <w:r>
        <w:rPr>
          <w:sz w:val="30"/>
        </w:rPr>
        <w:fldChar w:fldCharType="begin"/>
      </w:r>
      <w:r>
        <w:rPr>
          <w:sz w:val="30"/>
        </w:rPr>
        <w:instrText xml:space="preserve"> PAGEREF _Toc13092 \h </w:instrText>
      </w:r>
      <w:r>
        <w:rPr>
          <w:sz w:val="30"/>
        </w:rPr>
        <w:fldChar w:fldCharType="separate"/>
      </w:r>
      <w:r>
        <w:rPr>
          <w:sz w:val="30"/>
        </w:rPr>
        <w:t>25</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"_Toc23046" </w:instrText>
      </w:r>
      <w:r>
        <w:fldChar w:fldCharType="separate"/>
      </w:r>
      <w:r>
        <w:rPr>
          <w:rFonts w:hint="eastAsia"/>
          <w:sz w:val="30"/>
        </w:rPr>
        <w:t>四、财政拨款收入支出决算总表</w:t>
      </w:r>
      <w:r>
        <w:rPr>
          <w:sz w:val="30"/>
        </w:rPr>
        <w:tab/>
      </w:r>
      <w:r>
        <w:rPr>
          <w:sz w:val="30"/>
        </w:rPr>
        <w:fldChar w:fldCharType="begin"/>
      </w:r>
      <w:r>
        <w:rPr>
          <w:sz w:val="30"/>
        </w:rPr>
        <w:instrText xml:space="preserve"> PAGEREF _Toc23046 \h </w:instrText>
      </w:r>
      <w:r>
        <w:rPr>
          <w:sz w:val="30"/>
        </w:rPr>
        <w:fldChar w:fldCharType="separate"/>
      </w:r>
      <w:r>
        <w:rPr>
          <w:sz w:val="30"/>
        </w:rPr>
        <w:t>25</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"_Toc9582" </w:instrText>
      </w:r>
      <w:r>
        <w:fldChar w:fldCharType="separate"/>
      </w:r>
      <w:r>
        <w:rPr>
          <w:rFonts w:hint="eastAsia"/>
          <w:sz w:val="30"/>
        </w:rPr>
        <w:t>五、财政拨款支出决算明细表</w:t>
      </w:r>
      <w:r>
        <w:rPr>
          <w:sz w:val="30"/>
        </w:rPr>
        <w:tab/>
      </w:r>
      <w:r>
        <w:rPr>
          <w:sz w:val="30"/>
        </w:rPr>
        <w:fldChar w:fldCharType="begin"/>
      </w:r>
      <w:r>
        <w:rPr>
          <w:sz w:val="30"/>
        </w:rPr>
        <w:instrText xml:space="preserve"> PAGEREF _Toc9582 \h </w:instrText>
      </w:r>
      <w:r>
        <w:rPr>
          <w:sz w:val="30"/>
        </w:rPr>
        <w:fldChar w:fldCharType="separate"/>
      </w:r>
      <w:r>
        <w:rPr>
          <w:sz w:val="30"/>
        </w:rPr>
        <w:t>25</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"_Toc29178" </w:instrText>
      </w:r>
      <w:r>
        <w:fldChar w:fldCharType="separate"/>
      </w:r>
      <w:r>
        <w:rPr>
          <w:rFonts w:hint="eastAsia"/>
          <w:sz w:val="30"/>
        </w:rPr>
        <w:t>六、一般公共预算财政拨款支出决算表</w:t>
      </w:r>
      <w:r>
        <w:rPr>
          <w:sz w:val="30"/>
        </w:rPr>
        <w:tab/>
      </w:r>
      <w:r>
        <w:rPr>
          <w:sz w:val="30"/>
        </w:rPr>
        <w:fldChar w:fldCharType="begin"/>
      </w:r>
      <w:r>
        <w:rPr>
          <w:sz w:val="30"/>
        </w:rPr>
        <w:instrText xml:space="preserve"> PAGEREF _Toc29178 \h </w:instrText>
      </w:r>
      <w:r>
        <w:rPr>
          <w:sz w:val="30"/>
        </w:rPr>
        <w:fldChar w:fldCharType="separate"/>
      </w:r>
      <w:r>
        <w:rPr>
          <w:sz w:val="30"/>
        </w:rPr>
        <w:t>25</w:t>
      </w:r>
      <w:r>
        <w:rPr>
          <w:sz w:val="30"/>
        </w:rPr>
        <w:fldChar w:fldCharType="end"/>
      </w:r>
      <w:r>
        <w:rPr>
          <w:sz w:val="30"/>
        </w:rPr>
        <w:fldChar w:fldCharType="end"/>
      </w:r>
    </w:p>
    <w:p>
      <w:pPr>
        <w:pStyle w:val="13"/>
        <w:tabs>
          <w:tab w:val="right" w:leader="dot" w:pos="8306"/>
          <w:tab w:val="clear" w:pos="8296"/>
        </w:tabs>
        <w:ind w:left="0" w:leftChars="0" w:firstLine="1280" w:firstLineChars="400"/>
        <w:jc w:val="left"/>
        <w:rPr>
          <w:sz w:val="30"/>
        </w:rPr>
      </w:pPr>
      <w:r>
        <w:fldChar w:fldCharType="begin"/>
      </w:r>
      <w:r>
        <w:instrText xml:space="preserve"> HYPERLINK \l "_Toc29502" </w:instrText>
      </w:r>
      <w:r>
        <w:fldChar w:fldCharType="separate"/>
      </w:r>
      <w:r>
        <w:rPr>
          <w:rFonts w:hint="eastAsia"/>
          <w:sz w:val="30"/>
        </w:rPr>
        <w:t>七、一般公共预算财政拨款支出决算明细表</w:t>
      </w:r>
      <w:r>
        <w:rPr>
          <w:sz w:val="30"/>
        </w:rPr>
        <w:tab/>
      </w:r>
      <w:r>
        <w:rPr>
          <w:sz w:val="30"/>
        </w:rPr>
        <w:fldChar w:fldCharType="begin"/>
      </w:r>
      <w:r>
        <w:rPr>
          <w:sz w:val="30"/>
        </w:rPr>
        <w:instrText xml:space="preserve"> PAGEREF _Toc29502 \h </w:instrText>
      </w:r>
      <w:r>
        <w:rPr>
          <w:sz w:val="30"/>
        </w:rPr>
        <w:fldChar w:fldCharType="separate"/>
      </w:r>
      <w:r>
        <w:rPr>
          <w:sz w:val="30"/>
        </w:rPr>
        <w:t>25</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"_Toc8492" </w:instrText>
      </w:r>
      <w:r>
        <w:fldChar w:fldCharType="separate"/>
      </w:r>
      <w:r>
        <w:rPr>
          <w:rFonts w:hint="eastAsia"/>
          <w:sz w:val="30"/>
        </w:rPr>
        <w:t>八、一般公共预算财政拨款基本支出决算表</w:t>
      </w:r>
      <w:r>
        <w:rPr>
          <w:sz w:val="30"/>
        </w:rPr>
        <w:tab/>
      </w:r>
      <w:r>
        <w:rPr>
          <w:sz w:val="30"/>
        </w:rPr>
        <w:fldChar w:fldCharType="begin"/>
      </w:r>
      <w:r>
        <w:rPr>
          <w:sz w:val="30"/>
        </w:rPr>
        <w:instrText xml:space="preserve"> PAGEREF _Toc8492 \h </w:instrText>
      </w:r>
      <w:r>
        <w:rPr>
          <w:sz w:val="30"/>
        </w:rPr>
        <w:fldChar w:fldCharType="separate"/>
      </w:r>
      <w:r>
        <w:rPr>
          <w:sz w:val="30"/>
        </w:rPr>
        <w:t>25</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"_Toc3808" </w:instrText>
      </w:r>
      <w:r>
        <w:fldChar w:fldCharType="separate"/>
      </w:r>
      <w:r>
        <w:rPr>
          <w:rFonts w:hint="eastAsia"/>
          <w:sz w:val="30"/>
        </w:rPr>
        <w:t>九、一般公共预算财政拨款项目支出决算表</w:t>
      </w:r>
      <w:r>
        <w:rPr>
          <w:sz w:val="30"/>
        </w:rPr>
        <w:tab/>
      </w:r>
      <w:r>
        <w:rPr>
          <w:sz w:val="30"/>
        </w:rPr>
        <w:fldChar w:fldCharType="begin"/>
      </w:r>
      <w:r>
        <w:rPr>
          <w:sz w:val="30"/>
        </w:rPr>
        <w:instrText xml:space="preserve"> PAGEREF _Toc3808 \h </w:instrText>
      </w:r>
      <w:r>
        <w:rPr>
          <w:sz w:val="30"/>
        </w:rPr>
        <w:fldChar w:fldCharType="separate"/>
      </w:r>
      <w:r>
        <w:rPr>
          <w:sz w:val="30"/>
        </w:rPr>
        <w:t>25</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"_Toc31035" </w:instrText>
      </w:r>
      <w:r>
        <w:fldChar w:fldCharType="separate"/>
      </w:r>
      <w:r>
        <w:rPr>
          <w:rFonts w:hint="eastAsia"/>
          <w:sz w:val="30"/>
        </w:rPr>
        <w:t>十、一般公共预算财政拨款“三公”经费支出决算表</w:t>
      </w:r>
      <w:r>
        <w:rPr>
          <w:sz w:val="30"/>
        </w:rPr>
        <w:tab/>
      </w:r>
      <w:r>
        <w:rPr>
          <w:sz w:val="30"/>
        </w:rPr>
        <w:fldChar w:fldCharType="begin"/>
      </w:r>
      <w:r>
        <w:rPr>
          <w:sz w:val="30"/>
        </w:rPr>
        <w:instrText xml:space="preserve"> PAGEREF _Toc31035 \h </w:instrText>
      </w:r>
      <w:r>
        <w:rPr>
          <w:sz w:val="30"/>
        </w:rPr>
        <w:fldChar w:fldCharType="separate"/>
      </w:r>
      <w:r>
        <w:rPr>
          <w:sz w:val="30"/>
        </w:rPr>
        <w:t>25</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"_Toc4598" </w:instrText>
      </w:r>
      <w:r>
        <w:fldChar w:fldCharType="separate"/>
      </w:r>
      <w:r>
        <w:rPr>
          <w:rFonts w:hint="eastAsia"/>
          <w:sz w:val="30"/>
        </w:rPr>
        <w:t>十一、政府性基金预算财政拨款收入支出决算表</w:t>
      </w:r>
      <w:r>
        <w:rPr>
          <w:sz w:val="30"/>
        </w:rPr>
        <w:tab/>
      </w:r>
      <w:r>
        <w:rPr>
          <w:sz w:val="30"/>
        </w:rPr>
        <w:fldChar w:fldCharType="begin"/>
      </w:r>
      <w:r>
        <w:rPr>
          <w:sz w:val="30"/>
        </w:rPr>
        <w:instrText xml:space="preserve"> PAGEREF _Toc4598 \h </w:instrText>
      </w:r>
      <w:r>
        <w:rPr>
          <w:sz w:val="30"/>
        </w:rPr>
        <w:fldChar w:fldCharType="separate"/>
      </w:r>
      <w:r>
        <w:rPr>
          <w:sz w:val="30"/>
        </w:rPr>
        <w:t>25</w:t>
      </w:r>
      <w:r>
        <w:rPr>
          <w:sz w:val="30"/>
        </w:rPr>
        <w:fldChar w:fldCharType="end"/>
      </w:r>
      <w:r>
        <w:rPr>
          <w:sz w:val="30"/>
        </w:rPr>
        <w:fldChar w:fldCharType="end"/>
      </w:r>
    </w:p>
    <w:p>
      <w:pPr>
        <w:pStyle w:val="13"/>
        <w:tabs>
          <w:tab w:val="right" w:leader="dot" w:pos="8306"/>
          <w:tab w:val="clear" w:pos="8296"/>
        </w:tabs>
        <w:ind w:left="1235" w:leftChars="386" w:firstLine="0" w:firstLineChars="0"/>
        <w:jc w:val="left"/>
        <w:rPr>
          <w:sz w:val="30"/>
        </w:rPr>
      </w:pPr>
      <w:r>
        <w:fldChar w:fldCharType="begin"/>
      </w:r>
      <w:r>
        <w:instrText xml:space="preserve"> HYPERLINK \l "_Toc10706" </w:instrText>
      </w:r>
      <w:r>
        <w:fldChar w:fldCharType="separate"/>
      </w:r>
      <w:r>
        <w:rPr>
          <w:rFonts w:hint="eastAsia"/>
          <w:sz w:val="30"/>
        </w:rPr>
        <w:t>十二、政府性基金预算财政拨款“三公”经费支出决算表</w:t>
      </w:r>
      <w:r>
        <w:rPr>
          <w:sz w:val="30"/>
        </w:rPr>
        <w:tab/>
      </w:r>
      <w:r>
        <w:rPr>
          <w:sz w:val="30"/>
        </w:rPr>
        <w:fldChar w:fldCharType="begin"/>
      </w:r>
      <w:r>
        <w:rPr>
          <w:sz w:val="30"/>
        </w:rPr>
        <w:instrText xml:space="preserve"> PAGEREF _Toc10706 \h </w:instrText>
      </w:r>
      <w:r>
        <w:rPr>
          <w:sz w:val="30"/>
        </w:rPr>
        <w:fldChar w:fldCharType="separate"/>
      </w:r>
      <w:r>
        <w:rPr>
          <w:sz w:val="30"/>
        </w:rPr>
        <w:t>25</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"_Toc16325" </w:instrText>
      </w:r>
      <w:r>
        <w:fldChar w:fldCharType="separate"/>
      </w:r>
      <w:r>
        <w:rPr>
          <w:rFonts w:hint="eastAsia"/>
          <w:sz w:val="30"/>
        </w:rPr>
        <w:t>十三、国有资本经营预算财政拨款收入支出决算表</w:t>
      </w:r>
      <w:r>
        <w:rPr>
          <w:sz w:val="30"/>
        </w:rPr>
        <w:tab/>
      </w:r>
      <w:r>
        <w:rPr>
          <w:sz w:val="30"/>
        </w:rPr>
        <w:fldChar w:fldCharType="begin"/>
      </w:r>
      <w:r>
        <w:rPr>
          <w:sz w:val="30"/>
        </w:rPr>
        <w:instrText xml:space="preserve"> PAGEREF _Toc16325 \h </w:instrText>
      </w:r>
      <w:r>
        <w:rPr>
          <w:sz w:val="30"/>
        </w:rPr>
        <w:fldChar w:fldCharType="separate"/>
      </w:r>
      <w:r>
        <w:rPr>
          <w:sz w:val="30"/>
        </w:rPr>
        <w:t>25</w:t>
      </w:r>
      <w:r>
        <w:rPr>
          <w:sz w:val="30"/>
        </w:rPr>
        <w:fldChar w:fldCharType="end"/>
      </w:r>
      <w:r>
        <w:rPr>
          <w:sz w:val="30"/>
        </w:rPr>
        <w:fldChar w:fldCharType="end"/>
      </w:r>
    </w:p>
    <w:p>
      <w:pPr>
        <w:pStyle w:val="13"/>
        <w:tabs>
          <w:tab w:val="right" w:leader="dot" w:pos="8306"/>
          <w:tab w:val="clear" w:pos="8296"/>
        </w:tabs>
        <w:ind w:left="640" w:firstLine="640"/>
        <w:jc w:val="left"/>
        <w:rPr>
          <w:sz w:val="30"/>
        </w:rPr>
      </w:pPr>
      <w:r>
        <w:fldChar w:fldCharType="begin"/>
      </w:r>
      <w:r>
        <w:instrText xml:space="preserve"> HYPERLINK \l "_Toc6722" </w:instrText>
      </w:r>
      <w:r>
        <w:fldChar w:fldCharType="separate"/>
      </w:r>
      <w:r>
        <w:rPr>
          <w:rFonts w:hint="eastAsia"/>
          <w:sz w:val="30"/>
        </w:rPr>
        <w:t>十四、国有资本经营预算财政拨款支出决算表</w:t>
      </w:r>
      <w:r>
        <w:rPr>
          <w:sz w:val="30"/>
        </w:rPr>
        <w:tab/>
      </w:r>
      <w:r>
        <w:rPr>
          <w:sz w:val="30"/>
        </w:rPr>
        <w:fldChar w:fldCharType="begin"/>
      </w:r>
      <w:r>
        <w:rPr>
          <w:sz w:val="30"/>
        </w:rPr>
        <w:instrText xml:space="preserve"> PAGEREF _Toc6722 \h </w:instrText>
      </w:r>
      <w:r>
        <w:rPr>
          <w:sz w:val="30"/>
        </w:rPr>
        <w:fldChar w:fldCharType="separate"/>
      </w:r>
      <w:r>
        <w:rPr>
          <w:sz w:val="30"/>
        </w:rPr>
        <w:t>25</w:t>
      </w:r>
      <w:r>
        <w:rPr>
          <w:sz w:val="30"/>
        </w:rPr>
        <w:fldChar w:fldCharType="end"/>
      </w:r>
      <w:r>
        <w:rPr>
          <w:sz w:val="30"/>
        </w:rPr>
        <w:fldChar w:fldCharType="end"/>
      </w:r>
    </w:p>
    <w:p>
      <w:pPr>
        <w:widowControl/>
        <w:ind w:firstLine="600"/>
        <w:jc w:val="left"/>
        <w:rPr>
          <w:rFonts w:ascii="仿宋" w:hAnsi="仿宋"/>
          <w:sz w:val="24"/>
        </w:rPr>
      </w:pPr>
      <w:r>
        <w:rPr>
          <w:rFonts w:ascii="仿宋" w:hAnsi="仿宋"/>
          <w:sz w:val="30"/>
        </w:rPr>
        <w:fldChar w:fldCharType="end"/>
      </w:r>
    </w:p>
    <w:p>
      <w:pPr>
        <w:widowControl/>
        <w:ind w:firstLine="643"/>
        <w:jc w:val="left"/>
        <w:rPr>
          <w:rFonts w:ascii="黑体" w:hAnsi="黑体" w:eastAsia="黑体"/>
          <w:bCs/>
          <w:kern w:val="44"/>
          <w:sz w:val="44"/>
          <w:szCs w:val="44"/>
        </w:rPr>
      </w:pPr>
      <w:bookmarkStart w:id="15" w:name="_Toc15377196"/>
      <w:r>
        <w:rPr>
          <w:rFonts w:ascii="黑体" w:hAnsi="黑体" w:eastAsia="黑体"/>
          <w:b/>
        </w:rPr>
        <w:br w:type="page"/>
      </w:r>
    </w:p>
    <w:p>
      <w:pPr>
        <w:pStyle w:val="4"/>
        <w:ind w:firstLine="883"/>
      </w:pPr>
      <w:bookmarkStart w:id="16" w:name="_Toc17992"/>
      <w:r>
        <w:rPr>
          <w:rFonts w:hint="eastAsia"/>
        </w:rPr>
        <w:t>第一部分 部门概况</w:t>
      </w:r>
      <w:bookmarkEnd w:id="15"/>
      <w:bookmarkEnd w:id="16"/>
    </w:p>
    <w:p>
      <w:pPr>
        <w:widowControl/>
        <w:ind w:firstLine="640"/>
        <w:jc w:val="left"/>
        <w:rPr>
          <w:rFonts w:ascii="黑体" w:eastAsia="黑体"/>
          <w:szCs w:val="32"/>
        </w:rPr>
      </w:pPr>
    </w:p>
    <w:p>
      <w:pPr>
        <w:ind w:firstLine="640"/>
        <w:outlineLvl w:val="1"/>
        <w:rPr>
          <w:rFonts w:ascii="黑体" w:hAnsi="黑体" w:eastAsia="黑体" w:cs="黑体"/>
          <w:szCs w:val="32"/>
        </w:rPr>
      </w:pPr>
      <w:bookmarkStart w:id="17" w:name="_Toc3098"/>
      <w:bookmarkStart w:id="18" w:name="_Toc15377197"/>
      <w:r>
        <w:rPr>
          <w:rFonts w:hint="eastAsia" w:ascii="黑体" w:hAnsi="黑体" w:eastAsia="黑体" w:cs="黑体"/>
          <w:szCs w:val="32"/>
        </w:rPr>
        <w:t>一、基本职能及主要工作</w:t>
      </w:r>
      <w:bookmarkEnd w:id="17"/>
      <w:bookmarkEnd w:id="18"/>
      <w:bookmarkStart w:id="19" w:name="_Toc15377198"/>
      <w:bookmarkStart w:id="20" w:name="_Toc15378445"/>
    </w:p>
    <w:p>
      <w:pPr>
        <w:pStyle w:val="6"/>
        <w:ind w:firstLine="643"/>
      </w:pPr>
      <w:r>
        <w:rPr>
          <w:rFonts w:hint="eastAsia"/>
        </w:rPr>
        <w:t>（一）主要职能</w:t>
      </w:r>
      <w:bookmarkEnd w:id="19"/>
      <w:bookmarkEnd w:id="20"/>
    </w:p>
    <w:p>
      <w:pPr>
        <w:ind w:firstLine="800" w:firstLineChars="250"/>
        <w:rPr>
          <w:rFonts w:ascii="仿宋" w:hAnsi="仿宋"/>
          <w:szCs w:val="32"/>
        </w:rPr>
      </w:pPr>
      <w:r>
        <w:rPr>
          <w:rFonts w:hint="eastAsia" w:ascii="仿宋" w:hAnsi="仿宋"/>
          <w:szCs w:val="32"/>
        </w:rPr>
        <w:t>广安广播电视大学是一所由广安市人民政府主办、广安市教育和体育局管理的成人高等教育学校，业务上接受国家开放大学（原中央广播电视大学）和四川广播电视大学指导。主要职责及工作是：以现代信息技术为支撑，以远程开放教育为主要形式，坚持“以学历教育为主，社区教育、老年教育、社会培训协同发展”的战略方向，积极推动向开放大学转型发展，为广安构建终身教育体系和建设学习型社会不断贡献新的力量。</w:t>
      </w:r>
    </w:p>
    <w:p>
      <w:pPr>
        <w:pStyle w:val="6"/>
        <w:ind w:firstLine="643"/>
      </w:pPr>
      <w:bookmarkStart w:id="21" w:name="_Toc15377199"/>
      <w:bookmarkStart w:id="22" w:name="_Toc15378446"/>
      <w:r>
        <w:rPr>
          <w:rFonts w:hint="eastAsia"/>
        </w:rPr>
        <w:t>（二）2020年重点工作完成情况</w:t>
      </w:r>
      <w:bookmarkEnd w:id="21"/>
      <w:bookmarkEnd w:id="22"/>
    </w:p>
    <w:p>
      <w:pPr>
        <w:ind w:firstLine="640"/>
      </w:pPr>
      <w:bookmarkStart w:id="23" w:name="_Toc15377200"/>
      <w:r>
        <w:rPr>
          <w:rFonts w:hint="eastAsia"/>
        </w:rPr>
        <w:t>一、全面加强党建工作，落实意识形态工作主体责任</w:t>
      </w:r>
    </w:p>
    <w:p>
      <w:pPr>
        <w:ind w:firstLine="640"/>
      </w:pPr>
      <w:r>
        <w:t>今年3月，在市委教育工委指导下，学校成立了中共广安广播电视大学总支部委员会，成功召开了全体党员大会并选举产生了党支部领导班子，全面加强党建工作。学校党总支坚持围绕中心、建设队伍、服务群众三个方面，认真落实“三会一课”制度，扎实开展政治理论学习，深入开展党风廉政教育，不断增强全体教职工的党性意识、廉政意识，推动党建工作与业务工作深度融合、相互促进。学校党政领导班子将意识形态工作摆上重要议事日程，与业务工作同安排、同部署、同检查，定期召开意识形态领域形势研判会，通报意识形态领域工作情况，狠抓思政课程建设，全面落实意识形态工作主体责任。</w:t>
      </w:r>
    </w:p>
    <w:p>
      <w:pPr>
        <w:ind w:firstLine="640"/>
      </w:pPr>
      <w:r>
        <w:rPr>
          <w:rFonts w:hint="eastAsia"/>
        </w:rPr>
        <w:t>二、理顺体制机制，增强学校发展活力</w:t>
      </w:r>
    </w:p>
    <w:p>
      <w:pPr>
        <w:ind w:firstLine="640"/>
      </w:pPr>
      <w:r>
        <w:t>2020年，学校以恢复独立办学体制为契机，全面深化改革，进一步理顺了办学机制体制，学校发展活力不断增强。</w:t>
      </w:r>
    </w:p>
    <w:p>
      <w:pPr>
        <w:ind w:firstLine="640"/>
      </w:pPr>
      <w:r>
        <w:rPr>
          <w:rFonts w:hint="eastAsia"/>
        </w:rPr>
        <w:t>（1）整体运行态势良好</w:t>
      </w:r>
    </w:p>
    <w:p>
      <w:pPr>
        <w:ind w:firstLine="640"/>
      </w:pPr>
      <w:r>
        <w:t>完成了与广职院财务、资产全面清算划转，顺利完成学校整体搬迁，完成卫校校区的</w:t>
      </w:r>
      <w:r>
        <w:rPr>
          <w:rFonts w:hint="eastAsia"/>
        </w:rPr>
        <w:t>全面</w:t>
      </w:r>
      <w:r>
        <w:t>整修，做好</w:t>
      </w:r>
      <w:r>
        <w:rPr>
          <w:rFonts w:hint="eastAsia"/>
        </w:rPr>
        <w:t>了</w:t>
      </w:r>
      <w:r>
        <w:t>教育教学、</w:t>
      </w:r>
      <w:r>
        <w:rPr>
          <w:rFonts w:hint="eastAsia"/>
        </w:rPr>
        <w:t>党政</w:t>
      </w:r>
      <w:r>
        <w:t>办公</w:t>
      </w:r>
      <w:r>
        <w:rPr>
          <w:rFonts w:hint="eastAsia"/>
        </w:rPr>
        <w:t>的后勤、资金、安全等方面的</w:t>
      </w:r>
      <w:r>
        <w:t>保障，学校整体运行有序。</w:t>
      </w:r>
    </w:p>
    <w:p>
      <w:pPr>
        <w:ind w:firstLine="640"/>
      </w:pPr>
      <w:r>
        <w:rPr>
          <w:rFonts w:hint="eastAsia"/>
        </w:rPr>
        <w:t>（2）新校区建设推进顺利</w:t>
      </w:r>
    </w:p>
    <w:p>
      <w:pPr>
        <w:ind w:firstLine="640"/>
      </w:pPr>
      <w:r>
        <w:t>目前市政府已同意学校新校区选址神龙山片区C22、C23地块，学校委托重庆大学建筑规划设计院完成了对新校区初步规划设计，同时向国家开放大学争取的600万元建设资金已到位，相关建设手续正在积极办理，新校区有望于2021年正式开工建设。</w:t>
      </w:r>
    </w:p>
    <w:p>
      <w:pPr>
        <w:ind w:firstLine="640"/>
      </w:pPr>
      <w:r>
        <w:rPr>
          <w:rFonts w:hint="eastAsia"/>
        </w:rPr>
        <w:t>（3）系统建设卓有成效</w:t>
      </w:r>
    </w:p>
    <w:p>
      <w:pPr>
        <w:ind w:firstLine="640"/>
      </w:pPr>
      <w:r>
        <w:t>恢复了对武胜、岳池、邻水三所县级电大管理权限，全面加强对各县级电大的管理与指导；成立了华蓥电大工作站，完成电大空白县插旗；加强与政府、行业、企业合作，先后与市政法委、市城管执法局、广安区组织部、经开区党工委、川煤集团广能公司、广安市帆华教育等单位签订了合作协议，不断拓宽办学业务和办学范围，推动学校转型升级发展；</w:t>
      </w:r>
      <w:r>
        <w:rPr>
          <w:rFonts w:hint="eastAsia"/>
        </w:rPr>
        <w:t>学校荣获四川电大2020年</w:t>
      </w:r>
      <w:r>
        <w:t>系统建设拓展提升行动计划推</w:t>
      </w:r>
      <w:r>
        <w:rPr>
          <w:rFonts w:hint="eastAsia"/>
        </w:rPr>
        <w:t>进</w:t>
      </w:r>
      <w:r>
        <w:t>奖</w:t>
      </w:r>
      <w:r>
        <w:rPr>
          <w:rFonts w:hint="eastAsia"/>
        </w:rPr>
        <w:t>。</w:t>
      </w:r>
    </w:p>
    <w:p>
      <w:pPr>
        <w:ind w:firstLine="640"/>
      </w:pPr>
      <w:r>
        <w:rPr>
          <w:rFonts w:hint="eastAsia"/>
        </w:rPr>
        <w:t>（4）内控制度逐步健全</w:t>
      </w:r>
    </w:p>
    <w:p>
      <w:pPr>
        <w:ind w:firstLine="640"/>
      </w:pPr>
      <w:r>
        <w:t>先后制定出台了《广安广播电视大学议事规则》、《广安广播电视大学财务报销管理办法》、《广安广播电视大学教职工请假暂行规定》、《广安广播电视大学工会经费管理办法》、《广安广播电视大学培训管理办法(试行)》以及教务教学管理系列规章制度，进一步推进了学校管理制度化、规范化、民主化。</w:t>
      </w:r>
    </w:p>
    <w:p>
      <w:pPr>
        <w:ind w:firstLine="640"/>
      </w:pPr>
      <w:r>
        <w:rPr>
          <w:rFonts w:hint="eastAsia"/>
        </w:rPr>
        <w:t>三、真抓实干，业务工作扎实开展</w:t>
      </w:r>
    </w:p>
    <w:p>
      <w:pPr>
        <w:ind w:firstLine="640"/>
      </w:pPr>
      <w:r>
        <w:rPr>
          <w:rFonts w:hint="eastAsia"/>
        </w:rPr>
        <w:t>2020年</w:t>
      </w:r>
      <w:r>
        <w:t>，</w:t>
      </w:r>
      <w:r>
        <w:rPr>
          <w:rFonts w:hint="eastAsia"/>
        </w:rPr>
        <w:t>学校多措并举，真抓实干，推动业务工作扎实开展，取得良好效果，荣获四川电大系统</w:t>
      </w:r>
      <w:r>
        <w:t>“市（州、行业）电大业务工作综合奖”二等奖</w:t>
      </w:r>
      <w:r>
        <w:rPr>
          <w:rFonts w:hint="eastAsia"/>
        </w:rPr>
        <w:t>，</w:t>
      </w:r>
      <w:r>
        <w:t>作为全省唯一市级电大在全省基层电大培训会上就</w:t>
      </w:r>
      <w:r>
        <w:rPr>
          <w:rFonts w:hint="eastAsia"/>
        </w:rPr>
        <w:t>系统建设和</w:t>
      </w:r>
      <w:r>
        <w:t>学生工作作了主题发言和经验交流</w:t>
      </w:r>
      <w:r>
        <w:rPr>
          <w:rFonts w:hint="eastAsia"/>
        </w:rPr>
        <w:t>，学校28名学员受到国家开放大学、四川电大表彰</w:t>
      </w:r>
      <w:r>
        <w:t>。</w:t>
      </w:r>
    </w:p>
    <w:p>
      <w:pPr>
        <w:ind w:firstLine="640"/>
      </w:pPr>
      <w:r>
        <w:rPr>
          <w:rFonts w:hint="eastAsia"/>
        </w:rPr>
        <w:t>（一）教学工作稳步推进</w:t>
      </w:r>
    </w:p>
    <w:p>
      <w:pPr>
        <w:ind w:firstLine="640"/>
      </w:pPr>
      <w:r>
        <w:rPr>
          <w:rFonts w:hint="eastAsia"/>
        </w:rPr>
        <w:t>一是加大对教师网上教学考核力度，提升网上教学质量，加强对学生线上学习情况考核督导，进一步提升了学习效果和网络考核课程合格率；二是创新形式开展线下教学，组织开展了</w:t>
      </w:r>
      <w:r>
        <w:t>网络教育专升本英语</w:t>
      </w:r>
      <w:r>
        <w:rPr>
          <w:rFonts w:hint="eastAsia"/>
        </w:rPr>
        <w:t>、计算机</w:t>
      </w:r>
      <w:r>
        <w:t>统考考前培训</w:t>
      </w:r>
      <w:r>
        <w:rPr>
          <w:rFonts w:hint="eastAsia"/>
        </w:rPr>
        <w:t>，举办了</w:t>
      </w:r>
      <w:r>
        <w:t>“四川经济作物栽培技术”、“现代农业新技术” 及乡村振兴</w:t>
      </w:r>
      <w:r>
        <w:rPr>
          <w:rFonts w:hint="eastAsia"/>
        </w:rPr>
        <w:t>、</w:t>
      </w:r>
      <w:r>
        <w:t>基层治理等</w:t>
      </w:r>
      <w:r>
        <w:rPr>
          <w:rFonts w:hint="eastAsia"/>
        </w:rPr>
        <w:t>系列</w:t>
      </w:r>
      <w:r>
        <w:t>专题讲座</w:t>
      </w:r>
      <w:r>
        <w:rPr>
          <w:rFonts w:hint="eastAsia"/>
        </w:rPr>
        <w:t>，</w:t>
      </w:r>
      <w:r>
        <w:t>组织学员</w:t>
      </w:r>
      <w:r>
        <w:rPr>
          <w:rFonts w:hint="eastAsia"/>
        </w:rPr>
        <w:t>赴</w:t>
      </w:r>
      <w:r>
        <w:t>前锋区观塘现代农业产业园区、省级农业产业园区前锋虎城万亩青花椒基地进行</w:t>
      </w:r>
      <w:r>
        <w:rPr>
          <w:rFonts w:hint="eastAsia"/>
        </w:rPr>
        <w:t>参观和现场</w:t>
      </w:r>
      <w:r>
        <w:t>教学活动</w:t>
      </w:r>
      <w:r>
        <w:rPr>
          <w:rFonts w:hint="eastAsia"/>
        </w:rPr>
        <w:t>；三是加强对学位、毕业论文指导，</w:t>
      </w:r>
      <w:r>
        <w:t>聘请了省电大的相关专家对学生的论文写作进行指导，全年共完成</w:t>
      </w:r>
      <w:r>
        <w:rPr>
          <w:rFonts w:hint="eastAsia"/>
        </w:rPr>
        <w:t>对700余名毕业学生的学位论文、毕业论文（设计）的</w:t>
      </w:r>
      <w:r>
        <w:t>指导、答辩、评审</w:t>
      </w:r>
      <w:r>
        <w:rPr>
          <w:rFonts w:hint="eastAsia"/>
        </w:rPr>
        <w:t>，学生毕业论文合格率、本科学生学位获取率大幅提升。</w:t>
      </w:r>
    </w:p>
    <w:p>
      <w:pPr>
        <w:ind w:firstLine="640"/>
      </w:pPr>
      <w:r>
        <w:rPr>
          <w:rFonts w:hint="eastAsia"/>
        </w:rPr>
        <w:t>（二）教务工作细致无误</w:t>
      </w:r>
    </w:p>
    <w:p>
      <w:pPr>
        <w:ind w:firstLine="640"/>
      </w:pPr>
      <w:r>
        <w:rPr>
          <w:rFonts w:hint="eastAsia"/>
        </w:rPr>
        <w:t>全年完成</w:t>
      </w:r>
      <w:r>
        <w:t>课程注册共计44436科次，</w:t>
      </w:r>
      <w:r>
        <w:rPr>
          <w:rFonts w:hint="eastAsia"/>
        </w:rPr>
        <w:t>组织完成4800人近5万科次课程考试，办理</w:t>
      </w:r>
      <w:r>
        <w:t>毕业办证</w:t>
      </w:r>
      <w:r>
        <w:rPr>
          <w:rFonts w:hint="eastAsia"/>
        </w:rPr>
        <w:t>2243</w:t>
      </w:r>
      <w:r>
        <w:t>人</w:t>
      </w:r>
      <w:r>
        <w:rPr>
          <w:rFonts w:hint="eastAsia"/>
        </w:rPr>
        <w:t>，</w:t>
      </w:r>
      <w:r>
        <w:t>办理免修免考100余人次，</w:t>
      </w:r>
      <w:r>
        <w:rPr>
          <w:rFonts w:hint="eastAsia"/>
        </w:rPr>
        <w:t>办理</w:t>
      </w:r>
      <w:r>
        <w:t>学位证书20余人</w:t>
      </w:r>
      <w:r>
        <w:rPr>
          <w:rFonts w:hint="eastAsia"/>
        </w:rPr>
        <w:t>，教务考务工作</w:t>
      </w:r>
      <w:r>
        <w:t>过程规范、严谨、细致</w:t>
      </w:r>
      <w:r>
        <w:rPr>
          <w:rFonts w:hint="eastAsia"/>
        </w:rPr>
        <w:t>，未出现任何责任事故，办学秩序进一步规范。</w:t>
      </w:r>
    </w:p>
    <w:p>
      <w:pPr>
        <w:ind w:firstLine="640"/>
      </w:pPr>
      <w:r>
        <w:rPr>
          <w:rFonts w:hint="eastAsia"/>
        </w:rPr>
        <w:t>（三）</w:t>
      </w:r>
      <w:r>
        <w:t>招生</w:t>
      </w:r>
      <w:r>
        <w:rPr>
          <w:rFonts w:hint="eastAsia"/>
        </w:rPr>
        <w:t>工作</w:t>
      </w:r>
      <w:r>
        <w:t>保持良好势头</w:t>
      </w:r>
    </w:p>
    <w:p>
      <w:pPr>
        <w:ind w:firstLine="640"/>
      </w:pPr>
      <w:r>
        <w:t>学校坚持“招生</w:t>
      </w:r>
      <w:r>
        <w:rPr>
          <w:rFonts w:hint="eastAsia"/>
        </w:rPr>
        <w:t>处招生</w:t>
      </w:r>
      <w:r>
        <w:t>为龙头、全员招生为主体”的方针，</w:t>
      </w:r>
      <w:r>
        <w:rPr>
          <w:rFonts w:hint="eastAsia"/>
        </w:rPr>
        <w:t>发动全体教职员工参与招生，加强对各县级电大招生工作指导，加强与行业、企业合作，</w:t>
      </w:r>
      <w:r>
        <w:t>线上线下多措并举，</w:t>
      </w:r>
      <w:r>
        <w:rPr>
          <w:rFonts w:hint="eastAsia"/>
        </w:rPr>
        <w:t>不断拓展生源。</w:t>
      </w:r>
      <w:r>
        <w:t>2020年</w:t>
      </w:r>
      <w:r>
        <w:rPr>
          <w:rFonts w:hint="eastAsia"/>
        </w:rPr>
        <w:t>全市电大系统</w:t>
      </w:r>
      <w:r>
        <w:t>共招收新生</w:t>
      </w:r>
      <w:r>
        <w:rPr>
          <w:rFonts w:hint="eastAsia"/>
        </w:rPr>
        <w:t>2072名，其中直属部招生</w:t>
      </w:r>
      <w:r>
        <w:t>1311名</w:t>
      </w:r>
      <w:r>
        <w:rPr>
          <w:rFonts w:hint="eastAsia"/>
        </w:rPr>
        <w:t>，实现了较大幅度增长，学校办学效益良好</w:t>
      </w:r>
      <w:r>
        <w:t>。</w:t>
      </w:r>
    </w:p>
    <w:p>
      <w:pPr>
        <w:ind w:firstLine="640"/>
      </w:pPr>
      <w:r>
        <w:rPr>
          <w:rFonts w:hint="eastAsia"/>
        </w:rPr>
        <w:t>（四）非学历教育取得突破</w:t>
      </w:r>
    </w:p>
    <w:p>
      <w:pPr>
        <w:ind w:firstLine="640"/>
      </w:pPr>
      <w:r>
        <w:rPr>
          <w:rFonts w:hint="eastAsia"/>
        </w:rPr>
        <w:t>2020年，学校克服机构不健全、人员经费紧张、场地不足等方面困难，积极探索开拓社区教育工作、社会培训、老年教育等非学历教育工作，取得新的进展。学校挂牌成立了广安市经开区乡村（社区）干部继续教育基地，组织开展了经开区基层党务工作培训；积极参与四川省社区教育指导中心</w:t>
      </w:r>
      <w:r>
        <w:t>“乐学防疫”</w:t>
      </w:r>
      <w:r>
        <w:rPr>
          <w:rFonts w:hint="eastAsia"/>
        </w:rPr>
        <w:t>线上教学视频比赛，制作的线上</w:t>
      </w:r>
      <w:r>
        <w:t>教学视频</w:t>
      </w:r>
      <w:r>
        <w:rPr>
          <w:rFonts w:hint="eastAsia"/>
        </w:rPr>
        <w:t>课程荣获</w:t>
      </w:r>
      <w:r>
        <w:t>一等奖</w:t>
      </w:r>
      <w:r>
        <w:rPr>
          <w:rFonts w:hint="eastAsia"/>
        </w:rPr>
        <w:t>并</w:t>
      </w:r>
      <w:r>
        <w:t>入选四川省社区教育学习资源库</w:t>
      </w:r>
      <w:r>
        <w:rPr>
          <w:rFonts w:hint="eastAsia"/>
        </w:rPr>
        <w:t>；完成</w:t>
      </w:r>
      <w:r>
        <w:t>与四川电大、四川电视台合作的终身学习栏目《行走的书院·红色广安别样红》电视节目拍摄，并在四川电视台科技频道</w:t>
      </w:r>
      <w:r>
        <w:rPr>
          <w:rFonts w:hint="eastAsia"/>
        </w:rPr>
        <w:t>，取得良好社会反响；积极开展社区教育理论与实践研究，与相关职能部门、老年大学以及社区共同开展了广安市老年教育现状摸底调查，顺利完成市社科联科研项目</w:t>
      </w:r>
      <w:r>
        <w:t>《广安邻水县社区教育路径探索》</w:t>
      </w:r>
      <w:r>
        <w:rPr>
          <w:rFonts w:hint="eastAsia"/>
        </w:rPr>
        <w:t>结题；</w:t>
      </w:r>
      <w:r>
        <w:t>积极组织申报四川省“百姓学习之星”及“终身学习品牌”项目</w:t>
      </w:r>
      <w:r>
        <w:rPr>
          <w:rFonts w:hint="eastAsia"/>
        </w:rPr>
        <w:t>，学校推荐</w:t>
      </w:r>
      <w:r>
        <w:t>学员杨劲松荣获四川省“百姓学习之星”</w:t>
      </w:r>
      <w:r>
        <w:rPr>
          <w:rFonts w:hint="eastAsia"/>
        </w:rPr>
        <w:t>称号</w:t>
      </w:r>
      <w:r>
        <w:t>，</w:t>
      </w:r>
      <w:r>
        <w:rPr>
          <w:rFonts w:hint="eastAsia"/>
        </w:rPr>
        <w:t>推荐申报的相关</w:t>
      </w:r>
      <w:r>
        <w:t>科普宣传</w:t>
      </w:r>
      <w:r>
        <w:rPr>
          <w:rFonts w:hint="eastAsia"/>
        </w:rPr>
        <w:t>项目</w:t>
      </w:r>
      <w:r>
        <w:t>荣获四川省“终身学习品牌”称号</w:t>
      </w:r>
      <w:r>
        <w:rPr>
          <w:rFonts w:hint="eastAsia"/>
        </w:rPr>
        <w:t>。</w:t>
      </w:r>
    </w:p>
    <w:p>
      <w:pPr>
        <w:pStyle w:val="5"/>
        <w:ind w:firstLine="643"/>
      </w:pPr>
      <w:bookmarkStart w:id="24" w:name="_Toc32367"/>
      <w:r>
        <w:rPr>
          <w:rFonts w:hint="eastAsia"/>
        </w:rPr>
        <w:t>二、机构设置</w:t>
      </w:r>
      <w:bookmarkEnd w:id="23"/>
      <w:bookmarkEnd w:id="24"/>
    </w:p>
    <w:p>
      <w:pPr>
        <w:ind w:firstLine="640"/>
      </w:pPr>
      <w:r>
        <w:rPr>
          <w:rFonts w:hint="eastAsia"/>
        </w:rPr>
        <w:t>广安广播电视大学</w:t>
      </w:r>
      <w:r>
        <w:t>下属二级单位</w:t>
      </w:r>
      <w:r>
        <w:rPr>
          <w:rFonts w:hint="eastAsia"/>
        </w:rPr>
        <w:t>0个，其中行政单位0个，参照公务员法管理的事业单位0个，其他事业单位0个。</w:t>
      </w:r>
    </w:p>
    <w:p>
      <w:pPr>
        <w:ind w:firstLine="640"/>
      </w:pPr>
      <w:r>
        <w:rPr>
          <w:rFonts w:hint="eastAsia"/>
        </w:rPr>
        <w:t>广安广播电视大学是全额拨款的事业单位，单位内部机构设置情况如下：</w:t>
      </w:r>
    </w:p>
    <w:p>
      <w:pPr>
        <w:ind w:firstLine="640"/>
      </w:pPr>
      <w:bookmarkStart w:id="25" w:name="_Toc15377204"/>
      <w:r>
        <w:rPr>
          <w:rFonts w:hint="eastAsia"/>
        </w:rPr>
        <w:t>内设处室4个，分别为综合办公室、教务教学处、招生处、培训处。</w:t>
      </w:r>
    </w:p>
    <w:p>
      <w:pPr>
        <w:pStyle w:val="4"/>
        <w:ind w:firstLine="883"/>
      </w:pPr>
      <w:bookmarkStart w:id="26" w:name="_Toc1029"/>
      <w:r>
        <w:rPr>
          <w:rFonts w:hint="eastAsia"/>
        </w:rPr>
        <w:t>第二部分2020年度部门决算情况说明</w:t>
      </w:r>
      <w:bookmarkEnd w:id="25"/>
      <w:bookmarkEnd w:id="26"/>
    </w:p>
    <w:p>
      <w:pPr>
        <w:pStyle w:val="5"/>
        <w:ind w:firstLine="643"/>
      </w:pPr>
      <w:bookmarkStart w:id="27" w:name="_Toc15377205"/>
      <w:bookmarkStart w:id="28" w:name="_Toc9653"/>
      <w:r>
        <w:rPr>
          <w:rFonts w:hint="eastAsia"/>
        </w:rPr>
        <w:t>一、收入支出决算总体情况说明</w:t>
      </w:r>
      <w:bookmarkEnd w:id="27"/>
      <w:bookmarkEnd w:id="28"/>
    </w:p>
    <w:p>
      <w:pPr>
        <w:ind w:firstLine="640"/>
      </w:pPr>
      <w:r>
        <w:rPr>
          <w:rFonts w:hint="eastAsia"/>
        </w:rPr>
        <w:t>2020年度收、支总计409.03万元。与2019年相比，收、支总计增加409.03万元，增长100</w:t>
      </w:r>
      <w:r>
        <w:t>%</w:t>
      </w:r>
      <w:r>
        <w:rPr>
          <w:rFonts w:hint="eastAsia"/>
        </w:rPr>
        <w:t>。主要变动原因是单位自2020年1月开始独立核算，2019年并于广安职业技术学院。</w:t>
      </w:r>
    </w:p>
    <w:p>
      <w:pPr>
        <w:ind w:firstLine="640"/>
      </w:pPr>
      <w:r>
        <w:drawing>
          <wp:inline distT="0" distB="0" distL="114300" distR="114300">
            <wp:extent cx="4572000" cy="2743200"/>
            <wp:effectExtent l="6350" t="6350" r="12700" b="1270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rPr>
          <w:rFonts w:ascii="仿宋" w:hAnsi="仿宋"/>
          <w:szCs w:val="32"/>
        </w:rPr>
      </w:pPr>
      <w:r>
        <w:rPr>
          <w:rFonts w:hint="eastAsia" w:ascii="仿宋" w:hAnsi="仿宋"/>
          <w:szCs w:val="32"/>
        </w:rPr>
        <w:t>（图</w:t>
      </w:r>
      <w:r>
        <w:rPr>
          <w:rFonts w:ascii="仿宋" w:hAnsi="仿宋"/>
          <w:szCs w:val="32"/>
        </w:rPr>
        <w:t>1</w:t>
      </w:r>
      <w:r>
        <w:rPr>
          <w:rFonts w:hint="eastAsia" w:ascii="仿宋" w:hAnsi="仿宋"/>
          <w:szCs w:val="32"/>
        </w:rPr>
        <w:t>：收、支决算总计变动情况图）（柱状图）</w:t>
      </w:r>
    </w:p>
    <w:p>
      <w:pPr>
        <w:pStyle w:val="5"/>
        <w:ind w:firstLine="643"/>
      </w:pPr>
      <w:bookmarkStart w:id="29" w:name="_Toc15377206"/>
      <w:bookmarkStart w:id="30" w:name="_Toc4284"/>
      <w:r>
        <w:rPr>
          <w:rFonts w:hint="eastAsia"/>
        </w:rPr>
        <w:t>二、收入决算情况说明</w:t>
      </w:r>
      <w:bookmarkEnd w:id="29"/>
      <w:bookmarkEnd w:id="30"/>
    </w:p>
    <w:p>
      <w:pPr>
        <w:ind w:firstLine="640"/>
      </w:pPr>
      <w:r>
        <w:t>20</w:t>
      </w:r>
      <w:r>
        <w:rPr>
          <w:rFonts w:hint="eastAsia"/>
        </w:rPr>
        <w:t>20年本年收入合计409.03万元，其中：一般公共预算财政拨款收入228.49万元，占55.86</w:t>
      </w:r>
      <w:r>
        <w:t>%</w:t>
      </w:r>
      <w:r>
        <w:rPr>
          <w:rFonts w:hint="eastAsia"/>
        </w:rPr>
        <w:t>；事业收入180.54万元，占44.14</w:t>
      </w:r>
      <w:r>
        <w:t>%</w:t>
      </w:r>
      <w:r>
        <w:rPr>
          <w:rFonts w:hint="eastAsia"/>
        </w:rPr>
        <w:t>。</w:t>
      </w:r>
    </w:p>
    <w:p>
      <w:pPr>
        <w:ind w:firstLine="640"/>
        <w:rPr>
          <w:rFonts w:ascii="仿宋" w:hAnsi="仿宋"/>
          <w:szCs w:val="32"/>
        </w:rPr>
      </w:pPr>
      <w:r>
        <w:rPr>
          <w:rFonts w:hint="eastAsia" w:ascii="仿宋" w:hAnsi="仿宋"/>
          <w:szCs w:val="32"/>
        </w:rPr>
        <w:drawing>
          <wp:inline distT="0" distB="0" distL="114300" distR="114300">
            <wp:extent cx="4584065" cy="2724785"/>
            <wp:effectExtent l="0" t="0" r="6985" b="1841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9"/>
                    <a:stretch>
                      <a:fillRect/>
                    </a:stretch>
                  </pic:blipFill>
                  <pic:spPr>
                    <a:xfrm>
                      <a:off x="0" y="0"/>
                      <a:ext cx="4584065" cy="2724785"/>
                    </a:xfrm>
                    <a:prstGeom prst="rect">
                      <a:avLst/>
                    </a:prstGeom>
                  </pic:spPr>
                </pic:pic>
              </a:graphicData>
            </a:graphic>
          </wp:inline>
        </w:drawing>
      </w:r>
    </w:p>
    <w:p>
      <w:pPr>
        <w:spacing w:line="600" w:lineRule="exact"/>
        <w:ind w:firstLine="1280" w:firstLineChars="400"/>
        <w:rPr>
          <w:rFonts w:ascii="仿宋" w:hAnsi="仿宋"/>
          <w:szCs w:val="32"/>
        </w:rPr>
      </w:pPr>
      <w:r>
        <w:rPr>
          <w:rFonts w:hint="eastAsia" w:ascii="仿宋" w:hAnsi="仿宋"/>
          <w:szCs w:val="32"/>
        </w:rPr>
        <w:t>（图2：收入决算结构图）（饼状图）</w:t>
      </w:r>
    </w:p>
    <w:p>
      <w:pPr>
        <w:pStyle w:val="5"/>
        <w:ind w:firstLine="643"/>
      </w:pPr>
      <w:bookmarkStart w:id="31" w:name="_Toc26899"/>
      <w:bookmarkStart w:id="32" w:name="_Toc15377207"/>
      <w:r>
        <w:rPr>
          <w:rFonts w:hint="eastAsia"/>
        </w:rPr>
        <w:t>三、支出决算情况说明</w:t>
      </w:r>
      <w:bookmarkEnd w:id="31"/>
      <w:bookmarkEnd w:id="32"/>
    </w:p>
    <w:p>
      <w:pPr>
        <w:ind w:firstLine="640"/>
      </w:pPr>
      <w:r>
        <w:t>20</w:t>
      </w:r>
      <w:r>
        <w:rPr>
          <w:rFonts w:hint="eastAsia"/>
        </w:rPr>
        <w:t>20年本年支出合计409.03万元，其中：基本支出384万元，占93.88</w:t>
      </w:r>
      <w:r>
        <w:t>%</w:t>
      </w:r>
      <w:r>
        <w:rPr>
          <w:rFonts w:hint="eastAsia"/>
        </w:rPr>
        <w:t>；项目支出25.03万元，占6.12</w:t>
      </w:r>
      <w:r>
        <w:t>%</w:t>
      </w:r>
      <w:r>
        <w:rPr>
          <w:rFonts w:hint="eastAsia"/>
        </w:rPr>
        <w:t>。</w:t>
      </w:r>
    </w:p>
    <w:p>
      <w:pPr>
        <w:ind w:firstLine="640"/>
        <w:rPr>
          <w:rFonts w:ascii="仿宋" w:hAnsi="仿宋"/>
          <w:szCs w:val="32"/>
        </w:rPr>
      </w:pPr>
      <w:r>
        <w:rPr>
          <w:rFonts w:hint="eastAsia" w:ascii="仿宋" w:hAnsi="仿宋"/>
          <w:szCs w:val="32"/>
        </w:rPr>
        <w:drawing>
          <wp:inline distT="0" distB="0" distL="114300" distR="114300">
            <wp:extent cx="4584065" cy="2724785"/>
            <wp:effectExtent l="0" t="0" r="6985" b="18415"/>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10"/>
                    <a:stretch>
                      <a:fillRect/>
                    </a:stretch>
                  </pic:blipFill>
                  <pic:spPr>
                    <a:xfrm>
                      <a:off x="0" y="0"/>
                      <a:ext cx="4584065" cy="2724785"/>
                    </a:xfrm>
                    <a:prstGeom prst="rect">
                      <a:avLst/>
                    </a:prstGeom>
                  </pic:spPr>
                </pic:pic>
              </a:graphicData>
            </a:graphic>
          </wp:inline>
        </w:drawing>
      </w:r>
    </w:p>
    <w:p>
      <w:pPr>
        <w:ind w:firstLine="640"/>
        <w:rPr>
          <w:rFonts w:ascii="方正黑体_GBK" w:hAnsi="方正黑体_GBK" w:eastAsia="方正黑体_GBK" w:cs="方正黑体_GBK"/>
          <w:sz w:val="33"/>
          <w:szCs w:val="33"/>
        </w:rPr>
      </w:pPr>
      <w:r>
        <w:rPr>
          <w:rFonts w:hint="eastAsia" w:ascii="仿宋" w:hAnsi="仿宋"/>
          <w:szCs w:val="32"/>
        </w:rPr>
        <w:t>（图3：支出决算结构图）（饼状图）</w:t>
      </w:r>
    </w:p>
    <w:p>
      <w:pPr>
        <w:pStyle w:val="5"/>
        <w:ind w:firstLine="643"/>
      </w:pPr>
      <w:bookmarkStart w:id="33" w:name="_Toc14011"/>
      <w:bookmarkStart w:id="34" w:name="_Toc15377208"/>
      <w:r>
        <w:rPr>
          <w:rFonts w:hint="eastAsia"/>
        </w:rPr>
        <w:t>四、财政拨款收入支出决算总体情况说明</w:t>
      </w:r>
      <w:bookmarkEnd w:id="33"/>
      <w:bookmarkEnd w:id="34"/>
    </w:p>
    <w:p>
      <w:pPr>
        <w:ind w:firstLine="640"/>
      </w:pPr>
      <w:r>
        <w:t>20</w:t>
      </w:r>
      <w:r>
        <w:rPr>
          <w:rFonts w:hint="eastAsia"/>
        </w:rPr>
        <w:t>20年财政拨款收、支总计228.49万元。与</w:t>
      </w:r>
      <w:r>
        <w:t>20</w:t>
      </w:r>
      <w:r>
        <w:rPr>
          <w:rFonts w:hint="eastAsia"/>
        </w:rPr>
        <w:t>19年相比，财政拨款收、支总计增加228.49万元，增长100</w:t>
      </w:r>
      <w:r>
        <w:t>%</w:t>
      </w:r>
      <w:r>
        <w:rPr>
          <w:rFonts w:hint="eastAsia"/>
        </w:rPr>
        <w:t>。主要变动原因是单位自2020年1月开始独立核算，2019年并于广安职业技术学院。</w:t>
      </w:r>
    </w:p>
    <w:p>
      <w:pPr>
        <w:ind w:firstLine="640"/>
        <w:rPr>
          <w:rFonts w:eastAsia="方正仿宋_GBK"/>
          <w:sz w:val="33"/>
          <w:szCs w:val="33"/>
        </w:rPr>
      </w:pPr>
      <w:r>
        <w:drawing>
          <wp:inline distT="0" distB="0" distL="114300" distR="114300">
            <wp:extent cx="4572000" cy="2743200"/>
            <wp:effectExtent l="4445" t="4445" r="14605" b="14605"/>
            <wp:docPr id="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rPr>
          <w:rFonts w:ascii="仿宋" w:hAnsi="仿宋"/>
          <w:szCs w:val="32"/>
        </w:rPr>
      </w:pPr>
      <w:r>
        <w:rPr>
          <w:rFonts w:hint="eastAsia" w:ascii="仿宋" w:hAnsi="仿宋"/>
          <w:szCs w:val="32"/>
        </w:rPr>
        <w:t>（图4：财政拨款收、支决算总计变动情况）（柱状图）</w:t>
      </w:r>
    </w:p>
    <w:p>
      <w:pPr>
        <w:pStyle w:val="5"/>
        <w:ind w:firstLine="643"/>
      </w:pPr>
      <w:bookmarkStart w:id="35" w:name="_Toc8431"/>
      <w:bookmarkStart w:id="36" w:name="_Toc15377209"/>
      <w:r>
        <w:rPr>
          <w:rFonts w:hint="eastAsia"/>
        </w:rPr>
        <w:t>五、一般公共预算财政拨款支出决算情况说明</w:t>
      </w:r>
      <w:bookmarkEnd w:id="35"/>
      <w:bookmarkEnd w:id="36"/>
    </w:p>
    <w:p>
      <w:pPr>
        <w:pStyle w:val="6"/>
        <w:ind w:firstLine="643"/>
      </w:pPr>
      <w:bookmarkStart w:id="37" w:name="_Toc15377210"/>
      <w:r>
        <w:rPr>
          <w:rFonts w:hint="eastAsia"/>
        </w:rPr>
        <w:t>（一）一般公共预算财政拨款支出决算总体情况</w:t>
      </w:r>
      <w:bookmarkEnd w:id="37"/>
    </w:p>
    <w:p>
      <w:pPr>
        <w:ind w:firstLine="640"/>
      </w:pPr>
      <w:r>
        <w:t>20</w:t>
      </w:r>
      <w:r>
        <w:rPr>
          <w:rFonts w:hint="eastAsia"/>
        </w:rPr>
        <w:t>20年一般公共预算财政拨款支出228.49万元，占本年支出合计的93.88</w:t>
      </w:r>
      <w:r>
        <w:t>%</w:t>
      </w:r>
      <w:r>
        <w:rPr>
          <w:rFonts w:hint="eastAsia"/>
        </w:rPr>
        <w:t>。与</w:t>
      </w:r>
      <w:r>
        <w:t>201</w:t>
      </w:r>
      <w:r>
        <w:rPr>
          <w:rFonts w:hint="eastAsia"/>
        </w:rPr>
        <w:t>9年相比，一般公共预算财政拨款增加228.49万元，增长100</w:t>
      </w:r>
      <w:r>
        <w:t>%</w:t>
      </w:r>
      <w:r>
        <w:rPr>
          <w:rFonts w:hint="eastAsia"/>
        </w:rPr>
        <w:t>。主要变动原因是单位自2020年1月开始独立核算，2019年并于广安职业技术学院。</w:t>
      </w:r>
    </w:p>
    <w:p>
      <w:pPr>
        <w:ind w:firstLine="660"/>
        <w:rPr>
          <w:rFonts w:eastAsia="方正仿宋_GBK"/>
          <w:sz w:val="33"/>
          <w:szCs w:val="33"/>
        </w:rPr>
      </w:pPr>
    </w:p>
    <w:p>
      <w:pPr>
        <w:ind w:firstLine="660"/>
        <w:rPr>
          <w:rFonts w:eastAsia="方正仿宋_GBK"/>
          <w:sz w:val="33"/>
          <w:szCs w:val="33"/>
        </w:rPr>
      </w:pPr>
    </w:p>
    <w:p>
      <w:pPr>
        <w:spacing w:line="600" w:lineRule="exact"/>
        <w:ind w:firstLine="640"/>
        <w:rPr>
          <w:rFonts w:ascii="仿宋" w:hAnsi="仿宋"/>
          <w:szCs w:val="32"/>
        </w:rPr>
      </w:pPr>
    </w:p>
    <w:p>
      <w:pPr>
        <w:ind w:firstLine="640"/>
        <w:rPr>
          <w:rFonts w:ascii="仿宋" w:hAnsi="仿宋"/>
          <w:szCs w:val="32"/>
        </w:rPr>
      </w:pPr>
      <w:r>
        <w:rPr>
          <w:rFonts w:hint="eastAsia" w:ascii="仿宋" w:hAnsi="仿宋"/>
          <w:szCs w:val="32"/>
        </w:rPr>
        <w:drawing>
          <wp:inline distT="0" distB="0" distL="114300" distR="114300">
            <wp:extent cx="4596130" cy="2736850"/>
            <wp:effectExtent l="0" t="0" r="13970" b="6350"/>
            <wp:docPr id="8" name="图片 8"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4"/>
                    <pic:cNvPicPr>
                      <a:picLocks noChangeAspect="1"/>
                    </pic:cNvPicPr>
                  </pic:nvPicPr>
                  <pic:blipFill>
                    <a:blip r:embed="rId12"/>
                    <a:stretch>
                      <a:fillRect/>
                    </a:stretch>
                  </pic:blipFill>
                  <pic:spPr>
                    <a:xfrm>
                      <a:off x="0" y="0"/>
                      <a:ext cx="4596130" cy="2736850"/>
                    </a:xfrm>
                    <a:prstGeom prst="rect">
                      <a:avLst/>
                    </a:prstGeom>
                  </pic:spPr>
                </pic:pic>
              </a:graphicData>
            </a:graphic>
          </wp:inline>
        </w:drawing>
      </w:r>
    </w:p>
    <w:p>
      <w:pPr>
        <w:spacing w:line="600" w:lineRule="exact"/>
        <w:ind w:firstLine="640"/>
        <w:rPr>
          <w:rFonts w:ascii="仿宋" w:hAnsi="仿宋"/>
          <w:szCs w:val="32"/>
        </w:rPr>
      </w:pPr>
      <w:r>
        <w:rPr>
          <w:rFonts w:hint="eastAsia" w:ascii="仿宋" w:hAnsi="仿宋"/>
          <w:szCs w:val="32"/>
        </w:rPr>
        <w:t>（图5：一般公共预算财政拨款支出决算变动情况）（柱状图）</w:t>
      </w:r>
    </w:p>
    <w:p>
      <w:pPr>
        <w:pStyle w:val="6"/>
        <w:ind w:firstLine="643"/>
      </w:pPr>
      <w:bookmarkStart w:id="38" w:name="_Toc15377211"/>
      <w:r>
        <w:rPr>
          <w:rFonts w:hint="eastAsia"/>
        </w:rPr>
        <w:t>（二）一般公共预算财政拨款支出决算结构情况</w:t>
      </w:r>
      <w:bookmarkEnd w:id="38"/>
    </w:p>
    <w:p>
      <w:pPr>
        <w:ind w:firstLine="640"/>
      </w:pPr>
      <w:r>
        <w:t>20</w:t>
      </w:r>
      <w:r>
        <w:rPr>
          <w:rFonts w:hint="eastAsia"/>
        </w:rPr>
        <w:t>20年一般公共预算财政拨款支出228.49万元，主要用于以下方面</w:t>
      </w:r>
      <w:r>
        <w:t>:</w:t>
      </w:r>
    </w:p>
    <w:p>
      <w:pPr>
        <w:ind w:firstLine="640"/>
      </w:pPr>
      <w:r>
        <w:rPr>
          <w:rFonts w:hint="eastAsia"/>
        </w:rPr>
        <w:t>教育支出（205）202.3万元，占88.54</w:t>
      </w:r>
      <w:r>
        <w:t>%</w:t>
      </w:r>
      <w:r>
        <w:rPr>
          <w:rFonts w:hint="eastAsia"/>
        </w:rPr>
        <w:t>；</w:t>
      </w:r>
    </w:p>
    <w:p>
      <w:pPr>
        <w:ind w:firstLine="640"/>
      </w:pPr>
      <w:r>
        <w:rPr>
          <w:rFonts w:hint="eastAsia"/>
        </w:rPr>
        <w:t>社会保障和就业（208）支出18.85万元，占8.25</w:t>
      </w:r>
      <w:r>
        <w:t>%</w:t>
      </w:r>
      <w:r>
        <w:rPr>
          <w:rFonts w:hint="eastAsia"/>
        </w:rPr>
        <w:t>；</w:t>
      </w:r>
    </w:p>
    <w:p>
      <w:pPr>
        <w:ind w:firstLine="640"/>
      </w:pPr>
      <w:r>
        <w:rPr>
          <w:rFonts w:hint="eastAsia"/>
        </w:rPr>
        <w:t>卫生健康支出（210）7.34万元，占3.21</w:t>
      </w:r>
      <w:r>
        <w:t>%</w:t>
      </w:r>
      <w:r>
        <w:rPr>
          <w:rFonts w:hint="eastAsia"/>
        </w:rPr>
        <w:t>。</w:t>
      </w:r>
    </w:p>
    <w:p>
      <w:pPr>
        <w:ind w:firstLine="640"/>
        <w:rPr>
          <w:rFonts w:ascii="仿宋" w:hAnsi="仿宋"/>
          <w:szCs w:val="32"/>
        </w:rPr>
      </w:pPr>
      <w:r>
        <w:rPr>
          <w:rFonts w:hint="eastAsia" w:ascii="仿宋" w:hAnsi="仿宋"/>
          <w:szCs w:val="32"/>
        </w:rPr>
        <w:drawing>
          <wp:inline distT="0" distB="0" distL="114300" distR="114300">
            <wp:extent cx="4638675" cy="2781300"/>
            <wp:effectExtent l="0" t="0" r="9525" b="0"/>
            <wp:docPr id="2" name="图片 2" descr="1629192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9192115(1)"/>
                    <pic:cNvPicPr>
                      <a:picLocks noChangeAspect="1"/>
                    </pic:cNvPicPr>
                  </pic:nvPicPr>
                  <pic:blipFill>
                    <a:blip r:embed="rId13"/>
                    <a:stretch>
                      <a:fillRect/>
                    </a:stretch>
                  </pic:blipFill>
                  <pic:spPr>
                    <a:xfrm>
                      <a:off x="0" y="0"/>
                      <a:ext cx="4638675" cy="2781300"/>
                    </a:xfrm>
                    <a:prstGeom prst="rect">
                      <a:avLst/>
                    </a:prstGeom>
                  </pic:spPr>
                </pic:pic>
              </a:graphicData>
            </a:graphic>
          </wp:inline>
        </w:drawing>
      </w:r>
    </w:p>
    <w:p>
      <w:pPr>
        <w:spacing w:line="600" w:lineRule="exact"/>
        <w:ind w:firstLine="640"/>
        <w:rPr>
          <w:rFonts w:ascii="仿宋" w:hAnsi="仿宋"/>
          <w:szCs w:val="32"/>
        </w:rPr>
      </w:pPr>
      <w:r>
        <w:rPr>
          <w:rFonts w:hint="eastAsia" w:ascii="仿宋" w:hAnsi="仿宋"/>
          <w:szCs w:val="32"/>
        </w:rPr>
        <w:t>（图6：一般公共预算财政拨款支出决算结构）（饼状图）</w:t>
      </w:r>
    </w:p>
    <w:p>
      <w:pPr>
        <w:pStyle w:val="6"/>
        <w:ind w:firstLine="643"/>
      </w:pPr>
      <w:bookmarkStart w:id="39" w:name="_Toc15377212"/>
      <w:r>
        <w:rPr>
          <w:rFonts w:hint="eastAsia"/>
        </w:rPr>
        <w:t>（三）一般公共预算财政拨款支出决算具体情况</w:t>
      </w:r>
      <w:bookmarkEnd w:id="39"/>
    </w:p>
    <w:p>
      <w:pPr>
        <w:ind w:firstLine="640"/>
      </w:pPr>
      <w:bookmarkStart w:id="40" w:name="_Toc15377444"/>
      <w:bookmarkStart w:id="41" w:name="_Toc15378460"/>
      <w:bookmarkStart w:id="42" w:name="_Toc15377213"/>
      <w:r>
        <w:rPr>
          <w:rFonts w:hint="eastAsia"/>
        </w:rPr>
        <w:t>2020年</w:t>
      </w:r>
      <w:bookmarkEnd w:id="40"/>
      <w:bookmarkEnd w:id="41"/>
      <w:bookmarkEnd w:id="42"/>
      <w:r>
        <w:rPr>
          <w:rFonts w:hint="eastAsia"/>
        </w:rPr>
        <w:t>一般公共预算支出决算数为228.49万元，完成预算99.26%。其中：</w:t>
      </w:r>
    </w:p>
    <w:p>
      <w:pPr>
        <w:ind w:firstLine="643"/>
      </w:pPr>
      <w:r>
        <w:rPr>
          <w:rStyle w:val="33"/>
          <w:rFonts w:hint="eastAsia"/>
        </w:rPr>
        <w:t>1.教育支出（类）广播电视教育（款）广播电视学校（项）2050501</w:t>
      </w:r>
      <w:r>
        <w:rPr>
          <w:rStyle w:val="33"/>
        </w:rPr>
        <w:t>:</w:t>
      </w:r>
      <w:r>
        <w:t xml:space="preserve"> </w:t>
      </w:r>
      <w:r>
        <w:rPr>
          <w:rFonts w:hint="eastAsia"/>
        </w:rPr>
        <w:t>支出决算为202.3万元，完成预算99.33</w:t>
      </w:r>
      <w:r>
        <w:t>%</w:t>
      </w:r>
      <w:r>
        <w:rPr>
          <w:rFonts w:hint="eastAsia"/>
        </w:rPr>
        <w:t>，决算数小于预算数的主要原因是单位预算的公务接待费未使用完。</w:t>
      </w:r>
    </w:p>
    <w:p>
      <w:pPr>
        <w:ind w:firstLine="643"/>
      </w:pPr>
      <w:r>
        <w:rPr>
          <w:rStyle w:val="33"/>
          <w:rFonts w:hint="eastAsia"/>
        </w:rPr>
        <w:t>2.社会保障和就业支出（类）行政事业单位养老支出（款）机关事业单位基本养老保险缴费支出（项）2080505</w:t>
      </w:r>
      <w:r>
        <w:rPr>
          <w:rStyle w:val="33"/>
        </w:rPr>
        <w:t>:</w:t>
      </w:r>
      <w:r>
        <w:t xml:space="preserve"> </w:t>
      </w:r>
      <w:r>
        <w:rPr>
          <w:rFonts w:hint="eastAsia"/>
        </w:rPr>
        <w:t>支出决算为18.85万元，完成预算99.89</w:t>
      </w:r>
      <w:r>
        <w:t>%</w:t>
      </w:r>
      <w:r>
        <w:rPr>
          <w:rFonts w:hint="eastAsia"/>
        </w:rPr>
        <w:t>，决算数小于预算数的主要原因是预算误差。</w:t>
      </w:r>
    </w:p>
    <w:p>
      <w:pPr>
        <w:ind w:firstLine="643"/>
      </w:pPr>
      <w:r>
        <w:rPr>
          <w:rStyle w:val="33"/>
          <w:rFonts w:hint="eastAsia"/>
        </w:rPr>
        <w:t>3. 卫生健康支出（类）行政事业单位医疗（款）事业单位医疗（项）2101102</w:t>
      </w:r>
      <w:r>
        <w:rPr>
          <w:rStyle w:val="33"/>
        </w:rPr>
        <w:t>:</w:t>
      </w:r>
      <w:r>
        <w:t xml:space="preserve"> </w:t>
      </w:r>
      <w:r>
        <w:rPr>
          <w:rFonts w:hint="eastAsia"/>
        </w:rPr>
        <w:t>支出决算为7.34万元，完成预算95.82</w:t>
      </w:r>
      <w:r>
        <w:t>%</w:t>
      </w:r>
      <w:r>
        <w:rPr>
          <w:rFonts w:hint="eastAsia"/>
        </w:rPr>
        <w:t>。决算数小于预算数的主要原因是2013年单位并入广安职业技术学院前医疗保险账户有余额，本年缴纳医疗险抵减往年多缴纳。</w:t>
      </w:r>
    </w:p>
    <w:p>
      <w:pPr>
        <w:tabs>
          <w:tab w:val="right" w:pos="8306"/>
        </w:tabs>
        <w:spacing w:line="600" w:lineRule="exact"/>
        <w:ind w:firstLine="643"/>
        <w:outlineLvl w:val="1"/>
        <w:rPr>
          <w:rStyle w:val="30"/>
        </w:rPr>
      </w:pPr>
      <w:bookmarkStart w:id="43" w:name="_Toc15377214"/>
      <w:bookmarkStart w:id="44" w:name="_Toc9022"/>
      <w:r>
        <w:rPr>
          <w:rStyle w:val="30"/>
          <w:rFonts w:hint="eastAsia"/>
        </w:rPr>
        <w:t>六、一般公共预算财政拨款基本支出决算情况说明</w:t>
      </w:r>
      <w:bookmarkEnd w:id="43"/>
      <w:bookmarkEnd w:id="44"/>
      <w:r>
        <w:rPr>
          <w:rStyle w:val="30"/>
          <w:rFonts w:ascii="黑体" w:hAnsi="黑体"/>
          <w:b w:val="0"/>
        </w:rPr>
        <w:tab/>
      </w:r>
    </w:p>
    <w:p>
      <w:pPr>
        <w:ind w:firstLine="640"/>
      </w:pPr>
      <w:r>
        <w:t>20</w:t>
      </w:r>
      <w:r>
        <w:rPr>
          <w:rFonts w:hint="eastAsia"/>
        </w:rPr>
        <w:t>20年一般公共预算财政拨款基本支出228.49万元，其中：</w:t>
      </w:r>
    </w:p>
    <w:p>
      <w:pPr>
        <w:ind w:firstLine="640"/>
      </w:pPr>
      <w:r>
        <w:rPr>
          <w:rFonts w:hint="eastAsia"/>
        </w:rPr>
        <w:t>人员经费194.41万元，主要包括：基本工资、津贴补贴、绩效工资、机关事业单位基本养老保险缴费、职工基本医疗保险缴费、其他社会保障缴费、其他工资福利支出和其他对个人和家庭的补助支出等。</w:t>
      </w:r>
    </w:p>
    <w:p>
      <w:pPr>
        <w:ind w:firstLine="640"/>
      </w:pPr>
      <w:r>
        <w:rPr>
          <w:rFonts w:hint="eastAsia"/>
        </w:rPr>
        <w:t>公用经费34.08万元，主要包括：办公费、印刷费、咨询费、水费、电费、邮电费、物业管理费、差旅费、维修（护）费、租赁费、会议费、培训费、公务接待费、专用材料费、劳务费、工会经费、福利费、其他交通费、其他商品和服务支出、办公设备购置、其他资本性支出等。</w:t>
      </w:r>
    </w:p>
    <w:p>
      <w:pPr>
        <w:pStyle w:val="5"/>
        <w:ind w:firstLine="643"/>
      </w:pPr>
      <w:bookmarkStart w:id="45" w:name="_Toc27197"/>
      <w:bookmarkStart w:id="46" w:name="_Toc15377215"/>
      <w:r>
        <w:rPr>
          <w:rFonts w:hint="eastAsia"/>
        </w:rPr>
        <w:t>七、“三公”经费财政拨款支出决算情况说明</w:t>
      </w:r>
      <w:bookmarkEnd w:id="45"/>
      <w:bookmarkEnd w:id="46"/>
    </w:p>
    <w:p>
      <w:pPr>
        <w:pStyle w:val="6"/>
        <w:ind w:firstLine="643"/>
      </w:pPr>
      <w:bookmarkStart w:id="47" w:name="_Toc15377216"/>
      <w:r>
        <w:rPr>
          <w:rFonts w:hint="eastAsia"/>
        </w:rPr>
        <w:t>（一）“三公”经费财政拨款支出决算总体情况说明</w:t>
      </w:r>
      <w:bookmarkEnd w:id="47"/>
    </w:p>
    <w:p>
      <w:pPr>
        <w:ind w:firstLine="640"/>
      </w:pPr>
      <w:r>
        <w:t>20</w:t>
      </w:r>
      <w:r>
        <w:rPr>
          <w:rFonts w:hint="eastAsia"/>
        </w:rPr>
        <w:t>20年“三公”经费财政拨款支出决算为0.26万元，完成预算16.95</w:t>
      </w:r>
      <w:r>
        <w:t>%</w:t>
      </w:r>
      <w:r>
        <w:rPr>
          <w:rFonts w:hint="eastAsia"/>
        </w:rPr>
        <w:t>，决算数小于预算数的主要原因是严格控制“三公”经费的开支，特别是控制公务接待费的支出。</w:t>
      </w:r>
    </w:p>
    <w:p>
      <w:pPr>
        <w:pStyle w:val="6"/>
        <w:ind w:firstLine="643"/>
      </w:pPr>
      <w:bookmarkStart w:id="48" w:name="_Toc15377217"/>
      <w:r>
        <w:rPr>
          <w:rFonts w:hint="eastAsia"/>
        </w:rPr>
        <w:t>（二）“三公”经费财政拨款支出决算具体情况说明</w:t>
      </w:r>
      <w:bookmarkEnd w:id="48"/>
    </w:p>
    <w:p>
      <w:pPr>
        <w:ind w:firstLine="640"/>
      </w:pPr>
      <w:r>
        <w:t>20</w:t>
      </w:r>
      <w:r>
        <w:rPr>
          <w:rFonts w:hint="eastAsia"/>
        </w:rPr>
        <w:t>20年“三公”经费财政拨款支出决算中，因公出国（境）费支出决算0万元，占0%；公务用车购置及运行维护费支出决算0万元，占0</w:t>
      </w:r>
      <w:r>
        <w:t>%</w:t>
      </w:r>
      <w:r>
        <w:rPr>
          <w:rFonts w:hint="eastAsia"/>
        </w:rPr>
        <w:t>；公务接待费支出决算0.26万元，占100</w:t>
      </w:r>
      <w:r>
        <w:t>%</w:t>
      </w:r>
      <w:r>
        <w:rPr>
          <w:rFonts w:hint="eastAsia"/>
        </w:rPr>
        <w:t>。具体情况如下：</w:t>
      </w:r>
    </w:p>
    <w:p>
      <w:pPr>
        <w:ind w:firstLine="640"/>
        <w:rPr>
          <w:rFonts w:ascii="仿宋" w:hAnsi="仿宋"/>
          <w:szCs w:val="32"/>
        </w:rPr>
      </w:pPr>
      <w:r>
        <w:rPr>
          <w:rFonts w:hint="eastAsia" w:ascii="仿宋" w:hAnsi="仿宋"/>
          <w:szCs w:val="32"/>
        </w:rPr>
        <w:drawing>
          <wp:inline distT="0" distB="0" distL="114300" distR="114300">
            <wp:extent cx="4584065" cy="2724785"/>
            <wp:effectExtent l="0" t="0" r="6985" b="18415"/>
            <wp:docPr id="14" name="图片 14"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6"/>
                    <pic:cNvPicPr>
                      <a:picLocks noChangeAspect="1"/>
                    </pic:cNvPicPr>
                  </pic:nvPicPr>
                  <pic:blipFill>
                    <a:blip r:embed="rId14"/>
                    <a:stretch>
                      <a:fillRect/>
                    </a:stretch>
                  </pic:blipFill>
                  <pic:spPr>
                    <a:xfrm>
                      <a:off x="0" y="0"/>
                      <a:ext cx="4584065" cy="2724785"/>
                    </a:xfrm>
                    <a:prstGeom prst="rect">
                      <a:avLst/>
                    </a:prstGeom>
                  </pic:spPr>
                </pic:pic>
              </a:graphicData>
            </a:graphic>
          </wp:inline>
        </w:drawing>
      </w:r>
    </w:p>
    <w:p>
      <w:pPr>
        <w:spacing w:line="600" w:lineRule="exact"/>
        <w:ind w:firstLine="640"/>
        <w:rPr>
          <w:rFonts w:ascii="仿宋" w:hAnsi="仿宋"/>
          <w:szCs w:val="32"/>
        </w:rPr>
      </w:pPr>
      <w:r>
        <w:rPr>
          <w:rFonts w:hint="eastAsia" w:ascii="仿宋" w:hAnsi="仿宋"/>
          <w:szCs w:val="32"/>
        </w:rPr>
        <w:t>（图7：“三公”经费财政拨款支出结构）（饼状图）</w:t>
      </w:r>
    </w:p>
    <w:p>
      <w:pPr>
        <w:ind w:firstLine="643"/>
      </w:pPr>
      <w:r>
        <w:rPr>
          <w:rStyle w:val="33"/>
          <w:rFonts w:hint="eastAsia"/>
        </w:rPr>
        <w:t>1.因公出国（境）费支出0</w:t>
      </w:r>
      <w:r>
        <w:rPr>
          <w:rFonts w:hint="eastAsia"/>
        </w:rPr>
        <w:t>万元，单位无因公出国（境）费预算。</w:t>
      </w:r>
    </w:p>
    <w:p>
      <w:pPr>
        <w:ind w:firstLine="643"/>
      </w:pPr>
      <w:r>
        <w:rPr>
          <w:rStyle w:val="33"/>
          <w:rFonts w:hint="eastAsia"/>
        </w:rPr>
        <w:t>2.公务用车购置及运行维护费支出0</w:t>
      </w:r>
      <w:r>
        <w:rPr>
          <w:rFonts w:hint="eastAsia"/>
        </w:rPr>
        <w:t>万元，单位无公务用车购置及运行维护费预算。</w:t>
      </w:r>
    </w:p>
    <w:p>
      <w:pPr>
        <w:ind w:firstLine="643"/>
      </w:pPr>
      <w:r>
        <w:rPr>
          <w:rStyle w:val="33"/>
          <w:rFonts w:hint="eastAsia"/>
        </w:rPr>
        <w:t>3.公务接待费支出0.26</w:t>
      </w:r>
      <w:r>
        <w:rPr>
          <w:rFonts w:hint="eastAsia"/>
        </w:rPr>
        <w:t>万元，完成预算</w:t>
      </w:r>
      <w:r>
        <w:rPr>
          <w:rStyle w:val="33"/>
          <w:rFonts w:hint="eastAsia"/>
        </w:rPr>
        <w:t>16.95</w:t>
      </w:r>
      <w:r>
        <w:t>%</w:t>
      </w:r>
      <w:r>
        <w:rPr>
          <w:rFonts w:hint="eastAsia"/>
        </w:rPr>
        <w:t>。公务接待费支出决算比</w:t>
      </w:r>
      <w:r>
        <w:t>201</w:t>
      </w:r>
      <w:r>
        <w:rPr>
          <w:rFonts w:hint="eastAsia"/>
        </w:rPr>
        <w:t>9年增加</w:t>
      </w:r>
      <w:r>
        <w:rPr>
          <w:rStyle w:val="33"/>
          <w:rFonts w:hint="eastAsia"/>
        </w:rPr>
        <w:t>0.26</w:t>
      </w:r>
      <w:r>
        <w:rPr>
          <w:rFonts w:hint="eastAsia"/>
        </w:rPr>
        <w:t>万元，增加</w:t>
      </w:r>
      <w:r>
        <w:rPr>
          <w:rStyle w:val="33"/>
          <w:rFonts w:hint="eastAsia"/>
        </w:rPr>
        <w:t>100</w:t>
      </w:r>
      <w:r>
        <w:t>%</w:t>
      </w:r>
      <w:r>
        <w:rPr>
          <w:rFonts w:hint="eastAsia"/>
        </w:rPr>
        <w:t>。主要变动原因是单位自2020年1月开始独立核算，2019年并于广安职业技术学院。</w:t>
      </w:r>
    </w:p>
    <w:p>
      <w:pPr>
        <w:ind w:firstLine="640"/>
      </w:pPr>
      <w:r>
        <w:rPr>
          <w:rFonts w:hint="eastAsia"/>
        </w:rPr>
        <w:t>主要用于执行公务、开展业务活动开支的交通费、住宿费、用餐费等。国内公务接待4批次，18人次（不包括陪同人员），共计支出0.26万元，具体内容包括：2020年5月调研我校疫情防控及独立后办学情况接待餐费0.11万元；2020年6月产教整合调研接待用餐费0.03万元；2020年7月电大期末巡考工作接待餐费0.06万元；2020年10月电大系统办学交流接待餐费0.06万元。</w:t>
      </w:r>
    </w:p>
    <w:p>
      <w:pPr>
        <w:ind w:firstLine="640"/>
      </w:pPr>
      <w:r>
        <w:rPr>
          <w:rFonts w:hint="eastAsia"/>
        </w:rPr>
        <w:t>其中：外事接待支出0万元，外事接待0批次，0人，共计支出0万元。</w:t>
      </w:r>
    </w:p>
    <w:p>
      <w:pPr>
        <w:pStyle w:val="5"/>
        <w:ind w:firstLine="643"/>
      </w:pPr>
      <w:bookmarkStart w:id="49" w:name="_Toc15377218"/>
      <w:bookmarkStart w:id="50" w:name="_Toc14704"/>
      <w:r>
        <w:rPr>
          <w:rFonts w:hint="eastAsia"/>
        </w:rPr>
        <w:t>八、政府性基金预算支出决算情况说明</w:t>
      </w:r>
      <w:bookmarkEnd w:id="49"/>
      <w:bookmarkEnd w:id="50"/>
    </w:p>
    <w:p>
      <w:pPr>
        <w:ind w:firstLine="640"/>
        <w:rPr>
          <w:rFonts w:eastAsia="方正仿宋_GBK"/>
          <w:szCs w:val="33"/>
        </w:rPr>
      </w:pPr>
      <w:r>
        <w:rPr>
          <w:rFonts w:hint="eastAsia"/>
        </w:rPr>
        <w:t>2020年政府性基金预算拨款支出0万元。</w:t>
      </w:r>
    </w:p>
    <w:p>
      <w:pPr>
        <w:pStyle w:val="5"/>
        <w:ind w:firstLine="643"/>
      </w:pPr>
      <w:bookmarkStart w:id="51" w:name="_Toc30071"/>
      <w:bookmarkStart w:id="52" w:name="_Toc15377219"/>
      <w:r>
        <w:rPr>
          <w:rFonts w:hint="eastAsia"/>
        </w:rPr>
        <w:t>九、国有资本经营预算支出决算情况说明</w:t>
      </w:r>
      <w:bookmarkEnd w:id="51"/>
      <w:bookmarkEnd w:id="52"/>
      <w:bookmarkStart w:id="78" w:name="_GoBack"/>
      <w:bookmarkEnd w:id="78"/>
    </w:p>
    <w:p>
      <w:pPr>
        <w:ind w:firstLine="640"/>
      </w:pPr>
      <w:r>
        <w:rPr>
          <w:rFonts w:hint="eastAsia"/>
        </w:rPr>
        <w:t>2020年国有资本经营预算拨款支出0万元。</w:t>
      </w:r>
    </w:p>
    <w:p>
      <w:pPr>
        <w:pStyle w:val="5"/>
        <w:ind w:firstLine="643"/>
      </w:pPr>
      <w:bookmarkStart w:id="53" w:name="_Toc16881"/>
      <w:bookmarkStart w:id="54" w:name="_Toc15377221"/>
      <w:r>
        <w:rPr>
          <w:rFonts w:hint="eastAsia"/>
        </w:rPr>
        <w:t>十、其他重要事项的情况说明</w:t>
      </w:r>
      <w:bookmarkEnd w:id="53"/>
      <w:bookmarkEnd w:id="54"/>
    </w:p>
    <w:p>
      <w:pPr>
        <w:pStyle w:val="6"/>
        <w:ind w:firstLine="643"/>
      </w:pPr>
      <w:bookmarkStart w:id="55" w:name="_Toc15377222"/>
      <w:r>
        <w:rPr>
          <w:rFonts w:hint="eastAsia"/>
        </w:rPr>
        <w:t>（一）机关运行经费支出情况</w:t>
      </w:r>
      <w:bookmarkEnd w:id="55"/>
    </w:p>
    <w:p>
      <w:pPr>
        <w:ind w:firstLine="640"/>
      </w:pPr>
      <w:r>
        <w:rPr>
          <w:rFonts w:hint="eastAsia"/>
        </w:rPr>
        <w:t>2020年，广安广播电视大学机关运行经费支出0万元，20</w:t>
      </w:r>
      <w:r>
        <w:rPr>
          <w:rFonts w:hint="eastAsia"/>
          <w:lang w:val="en-US" w:eastAsia="zh-CN"/>
        </w:rPr>
        <w:t>19</w:t>
      </w:r>
      <w:r>
        <w:rPr>
          <w:rFonts w:hint="eastAsia"/>
        </w:rPr>
        <w:t>年决算数无数据。单位2020年1月开始独立核算。</w:t>
      </w:r>
    </w:p>
    <w:p>
      <w:pPr>
        <w:pStyle w:val="6"/>
        <w:ind w:firstLine="643"/>
      </w:pPr>
      <w:bookmarkStart w:id="56" w:name="_Toc15377223"/>
      <w:r>
        <w:rPr>
          <w:rFonts w:hint="eastAsia"/>
        </w:rPr>
        <w:t>（二）政府采购支出情况</w:t>
      </w:r>
      <w:bookmarkEnd w:id="56"/>
    </w:p>
    <w:p>
      <w:pPr>
        <w:ind w:firstLine="640"/>
      </w:pPr>
      <w:r>
        <w:rPr>
          <w:rFonts w:hint="eastAsia"/>
        </w:rPr>
        <w:t>2020年，广安广播电视大学政府采购支出总额5.38万元，其中：政府采购货物支出5.38万元、政府采购工程支出0万元、政府采购服务支出0万元。主要用于政府采购货物支出方面。政府采购货物支出方面主要包括：广安广播电视大学办公设备采购5.38万元。授予中小企业合同金额5.38万元，占政府采购支出总额的100%，其中：授予小微企业合同金额5.38万元，占政府采购支出总额的100%。</w:t>
      </w:r>
    </w:p>
    <w:p>
      <w:pPr>
        <w:pStyle w:val="6"/>
        <w:ind w:firstLine="643"/>
      </w:pPr>
      <w:bookmarkStart w:id="57" w:name="_Toc15377224"/>
      <w:r>
        <w:rPr>
          <w:rFonts w:hint="eastAsia"/>
        </w:rPr>
        <w:t>（三）国有资产占有使用情况</w:t>
      </w:r>
      <w:bookmarkEnd w:id="57"/>
    </w:p>
    <w:p>
      <w:pPr>
        <w:ind w:firstLine="640"/>
      </w:pPr>
      <w:r>
        <w:rPr>
          <w:rFonts w:hint="eastAsia"/>
        </w:rPr>
        <w:t>截至2020年12月31日，学校无公务用车，学校无单价50万元以上通用设备，学校无单价100万元以上专用设备。</w:t>
      </w:r>
    </w:p>
    <w:p>
      <w:pPr>
        <w:pStyle w:val="6"/>
        <w:ind w:firstLine="643"/>
      </w:pPr>
      <w:r>
        <w:rPr>
          <w:rFonts w:hint="eastAsia"/>
        </w:rPr>
        <w:t>（四）预算绩效管理情况。</w:t>
      </w:r>
    </w:p>
    <w:p>
      <w:pPr>
        <w:ind w:firstLine="640"/>
      </w:pPr>
      <w:r>
        <w:rPr>
          <w:rFonts w:hint="eastAsia"/>
        </w:rPr>
        <w:t>本部门按要求对2020年部门整体支出开展绩效自评，从评价情况来看2020年，学校紧紧围绕年度目标任务，坚持“以学历教育为主，社区教育、老年教育、社会培训协同发展”的战略方向，积极推动向开放大学转型发展，充分发挥财政资金使用效率，确保各项计划和任务的顺利完成，使得学校的各项工作顺利有效开展。本单位2020年无专项预算项目，因此未组织开展项目支出绩效评价。</w:t>
      </w:r>
    </w:p>
    <w:p>
      <w:pPr>
        <w:spacing w:line="580" w:lineRule="exact"/>
        <w:ind w:left="630" w:firstLine="640"/>
        <w:rPr>
          <w:rFonts w:ascii="仿宋_GB2312" w:hAnsi="仿宋_GB2312" w:eastAsia="仿宋_GB2312" w:cs="仿宋_GB2312"/>
          <w:szCs w:val="32"/>
        </w:rPr>
      </w:pPr>
      <w:r>
        <w:rPr>
          <w:rFonts w:hint="eastAsia" w:ascii="楷体_GB2312" w:hAnsi="楷体_GB2312" w:eastAsia="楷体_GB2312" w:cs="楷体_GB2312"/>
          <w:szCs w:val="32"/>
        </w:rPr>
        <w:t>1.部门绩效评价结果。</w:t>
      </w:r>
    </w:p>
    <w:p>
      <w:pPr>
        <w:spacing w:line="58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本部门按要求对2020年部门整体支出绩效评价情况开展自评，《广安广播电视大学2020年部门整体支出绩效评价报告》见附件（附件1）。</w:t>
      </w:r>
    </w:p>
    <w:p>
      <w:pPr>
        <w:pStyle w:val="2"/>
        <w:spacing w:before="93"/>
        <w:ind w:left="640" w:firstLine="320"/>
        <w:rPr>
          <w:rFonts w:hAnsi="仿宋_GB2312" w:cs="仿宋_GB2312"/>
          <w:sz w:val="32"/>
          <w:szCs w:val="32"/>
        </w:rPr>
      </w:pPr>
    </w:p>
    <w:p>
      <w:pPr>
        <w:pStyle w:val="2"/>
        <w:spacing w:before="93"/>
        <w:ind w:left="640" w:firstLine="320"/>
        <w:rPr>
          <w:rFonts w:hAnsi="仿宋_GB2312" w:cs="仿宋_GB2312"/>
          <w:sz w:val="32"/>
          <w:szCs w:val="32"/>
        </w:rPr>
      </w:pPr>
    </w:p>
    <w:p>
      <w:pPr>
        <w:pStyle w:val="2"/>
        <w:spacing w:before="93"/>
        <w:ind w:left="640" w:firstLine="320"/>
        <w:rPr>
          <w:rFonts w:hAnsi="仿宋_GB2312" w:cs="仿宋_GB2312"/>
          <w:sz w:val="32"/>
          <w:szCs w:val="32"/>
        </w:rPr>
      </w:pPr>
    </w:p>
    <w:p>
      <w:pPr>
        <w:pStyle w:val="2"/>
        <w:spacing w:before="93"/>
        <w:ind w:left="640" w:firstLine="320"/>
        <w:rPr>
          <w:rFonts w:hAnsi="仿宋_GB2312" w:cs="仿宋_GB2312"/>
          <w:sz w:val="32"/>
          <w:szCs w:val="32"/>
        </w:rPr>
      </w:pPr>
    </w:p>
    <w:p>
      <w:pPr>
        <w:pStyle w:val="2"/>
        <w:spacing w:before="93"/>
        <w:ind w:left="640" w:firstLine="320"/>
        <w:rPr>
          <w:rFonts w:hAnsi="仿宋_GB2312" w:cs="仿宋_GB2312"/>
          <w:sz w:val="32"/>
          <w:szCs w:val="32"/>
        </w:rPr>
      </w:pPr>
    </w:p>
    <w:p>
      <w:pPr>
        <w:pStyle w:val="2"/>
        <w:spacing w:before="93"/>
        <w:ind w:left="640" w:firstLine="320"/>
        <w:rPr>
          <w:rFonts w:hAnsi="仿宋_GB2312" w:cs="仿宋_GB2312"/>
          <w:sz w:val="32"/>
          <w:szCs w:val="32"/>
        </w:rPr>
      </w:pPr>
    </w:p>
    <w:p>
      <w:pPr>
        <w:pStyle w:val="2"/>
        <w:spacing w:before="93"/>
        <w:ind w:left="640" w:firstLine="320"/>
        <w:rPr>
          <w:rFonts w:hAnsi="仿宋_GB2312" w:cs="仿宋_GB2312"/>
          <w:sz w:val="32"/>
          <w:szCs w:val="32"/>
        </w:rPr>
      </w:pPr>
    </w:p>
    <w:p>
      <w:pPr>
        <w:pStyle w:val="2"/>
        <w:spacing w:before="93"/>
        <w:ind w:left="640" w:firstLine="320"/>
        <w:rPr>
          <w:rFonts w:hAnsi="仿宋_GB2312" w:cs="仿宋_GB2312"/>
          <w:sz w:val="32"/>
          <w:szCs w:val="32"/>
        </w:rPr>
      </w:pPr>
    </w:p>
    <w:p>
      <w:pPr>
        <w:pStyle w:val="2"/>
        <w:spacing w:before="93"/>
        <w:ind w:left="640" w:firstLine="320"/>
        <w:rPr>
          <w:rFonts w:hAnsi="仿宋_GB2312" w:cs="仿宋_GB2312"/>
          <w:sz w:val="32"/>
          <w:szCs w:val="32"/>
        </w:rPr>
      </w:pPr>
    </w:p>
    <w:p>
      <w:pPr>
        <w:pStyle w:val="2"/>
        <w:spacing w:before="93"/>
        <w:ind w:left="640" w:firstLine="320"/>
        <w:rPr>
          <w:rFonts w:hAnsi="仿宋_GB2312" w:cs="仿宋_GB2312"/>
          <w:sz w:val="32"/>
          <w:szCs w:val="32"/>
        </w:rPr>
      </w:pPr>
    </w:p>
    <w:p>
      <w:pPr>
        <w:pStyle w:val="2"/>
        <w:spacing w:before="93"/>
        <w:ind w:left="640" w:firstLine="320"/>
        <w:rPr>
          <w:rFonts w:hAnsi="仿宋_GB2312" w:cs="仿宋_GB2312"/>
          <w:sz w:val="32"/>
          <w:szCs w:val="32"/>
        </w:rPr>
      </w:pPr>
    </w:p>
    <w:p>
      <w:pPr>
        <w:pStyle w:val="2"/>
        <w:spacing w:before="93"/>
        <w:ind w:left="640" w:firstLine="320"/>
        <w:rPr>
          <w:rFonts w:hAnsi="仿宋_GB2312" w:cs="仿宋_GB2312"/>
          <w:sz w:val="32"/>
          <w:szCs w:val="32"/>
        </w:rPr>
      </w:pPr>
    </w:p>
    <w:p>
      <w:pPr>
        <w:pStyle w:val="2"/>
        <w:spacing w:before="93"/>
        <w:ind w:left="640" w:firstLine="320"/>
        <w:rPr>
          <w:rFonts w:hAnsi="仿宋_GB2312" w:cs="仿宋_GB2312"/>
          <w:sz w:val="32"/>
          <w:szCs w:val="32"/>
        </w:rPr>
      </w:pPr>
    </w:p>
    <w:p>
      <w:pPr>
        <w:pStyle w:val="2"/>
        <w:spacing w:before="93"/>
        <w:ind w:left="640" w:firstLine="320"/>
        <w:rPr>
          <w:rFonts w:hAnsi="仿宋_GB2312" w:cs="仿宋_GB2312"/>
          <w:sz w:val="32"/>
          <w:szCs w:val="32"/>
        </w:rPr>
      </w:pPr>
    </w:p>
    <w:p>
      <w:pPr>
        <w:pStyle w:val="2"/>
        <w:spacing w:before="93"/>
        <w:ind w:left="640" w:firstLine="320"/>
        <w:rPr>
          <w:rFonts w:hAnsi="仿宋_GB2312" w:cs="仿宋_GB2312"/>
          <w:sz w:val="32"/>
          <w:szCs w:val="32"/>
        </w:rPr>
      </w:pPr>
    </w:p>
    <w:p>
      <w:pPr>
        <w:pStyle w:val="2"/>
        <w:spacing w:before="93"/>
        <w:ind w:left="640" w:firstLine="320"/>
        <w:rPr>
          <w:rFonts w:hAnsi="仿宋_GB2312" w:cs="仿宋_GB2312"/>
          <w:sz w:val="32"/>
          <w:szCs w:val="32"/>
        </w:rPr>
      </w:pPr>
    </w:p>
    <w:p>
      <w:pPr>
        <w:pStyle w:val="2"/>
        <w:spacing w:before="93"/>
        <w:ind w:left="640" w:firstLine="320"/>
        <w:rPr>
          <w:rFonts w:hAnsi="仿宋_GB2312" w:cs="仿宋_GB2312"/>
          <w:sz w:val="32"/>
          <w:szCs w:val="32"/>
        </w:rPr>
      </w:pPr>
    </w:p>
    <w:p>
      <w:pPr>
        <w:widowControl/>
        <w:ind w:firstLine="643"/>
        <w:jc w:val="left"/>
        <w:rPr>
          <w:rFonts w:ascii="仿宋_GB2312" w:eastAsia="仿宋_GB2312"/>
          <w:b/>
          <w:szCs w:val="32"/>
        </w:rPr>
      </w:pPr>
    </w:p>
    <w:p>
      <w:pPr>
        <w:numPr>
          <w:ilvl w:val="0"/>
          <w:numId w:val="1"/>
        </w:numPr>
        <w:spacing w:line="600" w:lineRule="exact"/>
        <w:ind w:firstLine="663" w:firstLineChars="150"/>
        <w:jc w:val="center"/>
        <w:outlineLvl w:val="0"/>
        <w:rPr>
          <w:rStyle w:val="29"/>
          <w:rFonts w:ascii="黑体" w:hAnsi="黑体"/>
          <w:b w:val="0"/>
        </w:rPr>
      </w:pPr>
      <w:bookmarkStart w:id="58" w:name="_Toc15377225"/>
      <w:bookmarkStart w:id="59" w:name="_Toc8839"/>
      <w:r>
        <w:rPr>
          <w:rFonts w:hint="eastAsia" w:ascii="黑体" w:hAnsi="黑体" w:eastAsia="黑体"/>
          <w:b/>
          <w:sz w:val="44"/>
          <w:szCs w:val="44"/>
        </w:rPr>
        <w:t>名</w:t>
      </w:r>
      <w:r>
        <w:rPr>
          <w:rStyle w:val="29"/>
          <w:rFonts w:hint="eastAsia" w:ascii="黑体" w:hAnsi="黑体"/>
          <w:b w:val="0"/>
        </w:rPr>
        <w:t>词解释</w:t>
      </w:r>
      <w:bookmarkEnd w:id="58"/>
      <w:bookmarkEnd w:id="59"/>
    </w:p>
    <w:p>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60"/>
        <w:rPr>
          <w:rFonts w:ascii="仿宋_GB2312" w:eastAsia="仿宋_GB2312"/>
          <w:color w:val="000000"/>
          <w:szCs w:val="32"/>
        </w:rPr>
      </w:pPr>
      <w:r>
        <w:rPr>
          <w:rFonts w:hint="eastAsia" w:eastAsia="方正仿宋_GBK"/>
          <w:sz w:val="33"/>
          <w:szCs w:val="33"/>
        </w:rPr>
        <w:t>9.</w:t>
      </w:r>
      <w:r>
        <w:rPr>
          <w:rFonts w:hint="eastAsia" w:ascii="仿宋_GB2312" w:eastAsia="仿宋_GB2312"/>
          <w:color w:val="000000"/>
          <w:szCs w:val="32"/>
        </w:rPr>
        <w:t>教育支出（类）广播电视教育（款）广播电视学校（项）2050501：指反映各部门举办广播电视学校支出。</w:t>
      </w:r>
    </w:p>
    <w:p>
      <w:pPr>
        <w:ind w:firstLine="660"/>
        <w:rPr>
          <w:rFonts w:eastAsia="方正仿宋_GBK"/>
          <w:sz w:val="33"/>
          <w:szCs w:val="33"/>
        </w:rPr>
      </w:pPr>
      <w:r>
        <w:rPr>
          <w:rFonts w:hint="eastAsia" w:eastAsia="方正仿宋_GBK"/>
          <w:sz w:val="33"/>
          <w:szCs w:val="33"/>
        </w:rPr>
        <w:t>10.</w:t>
      </w:r>
      <w:r>
        <w:rPr>
          <w:rFonts w:hint="eastAsia" w:ascii="仿宋_GB2312" w:eastAsia="仿宋_GB2312"/>
          <w:color w:val="000000"/>
          <w:szCs w:val="32"/>
        </w:rPr>
        <w:t>社会保障和就业支出（类）行政事业单位养老支出（款）机关事业单位基本养老保险缴费支出（项）2080505：指反映机关事业单位实施养老保险制度由单位缴纳的基本养老保险支出。</w:t>
      </w:r>
    </w:p>
    <w:p>
      <w:pPr>
        <w:ind w:firstLine="660"/>
        <w:rPr>
          <w:rFonts w:eastAsia="仿宋_GB2312"/>
          <w:sz w:val="33"/>
          <w:szCs w:val="33"/>
        </w:rPr>
      </w:pPr>
      <w:r>
        <w:rPr>
          <w:rFonts w:hint="eastAsia" w:eastAsia="方正仿宋_GBK"/>
          <w:sz w:val="33"/>
          <w:szCs w:val="33"/>
        </w:rPr>
        <w:t>11.</w:t>
      </w:r>
      <w:r>
        <w:rPr>
          <w:rFonts w:hint="eastAsia" w:ascii="仿宋_GB2312" w:eastAsia="仿宋_GB2312"/>
          <w:color w:val="000000"/>
          <w:szCs w:val="32"/>
        </w:rPr>
        <w:t>卫生健康支出（类）行政事业单位医疗（款）事业单位医疗（项）2101102：指反映财政部门安排的事业单位基本医疗保险缴费经费,未参加医疗保险的事业单位的公费医疗经费,按国家规定享受离休人员待遇的医疗经费。</w:t>
      </w:r>
    </w:p>
    <w:p>
      <w:pPr>
        <w:ind w:firstLine="640"/>
        <w:rPr>
          <w:rFonts w:ascii="仿宋_GB2312" w:eastAsia="仿宋_GB2312"/>
          <w:color w:val="000000"/>
          <w:szCs w:val="32"/>
        </w:rPr>
      </w:pPr>
      <w:r>
        <w:rPr>
          <w:rFonts w:hint="eastAsia" w:ascii="仿宋_GB2312" w:eastAsia="仿宋_GB2312"/>
          <w:color w:val="000000"/>
          <w:szCs w:val="32"/>
        </w:rPr>
        <w:t>12</w:t>
      </w:r>
      <w:r>
        <w:rPr>
          <w:rFonts w:ascii="仿宋_GB2312" w:eastAsia="仿宋_GB2312"/>
          <w:color w:val="000000"/>
          <w:szCs w:val="32"/>
        </w:rPr>
        <w:t>.</w:t>
      </w:r>
      <w:r>
        <w:rPr>
          <w:rFonts w:hint="eastAsia" w:ascii="仿宋_GB2312" w:eastAsia="仿宋_GB2312"/>
          <w:color w:val="000000"/>
          <w:szCs w:val="32"/>
        </w:rPr>
        <w:t>基本支出：指为保障机构正常运转、完成日常工作任务而发生的人员支出和公用支出。</w:t>
      </w:r>
    </w:p>
    <w:p>
      <w:pPr>
        <w:ind w:firstLine="640"/>
        <w:rPr>
          <w:rFonts w:ascii="仿宋_GB2312" w:eastAsia="仿宋_GB2312"/>
          <w:color w:val="000000"/>
          <w:szCs w:val="32"/>
        </w:rPr>
      </w:pPr>
      <w:r>
        <w:rPr>
          <w:rFonts w:hint="eastAsia" w:ascii="仿宋_GB2312" w:eastAsia="仿宋_GB2312"/>
          <w:color w:val="000000"/>
          <w:szCs w:val="32"/>
        </w:rPr>
        <w:t>13</w:t>
      </w:r>
      <w:r>
        <w:rPr>
          <w:rFonts w:ascii="仿宋_GB2312" w:eastAsia="仿宋_GB2312"/>
          <w:color w:val="000000"/>
          <w:szCs w:val="32"/>
        </w:rPr>
        <w:t>.</w:t>
      </w:r>
      <w:r>
        <w:rPr>
          <w:rFonts w:hint="eastAsia" w:ascii="仿宋_GB2312" w:eastAsia="仿宋_GB2312"/>
          <w:color w:val="000000"/>
          <w:szCs w:val="32"/>
        </w:rPr>
        <w:t>项目支出：指在基本支出之外为完成特定行政任务和事业发展目标所发生的支出。</w:t>
      </w:r>
      <w:r>
        <w:rPr>
          <w:rFonts w:ascii="仿宋_GB2312" w:eastAsia="仿宋_GB2312"/>
          <w:color w:val="000000"/>
          <w:szCs w:val="32"/>
        </w:rPr>
        <w:t xml:space="preserve"> </w:t>
      </w:r>
    </w:p>
    <w:p>
      <w:pPr>
        <w:ind w:firstLine="640"/>
        <w:rPr>
          <w:rFonts w:ascii="仿宋_GB2312" w:eastAsia="仿宋_GB2312"/>
          <w:color w:val="000000"/>
          <w:szCs w:val="32"/>
        </w:rPr>
      </w:pPr>
      <w:r>
        <w:rPr>
          <w:rFonts w:hint="eastAsia" w:ascii="仿宋_GB2312" w:eastAsia="仿宋_GB2312"/>
          <w:color w:val="000000"/>
          <w:szCs w:val="32"/>
        </w:rPr>
        <w:t>14</w:t>
      </w:r>
      <w:r>
        <w:rPr>
          <w:rFonts w:ascii="仿宋_GB2312" w:eastAsia="仿宋_GB2312"/>
          <w:color w:val="000000"/>
          <w:szCs w:val="32"/>
        </w:rPr>
        <w:t>.</w:t>
      </w:r>
      <w:r>
        <w:rPr>
          <w:rFonts w:hint="eastAsia" w:ascii="仿宋_GB2312" w:eastAsia="仿宋_GB2312"/>
          <w:color w:val="000000"/>
          <w:szCs w:val="32"/>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880"/>
        <w:jc w:val="center"/>
        <w:outlineLvl w:val="0"/>
        <w:rPr>
          <w:rStyle w:val="29"/>
          <w:rFonts w:ascii="黑体" w:hAnsi="黑体"/>
          <w:b w:val="0"/>
        </w:rPr>
      </w:pPr>
      <w:bookmarkStart w:id="60" w:name="_Toc6052"/>
      <w:bookmarkStart w:id="61" w:name="_Toc15377226"/>
      <w:r>
        <w:rPr>
          <w:rFonts w:hint="eastAsia" w:ascii="黑体" w:hAnsi="黑体" w:eastAsia="黑体"/>
          <w:color w:val="000000"/>
          <w:sz w:val="44"/>
          <w:szCs w:val="44"/>
        </w:rPr>
        <w:t>第</w:t>
      </w:r>
      <w:r>
        <w:rPr>
          <w:rStyle w:val="29"/>
          <w:rFonts w:hint="eastAsia" w:ascii="黑体" w:hAnsi="黑体"/>
          <w:b w:val="0"/>
        </w:rPr>
        <w:t>四部分 附件</w:t>
      </w:r>
      <w:bookmarkEnd w:id="60"/>
    </w:p>
    <w:p>
      <w:pPr>
        <w:spacing w:line="600" w:lineRule="exact"/>
        <w:ind w:firstLine="640"/>
        <w:jc w:val="left"/>
        <w:outlineLvl w:val="1"/>
        <w:rPr>
          <w:rFonts w:ascii="方正小标宋简体" w:hAnsi="方正小标宋简体" w:eastAsia="方正小标宋简体" w:cs="方正小标宋简体"/>
          <w:szCs w:val="32"/>
        </w:rPr>
      </w:pPr>
      <w:bookmarkStart w:id="62" w:name="_Toc30943"/>
      <w:r>
        <w:rPr>
          <w:rFonts w:hint="eastAsia" w:ascii="黑体" w:hAnsi="黑体" w:eastAsia="黑体" w:cs="黑体"/>
          <w:szCs w:val="32"/>
        </w:rPr>
        <w:t>附件1</w:t>
      </w:r>
      <w:bookmarkEnd w:id="62"/>
    </w:p>
    <w:p>
      <w:pPr>
        <w:spacing w:line="580" w:lineRule="exact"/>
        <w:ind w:firstLine="880"/>
        <w:jc w:val="center"/>
        <w:rPr>
          <w:rFonts w:ascii="方正小标宋简体" w:hAnsi="方正小标宋简体" w:eastAsia="方正小标宋简体" w:cs="方正小标宋简体"/>
          <w:sz w:val="44"/>
          <w:szCs w:val="44"/>
        </w:rPr>
      </w:pPr>
    </w:p>
    <w:p>
      <w:pPr>
        <w:spacing w:line="600" w:lineRule="exact"/>
        <w:ind w:firstLine="800"/>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广安广播电视大学</w:t>
      </w:r>
    </w:p>
    <w:p>
      <w:pPr>
        <w:spacing w:line="600" w:lineRule="exact"/>
        <w:ind w:firstLine="800"/>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contextualSpacing/>
        <w:jc w:val="left"/>
        <w:rPr>
          <w:rFonts w:ascii="黑体" w:hAnsi="宋体" w:eastAsia="黑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Cs w:val="32"/>
          <w:shd w:val="clear" w:color="auto" w:fill="FFFFFF"/>
          <w:lang w:val="zh-CN"/>
        </w:rPr>
        <w:t>部门（单位）概况</w:t>
      </w:r>
    </w:p>
    <w:p>
      <w:pPr>
        <w:pStyle w:val="6"/>
        <w:ind w:firstLine="643"/>
        <w:rPr>
          <w:lang w:val="zh-CN"/>
        </w:rPr>
      </w:pPr>
      <w:r>
        <w:rPr>
          <w:rFonts w:hint="eastAsia"/>
          <w:lang w:val="zh-CN"/>
        </w:rPr>
        <w:t>（一）机构组成。</w:t>
      </w:r>
    </w:p>
    <w:p>
      <w:pPr>
        <w:pStyle w:val="2"/>
        <w:spacing w:before="93"/>
        <w:ind w:left="640" w:firstLine="320"/>
        <w:rPr>
          <w:lang w:val="zh-CN"/>
        </w:rPr>
      </w:pPr>
      <w:r>
        <w:rPr>
          <w:rFonts w:hint="eastAsia" w:hAnsi="仿宋_GB2312" w:cs="仿宋_GB2312"/>
          <w:color w:val="000000"/>
          <w:kern w:val="2"/>
          <w:sz w:val="32"/>
          <w:szCs w:val="32"/>
        </w:rPr>
        <w:t>广安广播电视大学属于事业单位，内设处室4个，分别为综合办公室、教务教学处、招生处、培训处。</w:t>
      </w:r>
    </w:p>
    <w:p>
      <w:pPr>
        <w:pStyle w:val="6"/>
        <w:numPr>
          <w:ilvl w:val="0"/>
          <w:numId w:val="2"/>
        </w:numPr>
        <w:ind w:firstLine="643"/>
        <w:rPr>
          <w:lang w:val="zh-CN"/>
        </w:rPr>
      </w:pPr>
      <w:r>
        <w:rPr>
          <w:rFonts w:hint="eastAsia"/>
          <w:lang w:val="zh-CN"/>
        </w:rPr>
        <w:t>机构职能。</w:t>
      </w:r>
    </w:p>
    <w:p>
      <w:pPr>
        <w:widowControl/>
        <w:adjustRightInd w:val="0"/>
        <w:snapToGrid w:val="0"/>
        <w:spacing w:line="580" w:lineRule="exact"/>
        <w:ind w:firstLine="640"/>
        <w:contextualSpacing/>
        <w:jc w:val="left"/>
        <w:rPr>
          <w:rFonts w:ascii="仿宋_GB2312" w:hAnsi="宋体" w:eastAsia="仿宋_GB2312" w:cs="宋体"/>
          <w:color w:val="000000"/>
          <w:kern w:val="0"/>
          <w:szCs w:val="32"/>
          <w:shd w:val="clear" w:color="auto" w:fill="FFFFFF"/>
        </w:rPr>
      </w:pPr>
      <w:r>
        <w:rPr>
          <w:rFonts w:hint="eastAsia" w:ascii="仿宋_GB2312" w:hAnsi="宋体" w:eastAsia="仿宋_GB2312" w:cs="宋体"/>
          <w:color w:val="000000"/>
          <w:kern w:val="0"/>
          <w:szCs w:val="32"/>
          <w:shd w:val="clear" w:color="auto" w:fill="FFFFFF"/>
        </w:rPr>
        <w:t>广安广播电视大学是一所由广安市人民政府主办、市教育和体育局管理的成人高等教育学校，业务上接受国家开放大学（原中央广播电视大学）和四川广播电视大学指导。主要职责及工作是：以现代信息技术为支撑，以远程开放教育为主要形式，坚持“以学历教育为主，社区教育、老年教育、社会培训协同发展”的战略方向，积极推动向开放大学转型发展，为广安构建终身教育体系和建设学习型社会不断贡献新的力量。</w:t>
      </w:r>
    </w:p>
    <w:p>
      <w:pPr>
        <w:pStyle w:val="6"/>
        <w:ind w:firstLine="643"/>
        <w:rPr>
          <w:lang w:val="zh-CN"/>
        </w:rPr>
      </w:pPr>
      <w:r>
        <w:rPr>
          <w:rFonts w:hint="eastAsia"/>
          <w:lang w:val="zh-CN"/>
        </w:rPr>
        <w:t>（三）人员概况。</w:t>
      </w:r>
    </w:p>
    <w:p>
      <w:pPr>
        <w:pStyle w:val="2"/>
        <w:spacing w:before="93"/>
        <w:ind w:left="640" w:firstLine="320"/>
        <w:rPr>
          <w:lang w:val="zh-CN"/>
        </w:rPr>
      </w:pPr>
      <w:r>
        <w:rPr>
          <w:rFonts w:hint="eastAsia" w:hAnsi="仿宋_GB2312" w:cs="仿宋_GB2312"/>
          <w:color w:val="000000"/>
          <w:kern w:val="2"/>
          <w:sz w:val="32"/>
          <w:szCs w:val="32"/>
        </w:rPr>
        <w:t>截至2020年12月31日，广安广播电视大学在职在编实有人员16人（其中1人于2020年10月调入我校），离退休人员9人。</w:t>
      </w:r>
    </w:p>
    <w:p>
      <w:pPr>
        <w:widowControl/>
        <w:adjustRightInd w:val="0"/>
        <w:snapToGrid w:val="0"/>
        <w:spacing w:line="580" w:lineRule="exact"/>
        <w:ind w:firstLine="64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pPr>
        <w:pStyle w:val="6"/>
        <w:ind w:firstLine="643"/>
        <w:rPr>
          <w:lang w:val="zh-CN"/>
        </w:rPr>
      </w:pPr>
      <w:r>
        <w:rPr>
          <w:rFonts w:hint="eastAsia"/>
          <w:lang w:val="zh-CN"/>
        </w:rPr>
        <w:t>（一）部门财政资金收入情况。</w:t>
      </w:r>
    </w:p>
    <w:p>
      <w:pPr>
        <w:ind w:firstLine="640"/>
        <w:rPr>
          <w:rFonts w:ascii="仿宋_GB2312" w:hAnsi="仿宋_GB2312" w:eastAsia="仿宋_GB2312" w:cs="仿宋_GB2312"/>
          <w:color w:val="000000"/>
          <w:szCs w:val="32"/>
        </w:rPr>
      </w:pPr>
      <w:r>
        <w:rPr>
          <w:rFonts w:ascii="仿宋_GB2312" w:hAnsi="仿宋_GB2312" w:eastAsia="仿宋_GB2312" w:cs="仿宋_GB2312"/>
          <w:color w:val="000000"/>
          <w:szCs w:val="32"/>
        </w:rPr>
        <w:t>20</w:t>
      </w:r>
      <w:r>
        <w:rPr>
          <w:rFonts w:hint="eastAsia" w:ascii="仿宋_GB2312" w:hAnsi="仿宋_GB2312" w:eastAsia="仿宋_GB2312" w:cs="仿宋_GB2312"/>
          <w:color w:val="000000"/>
          <w:szCs w:val="32"/>
        </w:rPr>
        <w:t>20年本年收入合计409.03万元，其中：一般公共预算财政拨款收入228.49万元，占55.86</w:t>
      </w:r>
      <w:r>
        <w:rPr>
          <w:rFonts w:ascii="仿宋_GB2312" w:hAnsi="仿宋_GB2312" w:eastAsia="仿宋_GB2312" w:cs="仿宋_GB2312"/>
          <w:color w:val="000000"/>
          <w:szCs w:val="32"/>
        </w:rPr>
        <w:t>%</w:t>
      </w:r>
      <w:r>
        <w:rPr>
          <w:rFonts w:hint="eastAsia" w:ascii="仿宋_GB2312" w:hAnsi="仿宋_GB2312" w:eastAsia="仿宋_GB2312" w:cs="仿宋_GB2312"/>
          <w:color w:val="000000"/>
          <w:szCs w:val="32"/>
        </w:rPr>
        <w:t>；事业收入180.54万元，占44.14</w:t>
      </w:r>
      <w:r>
        <w:rPr>
          <w:rFonts w:ascii="仿宋_GB2312" w:hAnsi="仿宋_GB2312" w:eastAsia="仿宋_GB2312" w:cs="仿宋_GB2312"/>
          <w:color w:val="000000"/>
          <w:szCs w:val="32"/>
        </w:rPr>
        <w:t>%</w:t>
      </w:r>
      <w:r>
        <w:rPr>
          <w:rFonts w:hint="eastAsia" w:ascii="仿宋_GB2312" w:hAnsi="仿宋_GB2312" w:eastAsia="仿宋_GB2312" w:cs="仿宋_GB2312"/>
          <w:color w:val="000000"/>
          <w:szCs w:val="32"/>
        </w:rPr>
        <w:t>。</w:t>
      </w:r>
    </w:p>
    <w:p>
      <w:pPr>
        <w:pStyle w:val="6"/>
        <w:numPr>
          <w:ilvl w:val="0"/>
          <w:numId w:val="2"/>
        </w:numPr>
        <w:ind w:firstLine="643"/>
        <w:rPr>
          <w:lang w:val="zh-CN"/>
        </w:rPr>
      </w:pPr>
      <w:r>
        <w:rPr>
          <w:rFonts w:hint="eastAsia"/>
          <w:lang w:val="zh-CN"/>
        </w:rPr>
        <w:t>部门财政资金支出情况。</w:t>
      </w:r>
    </w:p>
    <w:p>
      <w:pPr>
        <w:ind w:firstLine="640"/>
        <w:rPr>
          <w:rFonts w:ascii="仿宋_GB2312" w:hAnsi="仿宋_GB2312" w:eastAsia="仿宋_GB2312" w:cs="仿宋_GB2312"/>
          <w:color w:val="000000"/>
          <w:szCs w:val="32"/>
          <w:lang w:val="zh-CN"/>
        </w:rPr>
      </w:pPr>
      <w:r>
        <w:rPr>
          <w:rFonts w:ascii="仿宋_GB2312" w:hAnsi="仿宋_GB2312" w:eastAsia="仿宋_GB2312" w:cs="仿宋_GB2312"/>
          <w:color w:val="000000"/>
          <w:szCs w:val="32"/>
        </w:rPr>
        <w:t>20</w:t>
      </w:r>
      <w:r>
        <w:rPr>
          <w:rFonts w:hint="eastAsia" w:ascii="仿宋_GB2312" w:hAnsi="仿宋_GB2312" w:eastAsia="仿宋_GB2312" w:cs="仿宋_GB2312"/>
          <w:color w:val="000000"/>
          <w:szCs w:val="32"/>
        </w:rPr>
        <w:t>20年本年支出合计409.03万元，其中：基本支出384万元，占93.88</w:t>
      </w:r>
      <w:r>
        <w:rPr>
          <w:rFonts w:ascii="仿宋_GB2312" w:hAnsi="仿宋_GB2312" w:eastAsia="仿宋_GB2312" w:cs="仿宋_GB2312"/>
          <w:color w:val="000000"/>
          <w:szCs w:val="32"/>
        </w:rPr>
        <w:t>%</w:t>
      </w:r>
      <w:r>
        <w:rPr>
          <w:rFonts w:hint="eastAsia" w:ascii="仿宋_GB2312" w:hAnsi="仿宋_GB2312" w:eastAsia="仿宋_GB2312" w:cs="仿宋_GB2312"/>
          <w:color w:val="000000"/>
          <w:szCs w:val="32"/>
        </w:rPr>
        <w:t>；项目支出25.03万元，占6.12</w:t>
      </w:r>
      <w:r>
        <w:rPr>
          <w:rFonts w:ascii="仿宋_GB2312" w:hAnsi="仿宋_GB2312" w:eastAsia="仿宋_GB2312" w:cs="仿宋_GB2312"/>
          <w:color w:val="000000"/>
          <w:szCs w:val="32"/>
        </w:rPr>
        <w:t>%</w:t>
      </w:r>
      <w:r>
        <w:rPr>
          <w:rFonts w:hint="eastAsia" w:ascii="仿宋_GB2312" w:hAnsi="仿宋_GB2312" w:eastAsia="仿宋_GB2312" w:cs="仿宋_GB2312"/>
          <w:color w:val="000000"/>
          <w:szCs w:val="32"/>
        </w:rPr>
        <w:t>。</w:t>
      </w:r>
    </w:p>
    <w:p>
      <w:pPr>
        <w:widowControl/>
        <w:adjustRightInd w:val="0"/>
        <w:snapToGrid w:val="0"/>
        <w:spacing w:line="580" w:lineRule="exact"/>
        <w:ind w:firstLine="64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三、部门整体预算绩效管理情况</w:t>
      </w:r>
    </w:p>
    <w:p>
      <w:pPr>
        <w:pStyle w:val="6"/>
        <w:ind w:firstLine="643"/>
        <w:rPr>
          <w:lang w:val="zh-CN"/>
        </w:rPr>
      </w:pPr>
      <w:r>
        <w:rPr>
          <w:rFonts w:hint="eastAsia"/>
          <w:lang w:val="zh-CN"/>
        </w:rPr>
        <w:t>（一）部门预算管理。</w:t>
      </w:r>
    </w:p>
    <w:p>
      <w:pPr>
        <w:ind w:firstLine="640"/>
        <w:rPr>
          <w:rFonts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学校的绩效目标制定、目标完成、预决算编制等均按照财政局下达的相关文件指标进行了编制，准确性较高。按相关要求严格执行预算范围内开支，并完成所有预定目标。整体支出预算完成率</w:t>
      </w:r>
      <w:r>
        <w:rPr>
          <w:rFonts w:hint="eastAsia" w:ascii="仿宋_GB2312" w:hAnsi="仿宋_GB2312" w:eastAsia="仿宋_GB2312" w:cs="仿宋_GB2312"/>
          <w:color w:val="000000"/>
          <w:szCs w:val="32"/>
        </w:rPr>
        <w:t>99.2</w:t>
      </w:r>
      <w:r>
        <w:rPr>
          <w:rFonts w:hint="eastAsia" w:ascii="仿宋_GB2312" w:hAnsi="仿宋_GB2312" w:eastAsia="仿宋_GB2312" w:cs="仿宋_GB2312"/>
          <w:color w:val="000000"/>
          <w:szCs w:val="32"/>
          <w:lang w:val="zh-CN"/>
        </w:rPr>
        <w:t>%。并按照支出时序进度加以控制，不断健全完善财务制度，规范会计核算，根据年中实际情况进行预算动态调整，预算完成情况较好，全年无违规记录。</w:t>
      </w:r>
    </w:p>
    <w:p>
      <w:pPr>
        <w:pStyle w:val="6"/>
        <w:ind w:firstLine="643"/>
        <w:rPr>
          <w:lang w:val="zh-CN"/>
        </w:rPr>
      </w:pPr>
      <w:r>
        <w:rPr>
          <w:rFonts w:hint="eastAsia"/>
          <w:lang w:val="zh-CN"/>
        </w:rPr>
        <w:t>（二）结果应用情况。</w:t>
      </w:r>
    </w:p>
    <w:p>
      <w:pPr>
        <w:ind w:firstLine="640"/>
        <w:rPr>
          <w:rFonts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学校严格按照预、决算公开要求，在规定时限内在市政府门户网站进行公开。针对绩效管理过程中，提出的问题认真进行分析研究，及时制定了相应的整改措施，将绩效管理结果应用于完善政策、改进管理。</w:t>
      </w:r>
    </w:p>
    <w:p>
      <w:pPr>
        <w:widowControl/>
        <w:adjustRightInd w:val="0"/>
        <w:snapToGrid w:val="0"/>
        <w:spacing w:line="580" w:lineRule="exact"/>
        <w:ind w:firstLine="64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四、评价结论及建议</w:t>
      </w:r>
    </w:p>
    <w:p>
      <w:pPr>
        <w:pStyle w:val="6"/>
        <w:ind w:firstLine="643"/>
        <w:rPr>
          <w:lang w:val="zh-CN"/>
        </w:rPr>
      </w:pPr>
      <w:r>
        <w:rPr>
          <w:rFonts w:hint="eastAsia"/>
          <w:lang w:val="zh-CN"/>
        </w:rPr>
        <w:t>（一）评价结论。</w:t>
      </w:r>
    </w:p>
    <w:p>
      <w:pPr>
        <w:widowControl/>
        <w:adjustRightInd w:val="0"/>
        <w:snapToGrid w:val="0"/>
        <w:spacing w:line="580" w:lineRule="exact"/>
        <w:ind w:firstLine="64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20</w:t>
      </w:r>
      <w:r>
        <w:rPr>
          <w:rFonts w:hint="eastAsia" w:ascii="仿宋_GB2312" w:hAnsi="宋体" w:eastAsia="仿宋_GB2312" w:cs="宋体"/>
          <w:color w:val="000000"/>
          <w:kern w:val="0"/>
          <w:szCs w:val="32"/>
          <w:shd w:val="clear" w:color="auto" w:fill="FFFFFF"/>
        </w:rPr>
        <w:t>20</w:t>
      </w:r>
      <w:r>
        <w:rPr>
          <w:rFonts w:hint="eastAsia" w:ascii="仿宋_GB2312" w:hAnsi="宋体" w:eastAsia="仿宋_GB2312" w:cs="宋体"/>
          <w:color w:val="000000"/>
          <w:kern w:val="0"/>
          <w:szCs w:val="32"/>
          <w:shd w:val="clear" w:color="auto" w:fill="FFFFFF"/>
          <w:lang w:val="zh-CN"/>
        </w:rPr>
        <w:t>年，学校紧紧围绕年度目标任务，</w:t>
      </w:r>
      <w:r>
        <w:rPr>
          <w:rFonts w:hint="eastAsia" w:ascii="仿宋_GB2312" w:hAnsi="宋体" w:eastAsia="仿宋_GB2312" w:cs="宋体"/>
          <w:color w:val="000000"/>
          <w:kern w:val="0"/>
          <w:szCs w:val="32"/>
          <w:shd w:val="clear" w:color="auto" w:fill="FFFFFF"/>
        </w:rPr>
        <w:t>坚持“以学历教育为主，社区教育、老年教育、社会培训协同发展”的战略方向，积极推动向开放大学转型发展</w:t>
      </w:r>
      <w:r>
        <w:rPr>
          <w:rFonts w:hint="eastAsia" w:ascii="仿宋_GB2312" w:hAnsi="宋体" w:eastAsia="仿宋_GB2312" w:cs="宋体"/>
          <w:color w:val="000000"/>
          <w:kern w:val="0"/>
          <w:szCs w:val="32"/>
          <w:shd w:val="clear" w:color="auto" w:fill="FFFFFF"/>
          <w:lang w:val="zh-CN"/>
        </w:rPr>
        <w:t>，充分发挥财政资金使用效率，确保各项计划和任务的顺利完成，使得学校的各项工作顺利有效开展。</w:t>
      </w:r>
    </w:p>
    <w:p>
      <w:pPr>
        <w:pStyle w:val="6"/>
        <w:numPr>
          <w:ilvl w:val="0"/>
          <w:numId w:val="3"/>
        </w:numPr>
        <w:ind w:firstLine="643"/>
        <w:rPr>
          <w:lang w:val="zh-CN"/>
        </w:rPr>
      </w:pPr>
      <w:r>
        <w:rPr>
          <w:rFonts w:hint="eastAsia"/>
          <w:lang w:val="zh-CN"/>
        </w:rPr>
        <w:t>存在问题。</w:t>
      </w:r>
    </w:p>
    <w:p>
      <w:pPr>
        <w:widowControl/>
        <w:adjustRightInd w:val="0"/>
        <w:snapToGrid w:val="0"/>
        <w:spacing w:line="580" w:lineRule="exact"/>
        <w:ind w:firstLine="64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一是学校的固定资产管理需加强管理。二是本年度预算编制准确度不够，预算完成情况有待加强。三是内控制度</w:t>
      </w:r>
      <w:r>
        <w:rPr>
          <w:rFonts w:hint="eastAsia" w:ascii="仿宋_GB2312" w:hAnsi="宋体" w:eastAsia="仿宋_GB2312" w:cs="宋体"/>
          <w:color w:val="000000"/>
          <w:kern w:val="0"/>
          <w:szCs w:val="32"/>
          <w:shd w:val="clear" w:color="auto" w:fill="FFFFFF"/>
        </w:rPr>
        <w:t>不够完善</w:t>
      </w:r>
      <w:r>
        <w:rPr>
          <w:rFonts w:hint="eastAsia" w:ascii="仿宋_GB2312" w:hAnsi="宋体" w:eastAsia="仿宋_GB2312" w:cs="宋体"/>
          <w:color w:val="000000"/>
          <w:kern w:val="0"/>
          <w:szCs w:val="32"/>
          <w:shd w:val="clear" w:color="auto" w:fill="FFFFFF"/>
          <w:lang w:val="zh-CN"/>
        </w:rPr>
        <w:t>。四是绩效管理目标设计不够完整科学，管理措施不健全。</w:t>
      </w:r>
    </w:p>
    <w:p>
      <w:pPr>
        <w:pStyle w:val="6"/>
        <w:ind w:firstLine="643"/>
        <w:rPr>
          <w:lang w:val="zh-CN"/>
        </w:rPr>
      </w:pPr>
      <w:r>
        <w:rPr>
          <w:rFonts w:hint="eastAsia"/>
          <w:lang w:val="zh-CN"/>
        </w:rPr>
        <w:t>（三）改进建议。</w:t>
      </w:r>
    </w:p>
    <w:p>
      <w:pPr>
        <w:widowControl/>
        <w:adjustRightInd w:val="0"/>
        <w:snapToGrid w:val="0"/>
        <w:spacing w:line="580" w:lineRule="exact"/>
        <w:ind w:firstLine="64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一是按照标准逐步完善固定资产管理制度建设，确保国有资产保值增值。二是更加科学合理的编制预算，加强预算执行的过程监督与控制，充分发挥财政资金的使用效益。三是加强内控制度的制定，完善学校内控管理。四是合理设计绩效目标管理，健全措施，科学考核。</w:t>
      </w:r>
    </w:p>
    <w:p>
      <w:pPr>
        <w:spacing w:line="580" w:lineRule="exact"/>
        <w:ind w:firstLine="640"/>
        <w:rPr>
          <w:rFonts w:ascii="仿宋_GB2312" w:hAnsi="仿宋_GB2312" w:eastAsia="仿宋_GB2312" w:cs="仿宋_GB2312"/>
          <w:szCs w:val="32"/>
        </w:rPr>
      </w:pPr>
    </w:p>
    <w:p>
      <w:pPr>
        <w:pStyle w:val="2"/>
        <w:spacing w:before="93"/>
        <w:ind w:left="640" w:firstLine="300"/>
      </w:pPr>
    </w:p>
    <w:p>
      <w:pPr>
        <w:pStyle w:val="2"/>
        <w:spacing w:before="93"/>
        <w:ind w:left="640" w:firstLine="300"/>
      </w:pPr>
    </w:p>
    <w:p>
      <w:pPr>
        <w:pStyle w:val="2"/>
        <w:spacing w:before="93"/>
        <w:ind w:left="640" w:firstLine="300"/>
      </w:pPr>
    </w:p>
    <w:p>
      <w:pPr>
        <w:pStyle w:val="2"/>
        <w:spacing w:before="93"/>
        <w:ind w:left="640" w:firstLine="300"/>
      </w:pPr>
    </w:p>
    <w:p>
      <w:pPr>
        <w:pStyle w:val="2"/>
        <w:spacing w:before="93"/>
        <w:ind w:left="640" w:firstLine="300"/>
      </w:pPr>
    </w:p>
    <w:p>
      <w:pPr>
        <w:pStyle w:val="2"/>
        <w:spacing w:before="93"/>
        <w:ind w:left="640" w:firstLine="300"/>
      </w:pPr>
    </w:p>
    <w:p>
      <w:pPr>
        <w:pStyle w:val="2"/>
        <w:spacing w:before="93"/>
        <w:ind w:left="640" w:firstLine="300"/>
      </w:pPr>
    </w:p>
    <w:p>
      <w:pPr>
        <w:pStyle w:val="2"/>
        <w:spacing w:before="93"/>
        <w:ind w:left="640" w:firstLine="300"/>
      </w:pPr>
    </w:p>
    <w:p>
      <w:pPr>
        <w:pStyle w:val="2"/>
        <w:spacing w:before="93"/>
        <w:ind w:left="640" w:firstLine="300"/>
      </w:pPr>
    </w:p>
    <w:p>
      <w:pPr>
        <w:pStyle w:val="2"/>
        <w:spacing w:before="93"/>
        <w:ind w:left="640" w:firstLine="300"/>
      </w:pPr>
    </w:p>
    <w:p>
      <w:pPr>
        <w:pStyle w:val="2"/>
        <w:spacing w:before="93"/>
        <w:ind w:left="640" w:firstLine="300"/>
      </w:pPr>
    </w:p>
    <w:p>
      <w:pPr>
        <w:pStyle w:val="2"/>
        <w:spacing w:before="93"/>
        <w:ind w:left="640" w:firstLine="300"/>
      </w:pPr>
    </w:p>
    <w:p>
      <w:pPr>
        <w:pStyle w:val="2"/>
        <w:spacing w:before="93"/>
        <w:ind w:left="640" w:firstLine="300"/>
      </w:pPr>
    </w:p>
    <w:bookmarkEnd w:id="61"/>
    <w:p>
      <w:pPr>
        <w:pStyle w:val="4"/>
        <w:ind w:firstLine="883"/>
      </w:pPr>
      <w:bookmarkStart w:id="63" w:name="_Toc17386"/>
      <w:r>
        <w:rPr>
          <w:rFonts w:hint="eastAsia"/>
        </w:rPr>
        <w:t>第五部分 附表</w:t>
      </w:r>
      <w:bookmarkEnd w:id="63"/>
    </w:p>
    <w:p>
      <w:pPr>
        <w:pStyle w:val="5"/>
        <w:ind w:firstLine="640"/>
        <w:rPr>
          <w:rFonts w:ascii="仿宋" w:hAnsi="仿宋" w:eastAsia="仿宋" w:cs="仿宋"/>
          <w:b w:val="0"/>
          <w:bCs w:val="0"/>
        </w:rPr>
      </w:pPr>
      <w:bookmarkStart w:id="64" w:name="_Toc17732"/>
      <w:r>
        <w:rPr>
          <w:rFonts w:hint="eastAsia" w:ascii="仿宋" w:hAnsi="仿宋" w:eastAsia="仿宋" w:cs="仿宋"/>
          <w:b w:val="0"/>
          <w:bCs w:val="0"/>
        </w:rPr>
        <w:t>一、收入支出决算总表</w:t>
      </w:r>
      <w:bookmarkEnd w:id="64"/>
    </w:p>
    <w:p>
      <w:pPr>
        <w:pStyle w:val="5"/>
        <w:ind w:firstLine="640"/>
        <w:rPr>
          <w:rFonts w:ascii="仿宋" w:hAnsi="仿宋" w:eastAsia="仿宋" w:cs="仿宋"/>
          <w:b w:val="0"/>
          <w:bCs w:val="0"/>
        </w:rPr>
      </w:pPr>
      <w:bookmarkStart w:id="65" w:name="_Toc19891"/>
      <w:r>
        <w:rPr>
          <w:rFonts w:hint="eastAsia" w:ascii="仿宋" w:hAnsi="仿宋" w:eastAsia="仿宋" w:cs="仿宋"/>
          <w:b w:val="0"/>
          <w:bCs w:val="0"/>
        </w:rPr>
        <w:t>二、收入决算表</w:t>
      </w:r>
      <w:bookmarkEnd w:id="65"/>
    </w:p>
    <w:p>
      <w:pPr>
        <w:pStyle w:val="5"/>
        <w:ind w:firstLine="640"/>
        <w:rPr>
          <w:rFonts w:ascii="仿宋" w:hAnsi="仿宋" w:eastAsia="仿宋" w:cs="仿宋"/>
          <w:b w:val="0"/>
          <w:bCs w:val="0"/>
        </w:rPr>
      </w:pPr>
      <w:bookmarkStart w:id="66" w:name="_Toc13092"/>
      <w:r>
        <w:rPr>
          <w:rFonts w:hint="eastAsia" w:ascii="仿宋" w:hAnsi="仿宋" w:eastAsia="仿宋" w:cs="仿宋"/>
          <w:b w:val="0"/>
          <w:bCs w:val="0"/>
        </w:rPr>
        <w:t>三、支出决算表</w:t>
      </w:r>
      <w:bookmarkEnd w:id="66"/>
    </w:p>
    <w:p>
      <w:pPr>
        <w:pStyle w:val="5"/>
        <w:ind w:firstLine="640"/>
        <w:rPr>
          <w:rFonts w:ascii="仿宋" w:hAnsi="仿宋" w:eastAsia="仿宋" w:cs="仿宋"/>
          <w:b w:val="0"/>
          <w:bCs w:val="0"/>
        </w:rPr>
      </w:pPr>
      <w:bookmarkStart w:id="67" w:name="_Toc23046"/>
      <w:r>
        <w:rPr>
          <w:rFonts w:hint="eastAsia" w:ascii="仿宋" w:hAnsi="仿宋" w:eastAsia="仿宋" w:cs="仿宋"/>
          <w:b w:val="0"/>
          <w:bCs w:val="0"/>
        </w:rPr>
        <w:t>四、财政拨款收入支出决算总表</w:t>
      </w:r>
      <w:bookmarkEnd w:id="67"/>
    </w:p>
    <w:p>
      <w:pPr>
        <w:pStyle w:val="5"/>
        <w:ind w:firstLine="640"/>
        <w:rPr>
          <w:rFonts w:ascii="仿宋" w:hAnsi="仿宋" w:eastAsia="仿宋" w:cs="仿宋"/>
          <w:b w:val="0"/>
          <w:bCs w:val="0"/>
        </w:rPr>
      </w:pPr>
      <w:bookmarkStart w:id="68" w:name="_Toc9582"/>
      <w:r>
        <w:rPr>
          <w:rFonts w:hint="eastAsia" w:ascii="仿宋" w:hAnsi="仿宋" w:eastAsia="仿宋" w:cs="仿宋"/>
          <w:b w:val="0"/>
          <w:bCs w:val="0"/>
        </w:rPr>
        <w:t>五、财政拨款支出决算明细表</w:t>
      </w:r>
      <w:bookmarkEnd w:id="68"/>
    </w:p>
    <w:p>
      <w:pPr>
        <w:pStyle w:val="5"/>
        <w:ind w:firstLine="640"/>
        <w:rPr>
          <w:rFonts w:ascii="仿宋" w:hAnsi="仿宋" w:eastAsia="仿宋" w:cs="仿宋"/>
          <w:b w:val="0"/>
          <w:bCs w:val="0"/>
        </w:rPr>
      </w:pPr>
      <w:bookmarkStart w:id="69" w:name="_Toc29178"/>
      <w:r>
        <w:rPr>
          <w:rFonts w:hint="eastAsia" w:ascii="仿宋" w:hAnsi="仿宋" w:eastAsia="仿宋" w:cs="仿宋"/>
          <w:b w:val="0"/>
          <w:bCs w:val="0"/>
        </w:rPr>
        <w:t>六、一般公共预算财政拨款支出决算表</w:t>
      </w:r>
      <w:bookmarkEnd w:id="69"/>
    </w:p>
    <w:p>
      <w:pPr>
        <w:pStyle w:val="5"/>
        <w:ind w:firstLine="640"/>
        <w:rPr>
          <w:rFonts w:ascii="仿宋" w:hAnsi="仿宋" w:eastAsia="仿宋" w:cs="仿宋"/>
          <w:b w:val="0"/>
          <w:bCs w:val="0"/>
        </w:rPr>
      </w:pPr>
      <w:bookmarkStart w:id="70" w:name="_Toc29502"/>
      <w:r>
        <w:rPr>
          <w:rFonts w:hint="eastAsia" w:ascii="仿宋" w:hAnsi="仿宋" w:eastAsia="仿宋" w:cs="仿宋"/>
          <w:b w:val="0"/>
          <w:bCs w:val="0"/>
        </w:rPr>
        <w:t>七、一般公共预算财政拨款支出决算明细表</w:t>
      </w:r>
      <w:bookmarkEnd w:id="70"/>
    </w:p>
    <w:p>
      <w:pPr>
        <w:pStyle w:val="5"/>
        <w:ind w:firstLine="640"/>
        <w:rPr>
          <w:rFonts w:ascii="仿宋" w:hAnsi="仿宋" w:eastAsia="仿宋" w:cs="仿宋"/>
          <w:b w:val="0"/>
          <w:bCs w:val="0"/>
        </w:rPr>
      </w:pPr>
      <w:bookmarkStart w:id="71" w:name="_Toc8492"/>
      <w:r>
        <w:rPr>
          <w:rFonts w:hint="eastAsia" w:ascii="仿宋" w:hAnsi="仿宋" w:eastAsia="仿宋" w:cs="仿宋"/>
          <w:b w:val="0"/>
          <w:bCs w:val="0"/>
        </w:rPr>
        <w:t>八、一般公共预算财政拨款基本支出决算表</w:t>
      </w:r>
      <w:bookmarkEnd w:id="71"/>
    </w:p>
    <w:p>
      <w:pPr>
        <w:pStyle w:val="5"/>
        <w:ind w:firstLine="640"/>
        <w:rPr>
          <w:rFonts w:ascii="仿宋" w:hAnsi="仿宋" w:eastAsia="仿宋" w:cs="仿宋"/>
          <w:b w:val="0"/>
          <w:bCs w:val="0"/>
        </w:rPr>
      </w:pPr>
      <w:bookmarkStart w:id="72" w:name="_Toc3808"/>
      <w:r>
        <w:rPr>
          <w:rFonts w:hint="eastAsia" w:ascii="仿宋" w:hAnsi="仿宋" w:eastAsia="仿宋" w:cs="仿宋"/>
          <w:b w:val="0"/>
          <w:bCs w:val="0"/>
        </w:rPr>
        <w:t>九、一般公共预算财政拨款项目支出决算表</w:t>
      </w:r>
      <w:bookmarkEnd w:id="72"/>
    </w:p>
    <w:p>
      <w:pPr>
        <w:pStyle w:val="5"/>
        <w:ind w:firstLine="640"/>
        <w:rPr>
          <w:rFonts w:ascii="仿宋" w:hAnsi="仿宋" w:eastAsia="仿宋" w:cs="仿宋"/>
          <w:b w:val="0"/>
          <w:bCs w:val="0"/>
        </w:rPr>
      </w:pPr>
      <w:bookmarkStart w:id="73" w:name="_Toc31035"/>
      <w:r>
        <w:rPr>
          <w:rFonts w:hint="eastAsia" w:ascii="仿宋" w:hAnsi="仿宋" w:eastAsia="仿宋" w:cs="仿宋"/>
          <w:b w:val="0"/>
          <w:bCs w:val="0"/>
        </w:rPr>
        <w:t>十、一般公共预算财政拨款“三公”经费支出决算表</w:t>
      </w:r>
      <w:bookmarkEnd w:id="73"/>
    </w:p>
    <w:p>
      <w:pPr>
        <w:pStyle w:val="5"/>
        <w:ind w:firstLine="640"/>
        <w:rPr>
          <w:rFonts w:ascii="仿宋" w:hAnsi="仿宋" w:eastAsia="仿宋" w:cs="仿宋"/>
          <w:b w:val="0"/>
          <w:bCs w:val="0"/>
        </w:rPr>
      </w:pPr>
      <w:bookmarkStart w:id="74" w:name="_Toc4598"/>
      <w:r>
        <w:rPr>
          <w:rFonts w:hint="eastAsia" w:ascii="仿宋" w:hAnsi="仿宋" w:eastAsia="仿宋" w:cs="仿宋"/>
          <w:b w:val="0"/>
          <w:bCs w:val="0"/>
        </w:rPr>
        <w:t>十一、政府性基金预算财政拨款收入支出决算表</w:t>
      </w:r>
      <w:bookmarkEnd w:id="74"/>
    </w:p>
    <w:p>
      <w:pPr>
        <w:pStyle w:val="5"/>
        <w:ind w:firstLine="640"/>
        <w:rPr>
          <w:rFonts w:ascii="仿宋" w:hAnsi="仿宋" w:eastAsia="仿宋" w:cs="仿宋"/>
          <w:b w:val="0"/>
          <w:bCs w:val="0"/>
        </w:rPr>
      </w:pPr>
      <w:bookmarkStart w:id="75" w:name="_Toc10706"/>
      <w:r>
        <w:rPr>
          <w:rFonts w:hint="eastAsia" w:ascii="仿宋" w:hAnsi="仿宋" w:eastAsia="仿宋" w:cs="仿宋"/>
          <w:b w:val="0"/>
          <w:bCs w:val="0"/>
        </w:rPr>
        <w:t>十二、政府性基金预算财政拨款“三公”经费支出决算表</w:t>
      </w:r>
      <w:bookmarkEnd w:id="75"/>
    </w:p>
    <w:p>
      <w:pPr>
        <w:pStyle w:val="5"/>
        <w:ind w:firstLine="640"/>
        <w:rPr>
          <w:rFonts w:ascii="仿宋" w:hAnsi="仿宋" w:eastAsia="仿宋" w:cs="仿宋"/>
          <w:b w:val="0"/>
          <w:bCs w:val="0"/>
        </w:rPr>
      </w:pPr>
      <w:bookmarkStart w:id="76" w:name="_Toc16325"/>
      <w:r>
        <w:rPr>
          <w:rFonts w:hint="eastAsia" w:ascii="仿宋" w:hAnsi="仿宋" w:eastAsia="仿宋" w:cs="仿宋"/>
          <w:b w:val="0"/>
          <w:bCs w:val="0"/>
        </w:rPr>
        <w:t>十三、国有资本经营预算财政拨款收入支出决算表</w:t>
      </w:r>
      <w:bookmarkEnd w:id="76"/>
    </w:p>
    <w:p>
      <w:pPr>
        <w:pStyle w:val="5"/>
        <w:ind w:firstLine="640"/>
        <w:rPr>
          <w:rFonts w:ascii="仿宋" w:hAnsi="仿宋" w:eastAsia="仿宋" w:cs="仿宋"/>
          <w:b w:val="0"/>
          <w:bCs w:val="0"/>
        </w:rPr>
      </w:pPr>
      <w:bookmarkStart w:id="77" w:name="_Toc6722"/>
      <w:r>
        <w:rPr>
          <w:rFonts w:hint="eastAsia" w:ascii="仿宋" w:hAnsi="仿宋" w:eastAsia="仿宋" w:cs="仿宋"/>
          <w:b w:val="0"/>
          <w:bCs w:val="0"/>
        </w:rPr>
        <w:t>十四、国有资本经营预算财政拨款支出决算表</w:t>
      </w:r>
      <w:bookmarkEnd w:id="77"/>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ind w:firstLine="360"/>
          <w:jc w:val="center"/>
        </w:pPr>
        <w:r>
          <w:fldChar w:fldCharType="begin"/>
        </w:r>
        <w:r>
          <w:instrText xml:space="preserve">PAGE   \* MERGEFORMAT</w:instrText>
        </w:r>
        <w:r>
          <w:fldChar w:fldCharType="separate"/>
        </w:r>
        <w:r>
          <w:rPr>
            <w:lang w:val="zh-CN"/>
          </w:rPr>
          <w:t>2</w:t>
        </w:r>
        <w:r>
          <w:fldChar w:fldCharType="end"/>
        </w:r>
      </w:p>
    </w:sdtContent>
  </w:sdt>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E47D2CA8"/>
    <w:multiLevelType w:val="singleLevel"/>
    <w:tmpl w:val="E47D2CA8"/>
    <w:lvl w:ilvl="0" w:tentative="0">
      <w:start w:val="2"/>
      <w:numFmt w:val="chineseCounting"/>
      <w:suff w:val="nothing"/>
      <w:lvlText w:val="（%1）"/>
      <w:lvlJc w:val="left"/>
      <w:rPr>
        <w:rFonts w:hint="eastAsia"/>
      </w:rPr>
    </w:lvl>
  </w:abstractNum>
  <w:abstractNum w:abstractNumId="2">
    <w:nsid w:val="38CB6133"/>
    <w:multiLevelType w:val="singleLevel"/>
    <w:tmpl w:val="38CB6133"/>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hY2FhYWRlZWZkMGNjOWVlYTUwZTBlN2Y4MWNjYTQ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58B0"/>
    <w:rsid w:val="0014729F"/>
    <w:rsid w:val="00157BAB"/>
    <w:rsid w:val="001654D1"/>
    <w:rsid w:val="0018106D"/>
    <w:rsid w:val="001873E3"/>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482B"/>
    <w:rsid w:val="002662AA"/>
    <w:rsid w:val="00280496"/>
    <w:rsid w:val="00295495"/>
    <w:rsid w:val="002B2613"/>
    <w:rsid w:val="002F1818"/>
    <w:rsid w:val="002F567B"/>
    <w:rsid w:val="002F7F38"/>
    <w:rsid w:val="003216A9"/>
    <w:rsid w:val="00324D93"/>
    <w:rsid w:val="003514BF"/>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487D"/>
    <w:rsid w:val="00505A47"/>
    <w:rsid w:val="00512FDA"/>
    <w:rsid w:val="00520DA0"/>
    <w:rsid w:val="0056178B"/>
    <w:rsid w:val="005664BB"/>
    <w:rsid w:val="0057481D"/>
    <w:rsid w:val="00584823"/>
    <w:rsid w:val="0058486E"/>
    <w:rsid w:val="005B3ECD"/>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776C1"/>
    <w:rsid w:val="00682B35"/>
    <w:rsid w:val="00683E73"/>
    <w:rsid w:val="006A3141"/>
    <w:rsid w:val="006A5E34"/>
    <w:rsid w:val="006B2422"/>
    <w:rsid w:val="006B2B9A"/>
    <w:rsid w:val="006C0E53"/>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2A59"/>
    <w:rsid w:val="008B768C"/>
    <w:rsid w:val="008C4DB1"/>
    <w:rsid w:val="008C4EAF"/>
    <w:rsid w:val="008C5176"/>
    <w:rsid w:val="008C7FD0"/>
    <w:rsid w:val="008E1DE7"/>
    <w:rsid w:val="008E707C"/>
    <w:rsid w:val="008F3ACD"/>
    <w:rsid w:val="00900B08"/>
    <w:rsid w:val="00902155"/>
    <w:rsid w:val="00902FA3"/>
    <w:rsid w:val="0091569A"/>
    <w:rsid w:val="00923564"/>
    <w:rsid w:val="0092392E"/>
    <w:rsid w:val="009315F9"/>
    <w:rsid w:val="00933AFE"/>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27"/>
    <w:rsid w:val="00A13CC1"/>
    <w:rsid w:val="00A16847"/>
    <w:rsid w:val="00A237D8"/>
    <w:rsid w:val="00A268C4"/>
    <w:rsid w:val="00A307CD"/>
    <w:rsid w:val="00A40A00"/>
    <w:rsid w:val="00A4142F"/>
    <w:rsid w:val="00A51BAF"/>
    <w:rsid w:val="00A56DF2"/>
    <w:rsid w:val="00A62CB9"/>
    <w:rsid w:val="00A67AB5"/>
    <w:rsid w:val="00A774A5"/>
    <w:rsid w:val="00A91760"/>
    <w:rsid w:val="00A93B00"/>
    <w:rsid w:val="00A93C21"/>
    <w:rsid w:val="00AC3C6A"/>
    <w:rsid w:val="00AD5620"/>
    <w:rsid w:val="00AD7C1B"/>
    <w:rsid w:val="00AE16BA"/>
    <w:rsid w:val="00AE1EBE"/>
    <w:rsid w:val="00AF15C8"/>
    <w:rsid w:val="00B03C9D"/>
    <w:rsid w:val="00B060AE"/>
    <w:rsid w:val="00B10517"/>
    <w:rsid w:val="00B14E76"/>
    <w:rsid w:val="00B161B8"/>
    <w:rsid w:val="00B2048C"/>
    <w:rsid w:val="00B260D9"/>
    <w:rsid w:val="00B26FBB"/>
    <w:rsid w:val="00B310B9"/>
    <w:rsid w:val="00B34320"/>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BF7764"/>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CF2382"/>
    <w:rsid w:val="00D00095"/>
    <w:rsid w:val="00D20620"/>
    <w:rsid w:val="00D26091"/>
    <w:rsid w:val="00D34E7C"/>
    <w:rsid w:val="00D35489"/>
    <w:rsid w:val="00D51276"/>
    <w:rsid w:val="00D63056"/>
    <w:rsid w:val="00D7035F"/>
    <w:rsid w:val="00DA65AC"/>
    <w:rsid w:val="00DB1913"/>
    <w:rsid w:val="00DB7DBC"/>
    <w:rsid w:val="00DC410D"/>
    <w:rsid w:val="00DC68CA"/>
    <w:rsid w:val="00DC7CBA"/>
    <w:rsid w:val="00DD73B7"/>
    <w:rsid w:val="00DF28BC"/>
    <w:rsid w:val="00DF34B9"/>
    <w:rsid w:val="00E01053"/>
    <w:rsid w:val="00E07ACF"/>
    <w:rsid w:val="00E331A1"/>
    <w:rsid w:val="00E33202"/>
    <w:rsid w:val="00E336A9"/>
    <w:rsid w:val="00E50624"/>
    <w:rsid w:val="00E568DF"/>
    <w:rsid w:val="00E576C5"/>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A5BE5"/>
    <w:rsid w:val="00FD3CC1"/>
    <w:rsid w:val="00FF1E02"/>
    <w:rsid w:val="00FF30B4"/>
    <w:rsid w:val="01430090"/>
    <w:rsid w:val="016518D4"/>
    <w:rsid w:val="01926B09"/>
    <w:rsid w:val="019D020D"/>
    <w:rsid w:val="02F168F6"/>
    <w:rsid w:val="03BA46B9"/>
    <w:rsid w:val="03F92441"/>
    <w:rsid w:val="04906E08"/>
    <w:rsid w:val="04A333CD"/>
    <w:rsid w:val="04C82AAA"/>
    <w:rsid w:val="05005BCC"/>
    <w:rsid w:val="05236494"/>
    <w:rsid w:val="05665609"/>
    <w:rsid w:val="05680E80"/>
    <w:rsid w:val="056F2DD7"/>
    <w:rsid w:val="06053DCB"/>
    <w:rsid w:val="06300026"/>
    <w:rsid w:val="064E6970"/>
    <w:rsid w:val="06657D3B"/>
    <w:rsid w:val="066910E4"/>
    <w:rsid w:val="0670344A"/>
    <w:rsid w:val="06C543BA"/>
    <w:rsid w:val="06E52D97"/>
    <w:rsid w:val="07164E2C"/>
    <w:rsid w:val="073767BF"/>
    <w:rsid w:val="0793523F"/>
    <w:rsid w:val="07A00F5E"/>
    <w:rsid w:val="07D76440"/>
    <w:rsid w:val="07F20DED"/>
    <w:rsid w:val="07FC6A07"/>
    <w:rsid w:val="080B15C5"/>
    <w:rsid w:val="08627A7D"/>
    <w:rsid w:val="08847D78"/>
    <w:rsid w:val="08B307E3"/>
    <w:rsid w:val="08DB785C"/>
    <w:rsid w:val="091F6460"/>
    <w:rsid w:val="0938401C"/>
    <w:rsid w:val="09502692"/>
    <w:rsid w:val="09666CFD"/>
    <w:rsid w:val="096A62D9"/>
    <w:rsid w:val="09750786"/>
    <w:rsid w:val="09C6465D"/>
    <w:rsid w:val="09D96AA9"/>
    <w:rsid w:val="0A003890"/>
    <w:rsid w:val="0A5C175F"/>
    <w:rsid w:val="0A7018DB"/>
    <w:rsid w:val="0A81165A"/>
    <w:rsid w:val="0A9A7E4A"/>
    <w:rsid w:val="0AA1743F"/>
    <w:rsid w:val="0AAE1F42"/>
    <w:rsid w:val="0ABD1E27"/>
    <w:rsid w:val="0B31254E"/>
    <w:rsid w:val="0B4725E8"/>
    <w:rsid w:val="0B4F737E"/>
    <w:rsid w:val="0B741592"/>
    <w:rsid w:val="0B81130F"/>
    <w:rsid w:val="0B841F3E"/>
    <w:rsid w:val="0BA93787"/>
    <w:rsid w:val="0BDA69CE"/>
    <w:rsid w:val="0C3A7D8E"/>
    <w:rsid w:val="0C8A48B9"/>
    <w:rsid w:val="0CB5560E"/>
    <w:rsid w:val="0CC854AF"/>
    <w:rsid w:val="0CD87849"/>
    <w:rsid w:val="0D141724"/>
    <w:rsid w:val="0D63596C"/>
    <w:rsid w:val="0D8355DF"/>
    <w:rsid w:val="0DA3341B"/>
    <w:rsid w:val="0E1D0A37"/>
    <w:rsid w:val="0E482ABA"/>
    <w:rsid w:val="0E7751E8"/>
    <w:rsid w:val="0EE309CF"/>
    <w:rsid w:val="0EE6339E"/>
    <w:rsid w:val="0EED26E2"/>
    <w:rsid w:val="0EF62AC8"/>
    <w:rsid w:val="0FB61FCB"/>
    <w:rsid w:val="0FC94BB8"/>
    <w:rsid w:val="0FF03ECF"/>
    <w:rsid w:val="1082456E"/>
    <w:rsid w:val="10A61824"/>
    <w:rsid w:val="10A96AE4"/>
    <w:rsid w:val="10B47D72"/>
    <w:rsid w:val="10C055FF"/>
    <w:rsid w:val="10E11385"/>
    <w:rsid w:val="10FD4E87"/>
    <w:rsid w:val="11205FE2"/>
    <w:rsid w:val="11AB1FF6"/>
    <w:rsid w:val="11BC2257"/>
    <w:rsid w:val="12301974"/>
    <w:rsid w:val="124B041D"/>
    <w:rsid w:val="128E5591"/>
    <w:rsid w:val="129274AE"/>
    <w:rsid w:val="129C0E9D"/>
    <w:rsid w:val="12C71734"/>
    <w:rsid w:val="12F007DC"/>
    <w:rsid w:val="12FF0DFF"/>
    <w:rsid w:val="1323337C"/>
    <w:rsid w:val="13DD0ED3"/>
    <w:rsid w:val="13E44E5F"/>
    <w:rsid w:val="14177E92"/>
    <w:rsid w:val="14217DBC"/>
    <w:rsid w:val="14570761"/>
    <w:rsid w:val="14786DF2"/>
    <w:rsid w:val="147976D5"/>
    <w:rsid w:val="14851E4C"/>
    <w:rsid w:val="148C64CD"/>
    <w:rsid w:val="14C20A1B"/>
    <w:rsid w:val="14CC5179"/>
    <w:rsid w:val="14CD458D"/>
    <w:rsid w:val="150563D7"/>
    <w:rsid w:val="15497390"/>
    <w:rsid w:val="15586FBA"/>
    <w:rsid w:val="15EF3EDD"/>
    <w:rsid w:val="161756E4"/>
    <w:rsid w:val="163B3767"/>
    <w:rsid w:val="16450BB7"/>
    <w:rsid w:val="166447A8"/>
    <w:rsid w:val="169234D9"/>
    <w:rsid w:val="16A31D43"/>
    <w:rsid w:val="16BB723D"/>
    <w:rsid w:val="172A772D"/>
    <w:rsid w:val="17785FD1"/>
    <w:rsid w:val="17A66B6C"/>
    <w:rsid w:val="17AB5DE3"/>
    <w:rsid w:val="17E00E27"/>
    <w:rsid w:val="17F719E4"/>
    <w:rsid w:val="180125A7"/>
    <w:rsid w:val="18084AA9"/>
    <w:rsid w:val="185E5F0D"/>
    <w:rsid w:val="18724C0E"/>
    <w:rsid w:val="188265A1"/>
    <w:rsid w:val="18CA50DD"/>
    <w:rsid w:val="18FB2EEB"/>
    <w:rsid w:val="192D4B0A"/>
    <w:rsid w:val="19782B7D"/>
    <w:rsid w:val="197F039C"/>
    <w:rsid w:val="1982474A"/>
    <w:rsid w:val="19A26BC2"/>
    <w:rsid w:val="19AE3228"/>
    <w:rsid w:val="19F4227F"/>
    <w:rsid w:val="1A1A4BEF"/>
    <w:rsid w:val="1A6608C1"/>
    <w:rsid w:val="1AD309C3"/>
    <w:rsid w:val="1AE770A8"/>
    <w:rsid w:val="1AF00C3F"/>
    <w:rsid w:val="1AF02367"/>
    <w:rsid w:val="1B3C206C"/>
    <w:rsid w:val="1B423C88"/>
    <w:rsid w:val="1B8E2DDB"/>
    <w:rsid w:val="1BDA7091"/>
    <w:rsid w:val="1BFF3FD2"/>
    <w:rsid w:val="1C0B7ED3"/>
    <w:rsid w:val="1C7D4DBE"/>
    <w:rsid w:val="1C9539B6"/>
    <w:rsid w:val="1CA465D6"/>
    <w:rsid w:val="1CB50AF6"/>
    <w:rsid w:val="1D0926D8"/>
    <w:rsid w:val="1D3D325D"/>
    <w:rsid w:val="1D4E5972"/>
    <w:rsid w:val="1D5C6920"/>
    <w:rsid w:val="1D7E1B8A"/>
    <w:rsid w:val="1D871976"/>
    <w:rsid w:val="1DBD6048"/>
    <w:rsid w:val="1DC70C3D"/>
    <w:rsid w:val="1E137910"/>
    <w:rsid w:val="1E592A71"/>
    <w:rsid w:val="1E5B574C"/>
    <w:rsid w:val="1E774B19"/>
    <w:rsid w:val="1E8F5F69"/>
    <w:rsid w:val="1E996506"/>
    <w:rsid w:val="1FAD4B5E"/>
    <w:rsid w:val="1FCB3608"/>
    <w:rsid w:val="200D08C5"/>
    <w:rsid w:val="2011450B"/>
    <w:rsid w:val="202920F5"/>
    <w:rsid w:val="2036561E"/>
    <w:rsid w:val="204978C9"/>
    <w:rsid w:val="204C32BC"/>
    <w:rsid w:val="208A3E5D"/>
    <w:rsid w:val="20E0250E"/>
    <w:rsid w:val="20F14F56"/>
    <w:rsid w:val="20F73A71"/>
    <w:rsid w:val="21013642"/>
    <w:rsid w:val="212C0AE2"/>
    <w:rsid w:val="221833EE"/>
    <w:rsid w:val="225C065D"/>
    <w:rsid w:val="228D3439"/>
    <w:rsid w:val="22A372B7"/>
    <w:rsid w:val="23072046"/>
    <w:rsid w:val="23396B0C"/>
    <w:rsid w:val="234E1921"/>
    <w:rsid w:val="23CC4BE2"/>
    <w:rsid w:val="23EE398A"/>
    <w:rsid w:val="240371BF"/>
    <w:rsid w:val="24066E67"/>
    <w:rsid w:val="2415721E"/>
    <w:rsid w:val="24173A2F"/>
    <w:rsid w:val="247F2B18"/>
    <w:rsid w:val="249170C9"/>
    <w:rsid w:val="24A57890"/>
    <w:rsid w:val="24D65456"/>
    <w:rsid w:val="2516707B"/>
    <w:rsid w:val="25211E72"/>
    <w:rsid w:val="2587478A"/>
    <w:rsid w:val="25AF5F5F"/>
    <w:rsid w:val="25C81910"/>
    <w:rsid w:val="25CD34A7"/>
    <w:rsid w:val="25F550B7"/>
    <w:rsid w:val="266409A7"/>
    <w:rsid w:val="267B64E3"/>
    <w:rsid w:val="270C01E7"/>
    <w:rsid w:val="27260856"/>
    <w:rsid w:val="27487980"/>
    <w:rsid w:val="274B1A23"/>
    <w:rsid w:val="276016AB"/>
    <w:rsid w:val="27747A33"/>
    <w:rsid w:val="27C509F4"/>
    <w:rsid w:val="27F64446"/>
    <w:rsid w:val="28900A9D"/>
    <w:rsid w:val="28D263A4"/>
    <w:rsid w:val="28E430DB"/>
    <w:rsid w:val="29460FF5"/>
    <w:rsid w:val="29681010"/>
    <w:rsid w:val="29C100EB"/>
    <w:rsid w:val="29FD04D3"/>
    <w:rsid w:val="2A093E6A"/>
    <w:rsid w:val="2AFB3E8A"/>
    <w:rsid w:val="2B2321ED"/>
    <w:rsid w:val="2B234D57"/>
    <w:rsid w:val="2B785FF0"/>
    <w:rsid w:val="2BCC6816"/>
    <w:rsid w:val="2C140979"/>
    <w:rsid w:val="2C731283"/>
    <w:rsid w:val="2CD31513"/>
    <w:rsid w:val="2CDD568C"/>
    <w:rsid w:val="2CF464FF"/>
    <w:rsid w:val="2D0D150B"/>
    <w:rsid w:val="2D321CED"/>
    <w:rsid w:val="2D572FED"/>
    <w:rsid w:val="2DBB77E4"/>
    <w:rsid w:val="2E626B03"/>
    <w:rsid w:val="2EF07F24"/>
    <w:rsid w:val="2F276F76"/>
    <w:rsid w:val="30671C33"/>
    <w:rsid w:val="30830D6D"/>
    <w:rsid w:val="308B2A78"/>
    <w:rsid w:val="30C0397A"/>
    <w:rsid w:val="30F954E9"/>
    <w:rsid w:val="31067317"/>
    <w:rsid w:val="31081216"/>
    <w:rsid w:val="311E4CC4"/>
    <w:rsid w:val="31264DB3"/>
    <w:rsid w:val="319F7F4E"/>
    <w:rsid w:val="31BC043E"/>
    <w:rsid w:val="320405C6"/>
    <w:rsid w:val="320B5BBB"/>
    <w:rsid w:val="3242146D"/>
    <w:rsid w:val="326547E0"/>
    <w:rsid w:val="32A3760D"/>
    <w:rsid w:val="333A4441"/>
    <w:rsid w:val="33422FB5"/>
    <w:rsid w:val="334D279F"/>
    <w:rsid w:val="335D6404"/>
    <w:rsid w:val="3384234F"/>
    <w:rsid w:val="339610D8"/>
    <w:rsid w:val="33A326E3"/>
    <w:rsid w:val="33A43D1B"/>
    <w:rsid w:val="33B7664F"/>
    <w:rsid w:val="33C764EA"/>
    <w:rsid w:val="33EC7102"/>
    <w:rsid w:val="33FF0876"/>
    <w:rsid w:val="34B5613E"/>
    <w:rsid w:val="34E2245C"/>
    <w:rsid w:val="353449AB"/>
    <w:rsid w:val="3549705E"/>
    <w:rsid w:val="35557B64"/>
    <w:rsid w:val="357D5A41"/>
    <w:rsid w:val="359E1637"/>
    <w:rsid w:val="35AE4F8F"/>
    <w:rsid w:val="35F50EDF"/>
    <w:rsid w:val="3645103F"/>
    <w:rsid w:val="36B45A89"/>
    <w:rsid w:val="36B92E40"/>
    <w:rsid w:val="36DB765E"/>
    <w:rsid w:val="36DF71FB"/>
    <w:rsid w:val="36E52D78"/>
    <w:rsid w:val="36FB73AF"/>
    <w:rsid w:val="370840F3"/>
    <w:rsid w:val="372A5074"/>
    <w:rsid w:val="378D6CEB"/>
    <w:rsid w:val="379F191A"/>
    <w:rsid w:val="38157F43"/>
    <w:rsid w:val="383E55A7"/>
    <w:rsid w:val="38745E8B"/>
    <w:rsid w:val="387A53A2"/>
    <w:rsid w:val="38AE14EE"/>
    <w:rsid w:val="38B068D2"/>
    <w:rsid w:val="3921257D"/>
    <w:rsid w:val="39521163"/>
    <w:rsid w:val="39591230"/>
    <w:rsid w:val="39CF559D"/>
    <w:rsid w:val="39F87F79"/>
    <w:rsid w:val="3A5E5FD2"/>
    <w:rsid w:val="3AD30DC7"/>
    <w:rsid w:val="3AE20CF6"/>
    <w:rsid w:val="3AE72A02"/>
    <w:rsid w:val="3B19713C"/>
    <w:rsid w:val="3B405AD0"/>
    <w:rsid w:val="3B540FB8"/>
    <w:rsid w:val="3BCF689E"/>
    <w:rsid w:val="3BE32EEC"/>
    <w:rsid w:val="3BF16097"/>
    <w:rsid w:val="3C110791"/>
    <w:rsid w:val="3C3030B1"/>
    <w:rsid w:val="3C470B98"/>
    <w:rsid w:val="3C7E7234"/>
    <w:rsid w:val="3CC14590"/>
    <w:rsid w:val="3CE70EDC"/>
    <w:rsid w:val="3CED456E"/>
    <w:rsid w:val="3D1F26A6"/>
    <w:rsid w:val="3D4A4E01"/>
    <w:rsid w:val="3D5A21ED"/>
    <w:rsid w:val="3D6C123C"/>
    <w:rsid w:val="3D9D5CDD"/>
    <w:rsid w:val="3DA17E02"/>
    <w:rsid w:val="3DC43237"/>
    <w:rsid w:val="3DC60026"/>
    <w:rsid w:val="3E3171FC"/>
    <w:rsid w:val="3E350651"/>
    <w:rsid w:val="3E437624"/>
    <w:rsid w:val="3EA65D93"/>
    <w:rsid w:val="3EDC5D48"/>
    <w:rsid w:val="3EE45C6F"/>
    <w:rsid w:val="3F553F84"/>
    <w:rsid w:val="3F575F3F"/>
    <w:rsid w:val="3F5F08F0"/>
    <w:rsid w:val="3FC55605"/>
    <w:rsid w:val="4009673D"/>
    <w:rsid w:val="406361B0"/>
    <w:rsid w:val="4071212C"/>
    <w:rsid w:val="40CE7BB8"/>
    <w:rsid w:val="40F406B1"/>
    <w:rsid w:val="41283F2D"/>
    <w:rsid w:val="41432A2D"/>
    <w:rsid w:val="41443818"/>
    <w:rsid w:val="41AE4F5B"/>
    <w:rsid w:val="42626A7E"/>
    <w:rsid w:val="42650E21"/>
    <w:rsid w:val="427573B9"/>
    <w:rsid w:val="42975CC0"/>
    <w:rsid w:val="42AE1634"/>
    <w:rsid w:val="42FB28CF"/>
    <w:rsid w:val="42FC7EEE"/>
    <w:rsid w:val="42FE68E0"/>
    <w:rsid w:val="43406EA5"/>
    <w:rsid w:val="4347623D"/>
    <w:rsid w:val="43640C8D"/>
    <w:rsid w:val="43726164"/>
    <w:rsid w:val="4395586C"/>
    <w:rsid w:val="43997C9C"/>
    <w:rsid w:val="43F90372"/>
    <w:rsid w:val="44CC2386"/>
    <w:rsid w:val="44D75FA3"/>
    <w:rsid w:val="44EC74B7"/>
    <w:rsid w:val="453F22AB"/>
    <w:rsid w:val="4543723E"/>
    <w:rsid w:val="4568482C"/>
    <w:rsid w:val="45906501"/>
    <w:rsid w:val="45B93A98"/>
    <w:rsid w:val="45E04C85"/>
    <w:rsid w:val="45E92037"/>
    <w:rsid w:val="45F533FF"/>
    <w:rsid w:val="45F67999"/>
    <w:rsid w:val="46076A4C"/>
    <w:rsid w:val="465E79DF"/>
    <w:rsid w:val="46707414"/>
    <w:rsid w:val="46761096"/>
    <w:rsid w:val="46761BA6"/>
    <w:rsid w:val="46B56547"/>
    <w:rsid w:val="46CD5411"/>
    <w:rsid w:val="47934A31"/>
    <w:rsid w:val="47FB5BB7"/>
    <w:rsid w:val="48906FA0"/>
    <w:rsid w:val="48B408F1"/>
    <w:rsid w:val="48BE24A6"/>
    <w:rsid w:val="48FD0F5C"/>
    <w:rsid w:val="491B1396"/>
    <w:rsid w:val="49542693"/>
    <w:rsid w:val="499649FE"/>
    <w:rsid w:val="49FB098E"/>
    <w:rsid w:val="4A7429C3"/>
    <w:rsid w:val="4AB24C84"/>
    <w:rsid w:val="4AC05DF3"/>
    <w:rsid w:val="4AE33565"/>
    <w:rsid w:val="4B21572F"/>
    <w:rsid w:val="4B336D9F"/>
    <w:rsid w:val="4B9922DA"/>
    <w:rsid w:val="4BA921D2"/>
    <w:rsid w:val="4C1572FA"/>
    <w:rsid w:val="4C2557A1"/>
    <w:rsid w:val="4C642CE8"/>
    <w:rsid w:val="4C760694"/>
    <w:rsid w:val="4C7C5968"/>
    <w:rsid w:val="4C866024"/>
    <w:rsid w:val="4CBF3AF6"/>
    <w:rsid w:val="4CC370AA"/>
    <w:rsid w:val="4D78509A"/>
    <w:rsid w:val="4D7F2D1C"/>
    <w:rsid w:val="4DB86CD5"/>
    <w:rsid w:val="4DD80E3E"/>
    <w:rsid w:val="4DDE6AAC"/>
    <w:rsid w:val="4DE1199C"/>
    <w:rsid w:val="4E200330"/>
    <w:rsid w:val="4E570E02"/>
    <w:rsid w:val="4F1B284A"/>
    <w:rsid w:val="4F5E3D3C"/>
    <w:rsid w:val="4F672E6A"/>
    <w:rsid w:val="4F8605B0"/>
    <w:rsid w:val="4FC50D3C"/>
    <w:rsid w:val="500E5B1E"/>
    <w:rsid w:val="5019773A"/>
    <w:rsid w:val="50904919"/>
    <w:rsid w:val="509B1B13"/>
    <w:rsid w:val="51302B71"/>
    <w:rsid w:val="51325A1B"/>
    <w:rsid w:val="51412C48"/>
    <w:rsid w:val="521305F1"/>
    <w:rsid w:val="5214391F"/>
    <w:rsid w:val="529F6E17"/>
    <w:rsid w:val="52B9593E"/>
    <w:rsid w:val="52BA47EA"/>
    <w:rsid w:val="52EC0D6D"/>
    <w:rsid w:val="52F265D6"/>
    <w:rsid w:val="53391371"/>
    <w:rsid w:val="53611C44"/>
    <w:rsid w:val="538F5E6D"/>
    <w:rsid w:val="53BF3E09"/>
    <w:rsid w:val="53E67941"/>
    <w:rsid w:val="540413F6"/>
    <w:rsid w:val="541F7A6F"/>
    <w:rsid w:val="544B4333"/>
    <w:rsid w:val="54956678"/>
    <w:rsid w:val="54AF45F1"/>
    <w:rsid w:val="54D059AD"/>
    <w:rsid w:val="54EE3181"/>
    <w:rsid w:val="54F84A11"/>
    <w:rsid w:val="553F1ED1"/>
    <w:rsid w:val="5563759E"/>
    <w:rsid w:val="556C67D9"/>
    <w:rsid w:val="55B53AEC"/>
    <w:rsid w:val="55E607DD"/>
    <w:rsid w:val="55EC26CA"/>
    <w:rsid w:val="56007380"/>
    <w:rsid w:val="561E6F4B"/>
    <w:rsid w:val="567D2FAC"/>
    <w:rsid w:val="569D4BAD"/>
    <w:rsid w:val="56E24E5D"/>
    <w:rsid w:val="56E57E86"/>
    <w:rsid w:val="577D6EC8"/>
    <w:rsid w:val="577F3753"/>
    <w:rsid w:val="57977A37"/>
    <w:rsid w:val="57BA569E"/>
    <w:rsid w:val="585C7890"/>
    <w:rsid w:val="58816CA3"/>
    <w:rsid w:val="5882394A"/>
    <w:rsid w:val="58934F0E"/>
    <w:rsid w:val="589F1AB0"/>
    <w:rsid w:val="58D6446F"/>
    <w:rsid w:val="59266CFE"/>
    <w:rsid w:val="59303903"/>
    <w:rsid w:val="59387F92"/>
    <w:rsid w:val="598C7D37"/>
    <w:rsid w:val="59936B07"/>
    <w:rsid w:val="59CB4AE6"/>
    <w:rsid w:val="5A5610A1"/>
    <w:rsid w:val="5A8674B7"/>
    <w:rsid w:val="5B127621"/>
    <w:rsid w:val="5B702F32"/>
    <w:rsid w:val="5B722BD2"/>
    <w:rsid w:val="5BB243CD"/>
    <w:rsid w:val="5BC72F5C"/>
    <w:rsid w:val="5BE600DE"/>
    <w:rsid w:val="5C0A446A"/>
    <w:rsid w:val="5C4663CD"/>
    <w:rsid w:val="5CA21D81"/>
    <w:rsid w:val="5CB55867"/>
    <w:rsid w:val="5CF43801"/>
    <w:rsid w:val="5D0E3085"/>
    <w:rsid w:val="5DC429DB"/>
    <w:rsid w:val="5DD53F16"/>
    <w:rsid w:val="5E362FA1"/>
    <w:rsid w:val="5E6072B6"/>
    <w:rsid w:val="5EBA3EB2"/>
    <w:rsid w:val="5EC04069"/>
    <w:rsid w:val="5F130570"/>
    <w:rsid w:val="5F3C2C4C"/>
    <w:rsid w:val="5FE83DDC"/>
    <w:rsid w:val="5FFD314F"/>
    <w:rsid w:val="602C7B0A"/>
    <w:rsid w:val="603B40D9"/>
    <w:rsid w:val="60405AC4"/>
    <w:rsid w:val="60677BE2"/>
    <w:rsid w:val="60D51BAD"/>
    <w:rsid w:val="612E5958"/>
    <w:rsid w:val="612E66C2"/>
    <w:rsid w:val="614C380B"/>
    <w:rsid w:val="61660953"/>
    <w:rsid w:val="61787CCC"/>
    <w:rsid w:val="6184636B"/>
    <w:rsid w:val="618E7474"/>
    <w:rsid w:val="619A1E53"/>
    <w:rsid w:val="61CC2AD1"/>
    <w:rsid w:val="61F90DDB"/>
    <w:rsid w:val="621F48C2"/>
    <w:rsid w:val="622E35FD"/>
    <w:rsid w:val="6299211C"/>
    <w:rsid w:val="632D5BF1"/>
    <w:rsid w:val="634A698B"/>
    <w:rsid w:val="634B3D11"/>
    <w:rsid w:val="634E7453"/>
    <w:rsid w:val="63C40DAF"/>
    <w:rsid w:val="63D57189"/>
    <w:rsid w:val="63E262CC"/>
    <w:rsid w:val="640B0569"/>
    <w:rsid w:val="641065EF"/>
    <w:rsid w:val="64170EF8"/>
    <w:rsid w:val="64875955"/>
    <w:rsid w:val="648F372B"/>
    <w:rsid w:val="64ED02C6"/>
    <w:rsid w:val="64FD6E47"/>
    <w:rsid w:val="650E3D3C"/>
    <w:rsid w:val="651C17AA"/>
    <w:rsid w:val="655B794D"/>
    <w:rsid w:val="65AC730D"/>
    <w:rsid w:val="65E965C1"/>
    <w:rsid w:val="66107F30"/>
    <w:rsid w:val="661C3FF0"/>
    <w:rsid w:val="66252916"/>
    <w:rsid w:val="666C38FC"/>
    <w:rsid w:val="66AA7A6A"/>
    <w:rsid w:val="66AB2158"/>
    <w:rsid w:val="66BF0DCE"/>
    <w:rsid w:val="66F821A6"/>
    <w:rsid w:val="672707F7"/>
    <w:rsid w:val="67281B3B"/>
    <w:rsid w:val="67595EDB"/>
    <w:rsid w:val="67880D72"/>
    <w:rsid w:val="679A7C0B"/>
    <w:rsid w:val="67C42A8D"/>
    <w:rsid w:val="67D15BEF"/>
    <w:rsid w:val="681F5675"/>
    <w:rsid w:val="683D3409"/>
    <w:rsid w:val="687B5502"/>
    <w:rsid w:val="68D01E29"/>
    <w:rsid w:val="69027788"/>
    <w:rsid w:val="69433A40"/>
    <w:rsid w:val="69462E8B"/>
    <w:rsid w:val="69B91F6F"/>
    <w:rsid w:val="6A023EA5"/>
    <w:rsid w:val="6A2B1D02"/>
    <w:rsid w:val="6A564A34"/>
    <w:rsid w:val="6A6A03D2"/>
    <w:rsid w:val="6A8675DF"/>
    <w:rsid w:val="6AD211AD"/>
    <w:rsid w:val="6AD54F52"/>
    <w:rsid w:val="6AE16007"/>
    <w:rsid w:val="6AE34A41"/>
    <w:rsid w:val="6B2F5F7F"/>
    <w:rsid w:val="6B324A28"/>
    <w:rsid w:val="6B484F9A"/>
    <w:rsid w:val="6B7D34B9"/>
    <w:rsid w:val="6B922000"/>
    <w:rsid w:val="6BA72821"/>
    <w:rsid w:val="6BB466B7"/>
    <w:rsid w:val="6BDE03D7"/>
    <w:rsid w:val="6BE4668E"/>
    <w:rsid w:val="6BF734A9"/>
    <w:rsid w:val="6C1B5BD2"/>
    <w:rsid w:val="6C554251"/>
    <w:rsid w:val="6C6425DA"/>
    <w:rsid w:val="6C75471B"/>
    <w:rsid w:val="6C88591F"/>
    <w:rsid w:val="6C98657A"/>
    <w:rsid w:val="6CA83A82"/>
    <w:rsid w:val="6CC124CD"/>
    <w:rsid w:val="6CD50A3B"/>
    <w:rsid w:val="6CD90644"/>
    <w:rsid w:val="6CF8127A"/>
    <w:rsid w:val="6DC92D19"/>
    <w:rsid w:val="6DD12218"/>
    <w:rsid w:val="6DEB63B1"/>
    <w:rsid w:val="6E9C5626"/>
    <w:rsid w:val="6EC66A6F"/>
    <w:rsid w:val="6F154104"/>
    <w:rsid w:val="6F594757"/>
    <w:rsid w:val="6F735A4B"/>
    <w:rsid w:val="6F964DC4"/>
    <w:rsid w:val="6FFD05C9"/>
    <w:rsid w:val="70C65BDA"/>
    <w:rsid w:val="70E55B4A"/>
    <w:rsid w:val="713848F7"/>
    <w:rsid w:val="71744D96"/>
    <w:rsid w:val="71D45B61"/>
    <w:rsid w:val="71FD697F"/>
    <w:rsid w:val="73313B7C"/>
    <w:rsid w:val="73520AF6"/>
    <w:rsid w:val="73557246"/>
    <w:rsid w:val="73F53E32"/>
    <w:rsid w:val="746D7178"/>
    <w:rsid w:val="74863982"/>
    <w:rsid w:val="753F3EF8"/>
    <w:rsid w:val="75A00DAA"/>
    <w:rsid w:val="75F671B2"/>
    <w:rsid w:val="760476FB"/>
    <w:rsid w:val="7610485C"/>
    <w:rsid w:val="762F6050"/>
    <w:rsid w:val="76A1151B"/>
    <w:rsid w:val="77602A5E"/>
    <w:rsid w:val="77C00A32"/>
    <w:rsid w:val="77C0470E"/>
    <w:rsid w:val="77CD7FEF"/>
    <w:rsid w:val="77D1560B"/>
    <w:rsid w:val="78494E0D"/>
    <w:rsid w:val="786E0128"/>
    <w:rsid w:val="78861A8E"/>
    <w:rsid w:val="78980AF4"/>
    <w:rsid w:val="78A06479"/>
    <w:rsid w:val="79121155"/>
    <w:rsid w:val="793E7404"/>
    <w:rsid w:val="79550F53"/>
    <w:rsid w:val="798858BA"/>
    <w:rsid w:val="79EA49A9"/>
    <w:rsid w:val="7A771F91"/>
    <w:rsid w:val="7A7A4B56"/>
    <w:rsid w:val="7A8B042F"/>
    <w:rsid w:val="7A8B18FA"/>
    <w:rsid w:val="7A94354D"/>
    <w:rsid w:val="7AF9643C"/>
    <w:rsid w:val="7B450A27"/>
    <w:rsid w:val="7B7C10BF"/>
    <w:rsid w:val="7BF31862"/>
    <w:rsid w:val="7C7A6FE9"/>
    <w:rsid w:val="7CD13CF5"/>
    <w:rsid w:val="7CDC195F"/>
    <w:rsid w:val="7D030AEF"/>
    <w:rsid w:val="7D324CA0"/>
    <w:rsid w:val="7D9D1AD6"/>
    <w:rsid w:val="7DBB53B8"/>
    <w:rsid w:val="7DD149E6"/>
    <w:rsid w:val="7DF45015"/>
    <w:rsid w:val="7E023415"/>
    <w:rsid w:val="7E4047AB"/>
    <w:rsid w:val="7E545E01"/>
    <w:rsid w:val="7E7F2B32"/>
    <w:rsid w:val="7E9F6105"/>
    <w:rsid w:val="7EA305DD"/>
    <w:rsid w:val="7EED0BF3"/>
    <w:rsid w:val="7EF15A26"/>
    <w:rsid w:val="7F3D6C86"/>
    <w:rsid w:val="7FE760DF"/>
    <w:rsid w:val="7FE936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1440" w:firstLineChars="200"/>
      <w:jc w:val="both"/>
    </w:pPr>
    <w:rPr>
      <w:rFonts w:ascii="Times New Roman" w:hAnsi="Times New Roman" w:eastAsia="仿宋" w:cs="Times New Roman"/>
      <w:kern w:val="2"/>
      <w:sz w:val="32"/>
      <w:szCs w:val="24"/>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黑体"/>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eastAsia="黑体" w:asciiTheme="majorHAnsi" w:hAnsiTheme="majorHAnsi" w:cstheme="majorBidi"/>
      <w:b/>
      <w:bCs/>
      <w:szCs w:val="32"/>
    </w:rPr>
  </w:style>
  <w:style w:type="paragraph" w:styleId="6">
    <w:name w:val="heading 3"/>
    <w:basedOn w:val="1"/>
    <w:next w:val="1"/>
    <w:link w:val="33"/>
    <w:unhideWhenUsed/>
    <w:qFormat/>
    <w:uiPriority w:val="9"/>
    <w:pPr>
      <w:keepNext/>
      <w:keepLines/>
      <w:spacing w:before="260" w:after="260" w:line="416" w:lineRule="auto"/>
      <w:outlineLvl w:val="2"/>
    </w:pPr>
    <w:rPr>
      <w:b/>
      <w:bCs/>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line="480" w:lineRule="auto"/>
      <w:ind w:left="420" w:leftChars="200" w:firstLine="100" w:firstLineChars="100"/>
    </w:pPr>
  </w:style>
  <w:style w:type="paragraph" w:styleId="3">
    <w:name w:val="Body Text"/>
    <w:basedOn w:val="1"/>
    <w:link w:val="26"/>
    <w:qFormat/>
    <w:uiPriority w:val="99"/>
    <w:pPr>
      <w:spacing w:beforeLines="30"/>
    </w:pPr>
    <w:rPr>
      <w:rFonts w:ascii="仿宋_GB2312" w:eastAsia="仿宋_GB2312"/>
      <w:kern w:val="0"/>
      <w:sz w:val="30"/>
    </w:rPr>
  </w:style>
  <w:style w:type="paragraph" w:styleId="7">
    <w:name w:val="Body Text Indent"/>
    <w:basedOn w:val="1"/>
    <w:semiHidden/>
    <w:unhideWhenUsed/>
    <w:qFormat/>
    <w:uiPriority w:val="99"/>
    <w:pPr>
      <w:spacing w:after="120"/>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Body Text First Indent 2"/>
    <w:basedOn w:val="7"/>
    <w:semiHidden/>
    <w:unhideWhenUsed/>
    <w:qFormat/>
    <w:uiPriority w:val="99"/>
    <w:pPr>
      <w:ind w:firstLine="420"/>
    </w:pPr>
  </w:style>
  <w:style w:type="character" w:styleId="18">
    <w:name w:val="Strong"/>
    <w:basedOn w:val="17"/>
    <w:qFormat/>
    <w:uiPriority w:val="99"/>
    <w:rPr>
      <w:b/>
    </w:rPr>
  </w:style>
  <w:style w:type="character" w:styleId="19">
    <w:name w:val="FollowedHyperlink"/>
    <w:basedOn w:val="17"/>
    <w:unhideWhenUsed/>
    <w:qFormat/>
    <w:uiPriority w:val="99"/>
    <w:rPr>
      <w:color w:val="2786E4"/>
      <w:u w:val="none"/>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3"/>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8">
    <w:name w:val="列出段落1"/>
    <w:basedOn w:val="1"/>
    <w:qFormat/>
    <w:uiPriority w:val="34"/>
    <w:pPr>
      <w:ind w:firstLine="420"/>
    </w:pPr>
  </w:style>
  <w:style w:type="character" w:customStyle="1" w:styleId="29">
    <w:name w:val="标题 1 Char"/>
    <w:basedOn w:val="17"/>
    <w:link w:val="4"/>
    <w:qFormat/>
    <w:uiPriority w:val="9"/>
    <w:rPr>
      <w:rFonts w:ascii="Times New Roman" w:hAnsi="Times New Roman" w:eastAsia="黑体"/>
      <w:b/>
      <w:bCs/>
      <w:kern w:val="44"/>
      <w:sz w:val="44"/>
      <w:szCs w:val="44"/>
    </w:rPr>
  </w:style>
  <w:style w:type="character" w:customStyle="1" w:styleId="30">
    <w:name w:val="标题 2 Char"/>
    <w:basedOn w:val="17"/>
    <w:link w:val="5"/>
    <w:qFormat/>
    <w:uiPriority w:val="9"/>
    <w:rPr>
      <w:rFonts w:eastAsia="黑体" w:asciiTheme="majorHAnsi" w:hAnsiTheme="majorHAnsi"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eastAsia="仿宋"/>
      <w:b/>
      <w:bCs/>
      <w:kern w:val="2"/>
      <w:sz w:val="32"/>
      <w:szCs w:val="32"/>
    </w:rPr>
  </w:style>
  <w:style w:type="paragraph" w:customStyle="1" w:styleId="34">
    <w:name w:val="列出段落111"/>
    <w:basedOn w:val="1"/>
    <w:qFormat/>
    <w:uiPriority w:val="34"/>
    <w:pPr>
      <w:ind w:firstLine="420"/>
    </w:pPr>
  </w:style>
  <w:style w:type="character" w:customStyle="1" w:styleId="35">
    <w:name w:val="rec-time"/>
    <w:basedOn w:val="17"/>
    <w:qFormat/>
    <w:uiPriority w:val="0"/>
  </w:style>
  <w:style w:type="character" w:customStyle="1" w:styleId="36">
    <w:name w:val="rec-status-desc"/>
    <w:basedOn w:val="17"/>
    <w:qFormat/>
    <w:uiPriority w:val="0"/>
  </w:style>
  <w:style w:type="character" w:customStyle="1" w:styleId="37">
    <w:name w:val="rec-volume"/>
    <w:basedOn w:val="17"/>
    <w:qFormat/>
    <w:uiPriority w:val="0"/>
  </w:style>
  <w:style w:type="paragraph" w:customStyle="1" w:styleId="38">
    <w:name w:val="列出段落11"/>
    <w:basedOn w:val="1"/>
    <w:qFormat/>
    <w:uiPriority w:val="34"/>
    <w:pPr>
      <w:ind w:firstLine="420"/>
    </w:pPr>
  </w:style>
  <w:style w:type="paragraph" w:styleId="3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chart" Target="charts/chart2.xml"/><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30005;&#22823;\2020&#24180;\2020&#20915;&#31639;\2020&#20915;&#31639;&#22270;&#244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30005;&#22823;\2020&#24180;\2020&#20915;&#31639;\2020&#20915;&#31639;&#22270;&#244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ln>
                  <a:noFill/>
                </a:ln>
                <a:solidFill>
                  <a:schemeClr val="tx1"/>
                </a:solidFill>
                <a:latin typeface="+mn-lt"/>
                <a:ea typeface="+mn-ea"/>
                <a:cs typeface="+mn-cs"/>
              </a:defRPr>
            </a:pPr>
            <a:r>
              <a:rPr sz="1600" b="1">
                <a:ln>
                  <a:noFill/>
                </a:ln>
                <a:solidFill>
                  <a:schemeClr val="tx1"/>
                </a:solidFill>
              </a:rPr>
              <a:t>图</a:t>
            </a:r>
            <a:r>
              <a:rPr lang="en-US" altLang="zh-CN" sz="1600" b="1">
                <a:ln>
                  <a:noFill/>
                </a:ln>
                <a:solidFill>
                  <a:schemeClr val="tx1"/>
                </a:solidFill>
              </a:rPr>
              <a:t>1</a:t>
            </a:r>
            <a:r>
              <a:rPr altLang="en-US" sz="1600" b="1">
                <a:ln>
                  <a:noFill/>
                </a:ln>
                <a:solidFill>
                  <a:schemeClr val="tx1"/>
                </a:solidFill>
              </a:rPr>
              <a:t>：收、支决算总计变动情况图</a:t>
            </a:r>
            <a:endParaRPr altLang="en-US" sz="1600" b="1">
              <a:ln>
                <a:noFill/>
              </a:ln>
              <a:solidFill>
                <a:schemeClr val="tx1"/>
              </a:solidFill>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w="12700" cmpd="sng">
              <a:solidFill>
                <a:schemeClr val="accent1"/>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ln>
                      <a:noFill/>
                    </a:ln>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[2020决算图形.xlsx]Sheet1!$A$3:$A$4</c:f>
              <c:strCache>
                <c:ptCount val="2"/>
                <c:pt idx="0">
                  <c:v>2019年</c:v>
                </c:pt>
                <c:pt idx="1">
                  <c:v>2020年</c:v>
                </c:pt>
              </c:strCache>
            </c:strRef>
          </c:cat>
          <c:val>
            <c:numRef>
              <c:f>[2020决算图形.xlsx]Sheet1!$B$3:$B$4</c:f>
              <c:numCache>
                <c:formatCode>General</c:formatCode>
                <c:ptCount val="2"/>
                <c:pt idx="0">
                  <c:v>0</c:v>
                </c:pt>
                <c:pt idx="1">
                  <c:v>409.03</c:v>
                </c:pt>
              </c:numCache>
            </c:numRef>
          </c:val>
        </c:ser>
        <c:dLbls>
          <c:showLegendKey val="0"/>
          <c:showVal val="1"/>
          <c:showCatName val="0"/>
          <c:showSerName val="0"/>
          <c:showPercent val="0"/>
          <c:showBubbleSize val="0"/>
        </c:dLbls>
        <c:gapWidth val="219"/>
        <c:overlap val="-27"/>
        <c:axId val="212011264"/>
        <c:axId val="226276480"/>
      </c:barChart>
      <c:catAx>
        <c:axId val="2120112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1" i="0" u="none" strike="noStrike" kern="1200" baseline="0">
                <a:ln>
                  <a:noFill/>
                </a:ln>
                <a:solidFill>
                  <a:schemeClr val="tx1"/>
                </a:solidFill>
                <a:latin typeface="+mn-lt"/>
                <a:ea typeface="+mn-ea"/>
                <a:cs typeface="+mn-cs"/>
              </a:defRPr>
            </a:pPr>
          </a:p>
        </c:txPr>
        <c:crossAx val="226276480"/>
        <c:crosses val="autoZero"/>
        <c:auto val="1"/>
        <c:lblAlgn val="ctr"/>
        <c:lblOffset val="100"/>
        <c:noMultiLvlLbl val="0"/>
      </c:catAx>
      <c:valAx>
        <c:axId val="2262764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1" i="0" u="none" strike="noStrike" kern="1200" baseline="0">
                <a:ln>
                  <a:noFill/>
                </a:ln>
                <a:solidFill>
                  <a:schemeClr val="tx1"/>
                </a:solidFill>
                <a:latin typeface="+mn-lt"/>
                <a:ea typeface="+mn-ea"/>
                <a:cs typeface="+mn-cs"/>
              </a:defRPr>
            </a:pPr>
          </a:p>
        </c:txPr>
        <c:crossAx val="212011264"/>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zh-CN" b="1">
          <a:ln>
            <a:noFill/>
          </a:ln>
          <a:solidFill>
            <a:schemeClr val="tx1"/>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solidFill>
                  <a:schemeClr val="tx1"/>
                </a:solidFill>
              </a:rPr>
              <a:t>图4：财政拨款收、支决算总计变动情况</a:t>
            </a:r>
            <a:endParaRPr b="1">
              <a:solidFill>
                <a:schemeClr val="tx1"/>
              </a:solidFill>
            </a:endParaRPr>
          </a:p>
        </c:rich>
      </c:tx>
      <c:layout/>
      <c:overlay val="0"/>
      <c:spPr>
        <a:noFill/>
        <a:ln>
          <a:noFill/>
        </a:ln>
        <a:effectLst/>
      </c:spPr>
    </c:title>
    <c:autoTitleDeleted val="0"/>
    <c:plotArea>
      <c:layout/>
      <c:barChart>
        <c:barDir val="col"/>
        <c:grouping val="stacked"/>
        <c:varyColors val="0"/>
        <c:ser>
          <c:idx val="0"/>
          <c:order val="0"/>
          <c:tx>
            <c:strRef>
              <c:f>[2020决算图形.xlsx]Sheet1!$I$2</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[2020决算图形.xlsx]Sheet1!$H$3:$H$4</c:f>
              <c:strCache>
                <c:ptCount val="2"/>
                <c:pt idx="0">
                  <c:v>2019年</c:v>
                </c:pt>
                <c:pt idx="1">
                  <c:v>2020年</c:v>
                </c:pt>
              </c:strCache>
            </c:strRef>
          </c:cat>
          <c:val>
            <c:numRef>
              <c:f>[2020决算图形.xlsx]Sheet1!$I$3:$I$4</c:f>
              <c:numCache>
                <c:formatCode>General</c:formatCode>
                <c:ptCount val="2"/>
                <c:pt idx="0">
                  <c:v>0</c:v>
                </c:pt>
                <c:pt idx="1">
                  <c:v>228.49</c:v>
                </c:pt>
              </c:numCache>
            </c:numRef>
          </c:val>
        </c:ser>
        <c:dLbls>
          <c:showLegendKey val="0"/>
          <c:showVal val="1"/>
          <c:showCatName val="0"/>
          <c:showSerName val="0"/>
          <c:showPercent val="0"/>
          <c:showBubbleSize val="0"/>
        </c:dLbls>
        <c:gapWidth val="150"/>
        <c:overlap val="100"/>
        <c:axId val="226293248"/>
        <c:axId val="226294784"/>
      </c:barChart>
      <c:catAx>
        <c:axId val="2262932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226294784"/>
        <c:crosses val="autoZero"/>
        <c:auto val="1"/>
        <c:lblAlgn val="ctr"/>
        <c:lblOffset val="100"/>
        <c:noMultiLvlLbl val="0"/>
      </c:catAx>
      <c:valAx>
        <c:axId val="2262947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226293248"/>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solidFill>
      <a:prstDash val="solid"/>
      <a:round/>
    </a:ln>
    <a:effectLst/>
  </c:spPr>
  <c:txPr>
    <a:bodyPr/>
    <a:lstStyle/>
    <a:p>
      <a:pPr>
        <a:defRPr lang="zh-CN" b="1"/>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7FA87-9E42-4C56-8EDA-93F5EFA3DAE7}">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7564</Words>
  <Characters>8156</Characters>
  <Lines>72</Lines>
  <Paragraphs>20</Paragraphs>
  <TotalTime>1</TotalTime>
  <ScaleCrop>false</ScaleCrop>
  <LinksUpToDate>false</LinksUpToDate>
  <CharactersWithSpaces>8204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2021-08-27T03:43:00Z</dcterms:created>
  <dc:creator>张彬茜</dc:creator>
  <cp:lastModifiedBy>时光正好</cp:lastModifiedBy>
  <cp:lastPrinted>2021-08-23T09:52:00Z</cp:lastPrinted>
  <dcterms:modified xsi:type="dcterms:W3CDTF">2022-07-16T01:52:04Z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BF0E59E0F60348DDAA1AB05224DE61DA</vt:lpwstr>
  </property>
</Properties>
</file>