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1FB4C">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78" w:name="_GoBack"/>
      <w:bookmarkEnd w:id="78"/>
      <w:bookmarkStart w:id="0" w:name="_Toc15377425"/>
      <w:bookmarkStart w:id="1" w:name="_Toc15396597"/>
      <w:bookmarkStart w:id="2" w:name="_Toc15377193"/>
      <w:bookmarkStart w:id="3" w:name="_Toc15396475"/>
      <w:bookmarkStart w:id="4" w:name="_Toc15378441"/>
      <w:bookmarkStart w:id="5" w:name="_Toc15306267"/>
    </w:p>
    <w:p w14:paraId="2E9738A8">
      <w:pPr>
        <w:spacing w:line="600" w:lineRule="exact"/>
        <w:jc w:val="center"/>
        <w:outlineLvl w:val="0"/>
        <w:rPr>
          <w:rFonts w:ascii="方正小标宋简体" w:hAnsi="宋体" w:eastAsia="方正小标宋简体"/>
          <w:color w:val="auto"/>
          <w:sz w:val="72"/>
          <w:szCs w:val="72"/>
          <w:highlight w:val="none"/>
        </w:rPr>
      </w:pPr>
    </w:p>
    <w:p w14:paraId="274E43F5">
      <w:pPr>
        <w:spacing w:line="600" w:lineRule="exact"/>
        <w:jc w:val="center"/>
        <w:outlineLvl w:val="0"/>
        <w:rPr>
          <w:rFonts w:ascii="方正小标宋简体" w:hAnsi="宋体" w:eastAsia="方正小标宋简体"/>
          <w:color w:val="auto"/>
          <w:sz w:val="72"/>
          <w:szCs w:val="72"/>
          <w:highlight w:val="none"/>
        </w:rPr>
      </w:pPr>
    </w:p>
    <w:p w14:paraId="6D352DE2">
      <w:pPr>
        <w:spacing w:line="600" w:lineRule="exact"/>
        <w:jc w:val="center"/>
        <w:outlineLvl w:val="0"/>
        <w:rPr>
          <w:rFonts w:ascii="方正小标宋简体" w:hAnsi="宋体" w:eastAsia="方正小标宋简体"/>
          <w:color w:val="auto"/>
          <w:sz w:val="72"/>
          <w:szCs w:val="72"/>
          <w:highlight w:val="none"/>
        </w:rPr>
      </w:pPr>
    </w:p>
    <w:p w14:paraId="53BA04AE">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bookmarkEnd w:id="5"/>
    <w:p w14:paraId="470049E2">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6" w:name="_Toc15396476"/>
      <w:bookmarkStart w:id="7" w:name="_Toc15378442"/>
      <w:bookmarkStart w:id="8" w:name="_Toc15377194"/>
      <w:bookmarkStart w:id="9" w:name="_Toc15396598"/>
      <w:bookmarkStart w:id="10" w:name="_Toc15377426"/>
      <w:bookmarkStart w:id="11" w:name="_Toc15306268"/>
      <w:r>
        <w:rPr>
          <w:rFonts w:hint="eastAsia" w:ascii="方正小标宋简体" w:hAnsi="宋体" w:eastAsia="方正小标宋简体"/>
          <w:color w:val="000000"/>
          <w:sz w:val="72"/>
          <w:szCs w:val="72"/>
        </w:rPr>
        <w:t>广安市人民政府驻成都办事处</w:t>
      </w: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r>
        <w:rPr>
          <w:rFonts w:hint="eastAsia" w:ascii="方正小标宋简体" w:hAnsi="方正小标宋简体" w:eastAsia="方正小标宋简体" w:cs="方正小标宋简体"/>
          <w:color w:val="auto"/>
          <w:sz w:val="72"/>
          <w:szCs w:val="72"/>
          <w:highlight w:val="none"/>
          <w:lang w:eastAsia="zh-CN"/>
        </w:rPr>
        <w:t>编制说明</w:t>
      </w:r>
    </w:p>
    <w:p w14:paraId="27E3570B">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0C522E1D">
      <w:pPr>
        <w:widowControl/>
        <w:jc w:val="center"/>
        <w:rPr>
          <w:rFonts w:ascii="黑体" w:hAnsi="黑体" w:eastAsia="黑体" w:cstheme="minorBidi"/>
          <w:color w:val="auto"/>
          <w:sz w:val="28"/>
          <w:szCs w:val="28"/>
          <w:highlight w:val="none"/>
        </w:rPr>
      </w:pPr>
    </w:p>
    <w:p w14:paraId="6C019BF5">
      <w:pPr>
        <w:pStyle w:val="10"/>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default"/>
          <w:color w:val="auto"/>
          <w:highlight w:val="none"/>
          <w:lang w:val="en" w:eastAsia="zh-CN"/>
        </w:rPr>
        <w:t xml:space="preserve"> </w:t>
      </w:r>
      <w:r>
        <w:rPr>
          <w:rFonts w:hint="eastAsia"/>
          <w:color w:val="auto"/>
          <w:highlight w:val="none"/>
          <w:lang w:val="en-US" w:eastAsia="zh-CN"/>
        </w:rPr>
        <w:t>8</w:t>
      </w:r>
      <w:r>
        <w:rPr>
          <w:rFonts w:hint="default"/>
          <w:color w:val="auto"/>
          <w:highlight w:val="none"/>
          <w:lang w:val="en" w:eastAsia="zh-CN"/>
        </w:rPr>
        <w:t xml:space="preserve"> </w:t>
      </w:r>
      <w:r>
        <w:rPr>
          <w:rFonts w:hint="eastAsia"/>
          <w:color w:val="auto"/>
          <w:highlight w:val="none"/>
        </w:rPr>
        <w:t>月</w:t>
      </w:r>
      <w:r>
        <w:rPr>
          <w:rFonts w:hint="default"/>
          <w:color w:val="auto"/>
          <w:highlight w:val="none"/>
          <w:lang w:val="en" w:eastAsia="zh-CN"/>
        </w:rPr>
        <w:t xml:space="preserve"> </w:t>
      </w:r>
      <w:r>
        <w:rPr>
          <w:rFonts w:hint="eastAsia"/>
          <w:color w:val="auto"/>
          <w:highlight w:val="none"/>
          <w:lang w:val="en-US" w:eastAsia="zh-CN"/>
        </w:rPr>
        <w:t>1</w:t>
      </w:r>
      <w:r>
        <w:rPr>
          <w:rFonts w:hint="default"/>
          <w:color w:val="auto"/>
          <w:highlight w:val="none"/>
          <w:lang w:val="en" w:eastAsia="zh-CN"/>
        </w:rPr>
        <w:t xml:space="preserve"> </w:t>
      </w:r>
      <w:r>
        <w:rPr>
          <w:rFonts w:hint="eastAsia"/>
          <w:color w:val="auto"/>
          <w:highlight w:val="none"/>
        </w:rPr>
        <w:t>日</w:t>
      </w:r>
    </w:p>
    <w:p w14:paraId="2CD4A4B2">
      <w:pPr>
        <w:rPr>
          <w:color w:val="auto"/>
          <w:highlight w:val="none"/>
        </w:rPr>
      </w:pPr>
    </w:p>
    <w:p w14:paraId="2E29714C">
      <w:pPr>
        <w:pStyle w:val="10"/>
        <w:adjustRightInd w:val="0"/>
        <w:snapToGrid w:val="0"/>
        <w:spacing w:before="0" w:line="440" w:lineRule="exact"/>
        <w:jc w:val="left"/>
        <w:rPr>
          <w:rFonts w:cstheme="minorBidi"/>
          <w:sz w:val="24"/>
          <w:szCs w:val="24"/>
        </w:rPr>
      </w:pPr>
      <w:bookmarkStart w:id="12" w:name="_Toc15377196"/>
      <w:bookmarkStart w:id="13" w:name="_Toc15396599"/>
      <w:r>
        <w:rPr>
          <w:rFonts w:hint="eastAsia"/>
          <w:sz w:val="24"/>
        </w:rPr>
        <w:t>第一部分</w:t>
      </w:r>
      <w:r>
        <w:rPr>
          <w:sz w:val="24"/>
        </w:rPr>
        <w:t xml:space="preserve"> </w:t>
      </w:r>
      <w:r>
        <w:rPr>
          <w:rFonts w:hint="eastAsia"/>
          <w:sz w:val="24"/>
        </w:rPr>
        <w:t>部门概况</w:t>
      </w:r>
      <w:r>
        <w:rPr>
          <w:sz w:val="24"/>
        </w:rPr>
        <w:tab/>
      </w:r>
      <w:r>
        <w:rPr>
          <w:rFonts w:hint="eastAsia"/>
          <w:sz w:val="24"/>
        </w:rPr>
        <w:t>4</w:t>
      </w:r>
    </w:p>
    <w:p w14:paraId="51BDEEC3">
      <w:pPr>
        <w:pStyle w:val="11"/>
        <w:adjustRightInd w:val="0"/>
        <w:snapToGrid w:val="0"/>
        <w:spacing w:line="440" w:lineRule="exact"/>
        <w:jc w:val="left"/>
        <w:rPr>
          <w:rFonts w:ascii="仿宋" w:hAnsi="仿宋" w:eastAsia="仿宋"/>
          <w:sz w:val="24"/>
        </w:rPr>
      </w:pPr>
      <w:r>
        <w:rPr>
          <w:rFonts w:hint="eastAsia"/>
          <w:sz w:val="24"/>
        </w:rPr>
        <w:t>一、基本职能及主要工作</w:t>
      </w:r>
      <w:r>
        <w:rPr>
          <w:sz w:val="24"/>
        </w:rPr>
        <w:tab/>
      </w:r>
      <w:r>
        <w:rPr>
          <w:rFonts w:hint="eastAsia"/>
          <w:sz w:val="24"/>
        </w:rPr>
        <w:t>4</w:t>
      </w:r>
    </w:p>
    <w:p w14:paraId="798B1462">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二、机构设置</w:t>
      </w:r>
      <w:r>
        <w:rPr>
          <w:sz w:val="24"/>
        </w:rPr>
        <w:tab/>
      </w:r>
      <w:r>
        <w:rPr>
          <w:rFonts w:hint="eastAsia"/>
          <w:sz w:val="24"/>
          <w:lang w:val="en-US" w:eastAsia="zh-CN"/>
        </w:rPr>
        <w:t>6</w:t>
      </w:r>
    </w:p>
    <w:p w14:paraId="07442398">
      <w:pPr>
        <w:pStyle w:val="10"/>
        <w:adjustRightInd w:val="0"/>
        <w:snapToGrid w:val="0"/>
        <w:spacing w:before="0" w:line="440" w:lineRule="exact"/>
        <w:jc w:val="left"/>
        <w:rPr>
          <w:rFonts w:hint="eastAsia" w:eastAsia="仿宋"/>
          <w:sz w:val="24"/>
          <w:szCs w:val="24"/>
          <w:lang w:val="en-US" w:eastAsia="zh-CN"/>
        </w:rPr>
      </w:pPr>
      <w:r>
        <w:rPr>
          <w:rFonts w:hint="eastAsia"/>
          <w:sz w:val="24"/>
        </w:rPr>
        <w:t>第二部分</w:t>
      </w:r>
      <w:r>
        <w:rPr>
          <w:rFonts w:hint="eastAsia"/>
          <w:sz w:val="24"/>
          <w:lang w:val="en-US" w:eastAsia="zh-CN"/>
        </w:rPr>
        <w:t xml:space="preserve"> </w:t>
      </w:r>
      <w:r>
        <w:rPr>
          <w:rFonts w:hint="eastAsia"/>
          <w:sz w:val="24"/>
        </w:rPr>
        <w:t>部门决算情况说明</w:t>
      </w:r>
      <w:r>
        <w:rPr>
          <w:sz w:val="24"/>
        </w:rPr>
        <w:tab/>
      </w:r>
      <w:r>
        <w:rPr>
          <w:rFonts w:hint="eastAsia"/>
          <w:sz w:val="24"/>
          <w:lang w:val="en-US" w:eastAsia="zh-CN"/>
        </w:rPr>
        <w:t>8</w:t>
      </w:r>
    </w:p>
    <w:p w14:paraId="4502FE94">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w:t>
      </w:r>
      <w:r>
        <w:rPr>
          <w:sz w:val="24"/>
        </w:rPr>
        <w:tab/>
      </w:r>
      <w:r>
        <w:rPr>
          <w:rFonts w:hint="eastAsia"/>
          <w:sz w:val="24"/>
          <w:lang w:val="en-US" w:eastAsia="zh-CN"/>
        </w:rPr>
        <w:t>8</w:t>
      </w:r>
    </w:p>
    <w:p w14:paraId="5C1134CA">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rPr>
          <w:sz w:val="24"/>
        </w:rPr>
        <w:tab/>
      </w:r>
      <w:r>
        <w:rPr>
          <w:rFonts w:hint="eastAsia"/>
          <w:sz w:val="24"/>
          <w:lang w:val="en-US" w:eastAsia="zh-CN"/>
        </w:rPr>
        <w:t>8</w:t>
      </w:r>
    </w:p>
    <w:p w14:paraId="64C6D3C5">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三、支出决算情况说明</w:t>
      </w:r>
      <w:r>
        <w:rPr>
          <w:sz w:val="24"/>
        </w:rPr>
        <w:tab/>
      </w:r>
      <w:r>
        <w:rPr>
          <w:rFonts w:hint="eastAsia"/>
          <w:sz w:val="24"/>
          <w:lang w:val="en-US" w:eastAsia="zh-CN"/>
        </w:rPr>
        <w:t>9</w:t>
      </w:r>
    </w:p>
    <w:p w14:paraId="01FAC092">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rPr>
          <w:sz w:val="24"/>
        </w:rPr>
        <w:tab/>
      </w:r>
      <w:r>
        <w:rPr>
          <w:rFonts w:hint="eastAsia"/>
          <w:sz w:val="24"/>
        </w:rPr>
        <w:t>1</w:t>
      </w:r>
      <w:r>
        <w:rPr>
          <w:rFonts w:hint="eastAsia"/>
          <w:sz w:val="24"/>
          <w:lang w:val="en-US" w:eastAsia="zh-CN"/>
        </w:rPr>
        <w:t>0</w:t>
      </w:r>
    </w:p>
    <w:p w14:paraId="69548624">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五、一般公共预算财政拨款支出决算情况说明</w:t>
      </w:r>
      <w:r>
        <w:rPr>
          <w:sz w:val="24"/>
        </w:rPr>
        <w:tab/>
      </w:r>
      <w:r>
        <w:rPr>
          <w:rFonts w:hint="eastAsia"/>
          <w:sz w:val="24"/>
        </w:rPr>
        <w:t>1</w:t>
      </w:r>
      <w:r>
        <w:rPr>
          <w:rFonts w:hint="eastAsia"/>
          <w:sz w:val="24"/>
          <w:lang w:val="en-US" w:eastAsia="zh-CN"/>
        </w:rPr>
        <w:t>0</w:t>
      </w:r>
    </w:p>
    <w:p w14:paraId="55F47DD6">
      <w:pPr>
        <w:pStyle w:val="11"/>
        <w:adjustRightInd w:val="0"/>
        <w:snapToGrid w:val="0"/>
        <w:spacing w:line="440" w:lineRule="exact"/>
        <w:jc w:val="left"/>
        <w:rPr>
          <w:rFonts w:hint="eastAsia"/>
          <w:sz w:val="24"/>
          <w:lang w:val="en-US" w:eastAsia="zh-CN"/>
        </w:rPr>
      </w:pPr>
      <w:r>
        <w:rPr>
          <w:rFonts w:hint="eastAsia"/>
          <w:sz w:val="24"/>
        </w:rPr>
        <w:t>六、一般公共预算财政拨款基本支出决算情况说明</w:t>
      </w:r>
      <w:r>
        <w:rPr>
          <w:sz w:val="24"/>
        </w:rPr>
        <w:tab/>
      </w:r>
      <w:r>
        <w:rPr>
          <w:rFonts w:hint="eastAsia"/>
          <w:sz w:val="24"/>
        </w:rPr>
        <w:t>1</w:t>
      </w:r>
      <w:r>
        <w:rPr>
          <w:rFonts w:hint="eastAsia"/>
          <w:sz w:val="24"/>
          <w:lang w:val="en-US" w:eastAsia="zh-CN"/>
        </w:rPr>
        <w:t>2</w:t>
      </w:r>
    </w:p>
    <w:p w14:paraId="27959B69">
      <w:pPr>
        <w:pStyle w:val="11"/>
        <w:adjustRightInd w:val="0"/>
        <w:snapToGrid w:val="0"/>
        <w:spacing w:line="440" w:lineRule="exact"/>
        <w:jc w:val="left"/>
        <w:rPr>
          <w:rFonts w:hint="eastAsia" w:eastAsia="宋体"/>
          <w:lang w:val="en-US" w:eastAsia="zh-CN"/>
        </w:rPr>
      </w:pPr>
      <w:r>
        <w:rPr>
          <w:rFonts w:hint="eastAsia"/>
          <w:lang w:val="en-US" w:eastAsia="zh-CN"/>
        </w:rPr>
        <w:t>七、</w:t>
      </w:r>
      <w:r>
        <w:rPr>
          <w:rFonts w:hint="eastAsia"/>
          <w:sz w:val="24"/>
        </w:rPr>
        <w:t>一般公共预算财政拨款</w:t>
      </w:r>
      <w:r>
        <w:rPr>
          <w:rFonts w:hint="eastAsia"/>
          <w:sz w:val="24"/>
          <w:lang w:eastAsia="zh-CN"/>
        </w:rPr>
        <w:t>项目</w:t>
      </w:r>
      <w:r>
        <w:rPr>
          <w:rFonts w:hint="eastAsia"/>
          <w:sz w:val="24"/>
        </w:rPr>
        <w:t>支出决算情况说明</w:t>
      </w:r>
      <w:r>
        <w:rPr>
          <w:sz w:val="24"/>
        </w:rPr>
        <w:tab/>
      </w:r>
      <w:r>
        <w:rPr>
          <w:rFonts w:hint="eastAsia"/>
          <w:sz w:val="24"/>
        </w:rPr>
        <w:t>1</w:t>
      </w:r>
      <w:r>
        <w:rPr>
          <w:rFonts w:hint="eastAsia"/>
          <w:sz w:val="24"/>
          <w:lang w:val="en-US" w:eastAsia="zh-CN"/>
        </w:rPr>
        <w:t>3</w:t>
      </w:r>
    </w:p>
    <w:p w14:paraId="44A309A0">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lang w:eastAsia="zh-CN"/>
        </w:rPr>
        <w:t>八</w:t>
      </w:r>
      <w:r>
        <w:rPr>
          <w:rFonts w:hint="eastAsia"/>
          <w:sz w:val="24"/>
        </w:rPr>
        <w:t>、</w:t>
      </w:r>
      <w:r>
        <w:rPr>
          <w:sz w:val="24"/>
        </w:rPr>
        <w:t>“</w:t>
      </w:r>
      <w:r>
        <w:rPr>
          <w:rFonts w:hint="eastAsia"/>
          <w:sz w:val="24"/>
        </w:rPr>
        <w:t>三公”经费财政拨款支出决算情况说明</w:t>
      </w:r>
      <w:r>
        <w:rPr>
          <w:sz w:val="24"/>
        </w:rPr>
        <w:tab/>
      </w:r>
      <w:r>
        <w:rPr>
          <w:rFonts w:hint="eastAsia"/>
          <w:sz w:val="24"/>
        </w:rPr>
        <w:t>1</w:t>
      </w:r>
      <w:r>
        <w:rPr>
          <w:rFonts w:hint="eastAsia"/>
          <w:sz w:val="24"/>
          <w:lang w:val="en-US" w:eastAsia="zh-CN"/>
        </w:rPr>
        <w:t>3</w:t>
      </w:r>
    </w:p>
    <w:p w14:paraId="4AD9DC27">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lang w:eastAsia="zh-CN"/>
        </w:rPr>
        <w:t>九</w:t>
      </w:r>
      <w:r>
        <w:rPr>
          <w:rFonts w:hint="eastAsia"/>
          <w:sz w:val="24"/>
        </w:rPr>
        <w:t>、政府性基金预算支出决算情况说明</w:t>
      </w:r>
      <w:r>
        <w:rPr>
          <w:sz w:val="24"/>
        </w:rPr>
        <w:tab/>
      </w:r>
      <w:r>
        <w:rPr>
          <w:rFonts w:hint="eastAsia"/>
          <w:sz w:val="24"/>
        </w:rPr>
        <w:t>1</w:t>
      </w:r>
      <w:r>
        <w:rPr>
          <w:rFonts w:hint="eastAsia"/>
          <w:sz w:val="24"/>
          <w:lang w:val="en-US" w:eastAsia="zh-CN"/>
        </w:rPr>
        <w:t>5</w:t>
      </w:r>
    </w:p>
    <w:p w14:paraId="27D74C42">
      <w:pPr>
        <w:pStyle w:val="11"/>
        <w:adjustRightInd w:val="0"/>
        <w:snapToGrid w:val="0"/>
        <w:spacing w:line="440" w:lineRule="exact"/>
        <w:ind w:leftChars="0"/>
        <w:jc w:val="left"/>
        <w:rPr>
          <w:rFonts w:hint="eastAsia"/>
          <w:sz w:val="24"/>
          <w:lang w:val="en-US" w:eastAsia="zh-CN"/>
        </w:rPr>
      </w:pPr>
      <w:r>
        <w:rPr>
          <w:rFonts w:hint="eastAsia" w:ascii="仿宋" w:hAnsi="仿宋" w:eastAsia="仿宋"/>
          <w:sz w:val="24"/>
          <w:lang w:eastAsia="zh-CN"/>
        </w:rPr>
        <w:t>十</w:t>
      </w:r>
      <w:r>
        <w:rPr>
          <w:rFonts w:hint="eastAsia" w:ascii="仿宋" w:hAnsi="仿宋" w:eastAsia="仿宋"/>
          <w:sz w:val="24"/>
        </w:rPr>
        <w:t>、</w:t>
      </w:r>
      <w:r>
        <w:rPr>
          <w:sz w:val="24"/>
        </w:rPr>
        <w:t>国</w:t>
      </w:r>
      <w:r>
        <w:rPr>
          <w:rFonts w:hint="eastAsia"/>
          <w:sz w:val="24"/>
        </w:rPr>
        <w:t>有资本经营预算支出决算情况说明</w:t>
      </w:r>
      <w:r>
        <w:rPr>
          <w:sz w:val="24"/>
        </w:rPr>
        <w:tab/>
      </w:r>
      <w:r>
        <w:rPr>
          <w:rFonts w:hint="eastAsia"/>
          <w:sz w:val="24"/>
        </w:rPr>
        <w:t>1</w:t>
      </w:r>
      <w:r>
        <w:rPr>
          <w:rFonts w:hint="eastAsia"/>
          <w:sz w:val="24"/>
          <w:lang w:val="en-US" w:eastAsia="zh-CN"/>
        </w:rPr>
        <w:t>5</w:t>
      </w:r>
    </w:p>
    <w:p w14:paraId="6F54CAE8">
      <w:pPr>
        <w:pStyle w:val="11"/>
        <w:adjustRightInd w:val="0"/>
        <w:snapToGrid w:val="0"/>
        <w:spacing w:line="440" w:lineRule="exact"/>
        <w:ind w:leftChars="0"/>
        <w:jc w:val="left"/>
        <w:rPr>
          <w:rFonts w:hint="eastAsia"/>
          <w:lang w:val="en-US" w:eastAsia="zh-CN"/>
        </w:rPr>
      </w:pPr>
      <w:r>
        <w:rPr>
          <w:rStyle w:val="16"/>
          <w:rFonts w:hint="eastAsia" w:ascii="仿宋" w:hAnsi="仿宋" w:eastAsia="仿宋"/>
          <w:color w:val="000000" w:themeColor="text1"/>
          <w:sz w:val="24"/>
          <w:u w:val="none"/>
          <w:lang w:eastAsia="zh-CN"/>
          <w14:textFill>
            <w14:solidFill>
              <w14:schemeClr w14:val="tx1"/>
            </w14:solidFill>
          </w14:textFill>
        </w:rPr>
        <w:t>十一</w:t>
      </w:r>
      <w:r>
        <w:rPr>
          <w:rStyle w:val="16"/>
          <w:rFonts w:hint="eastAsia" w:ascii="仿宋" w:hAnsi="仿宋" w:eastAsia="仿宋"/>
          <w:color w:val="000000" w:themeColor="text1"/>
          <w:sz w:val="24"/>
          <w:u w:val="none"/>
          <w14:textFill>
            <w14:solidFill>
              <w14:schemeClr w14:val="tx1"/>
            </w14:solidFill>
          </w14:textFill>
        </w:rPr>
        <w:t>、</w:t>
      </w:r>
      <w:r>
        <w:rPr>
          <w:rFonts w:hint="eastAsia"/>
          <w:sz w:val="24"/>
        </w:rPr>
        <w:t>其他重要事项的情况说明</w:t>
      </w:r>
      <w:r>
        <w:rPr>
          <w:sz w:val="24"/>
        </w:rPr>
        <w:tab/>
      </w:r>
      <w:r>
        <w:rPr>
          <w:rFonts w:hint="eastAsia"/>
          <w:sz w:val="24"/>
        </w:rPr>
        <w:t>1</w:t>
      </w:r>
      <w:r>
        <w:rPr>
          <w:rFonts w:hint="eastAsia"/>
          <w:sz w:val="24"/>
          <w:lang w:val="en-US" w:eastAsia="zh-CN"/>
        </w:rPr>
        <w:t>5</w:t>
      </w:r>
      <w:r>
        <w:rPr>
          <w:rFonts w:ascii="仿宋" w:hAnsi="仿宋" w:eastAsia="仿宋"/>
          <w:sz w:val="24"/>
        </w:rPr>
        <w:tab/>
      </w:r>
    </w:p>
    <w:p w14:paraId="56D36ACD">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sz w:val="24"/>
        </w:rPr>
        <w:tab/>
      </w:r>
      <w:r>
        <w:rPr>
          <w:rFonts w:hint="eastAsia"/>
          <w:sz w:val="24"/>
          <w:lang w:val="en-US" w:eastAsia="zh-CN"/>
        </w:rPr>
        <w:t>22</w:t>
      </w:r>
    </w:p>
    <w:p w14:paraId="26A2B331">
      <w:pPr>
        <w:pStyle w:val="10"/>
        <w:adjustRightInd w:val="0"/>
        <w:snapToGrid w:val="0"/>
        <w:spacing w:before="0" w:line="440" w:lineRule="exact"/>
        <w:jc w:val="left"/>
        <w:rPr>
          <w:rFonts w:hint="eastAsia"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sz w:val="24"/>
        </w:rPr>
        <w:tab/>
      </w:r>
      <w:r>
        <w:rPr>
          <w:rFonts w:hint="eastAsia"/>
          <w:sz w:val="24"/>
        </w:rPr>
        <w:t>2</w:t>
      </w:r>
      <w:r>
        <w:rPr>
          <w:rFonts w:hint="eastAsia"/>
          <w:sz w:val="24"/>
          <w:lang w:val="en-US" w:eastAsia="zh-CN"/>
        </w:rPr>
        <w:t>5</w:t>
      </w:r>
    </w:p>
    <w:p w14:paraId="32B6A8CA">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附件</w:t>
      </w:r>
      <w:r>
        <w:rPr>
          <w:sz w:val="24"/>
        </w:rPr>
        <w:t>1</w:t>
      </w:r>
      <w:r>
        <w:rPr>
          <w:sz w:val="24"/>
        </w:rPr>
        <w:tab/>
      </w:r>
      <w:r>
        <w:rPr>
          <w:rFonts w:hint="eastAsia"/>
          <w:sz w:val="24"/>
        </w:rPr>
        <w:t>2</w:t>
      </w:r>
      <w:r>
        <w:rPr>
          <w:rFonts w:hint="eastAsia"/>
          <w:sz w:val="24"/>
          <w:lang w:val="en-US" w:eastAsia="zh-CN"/>
        </w:rPr>
        <w:t>5</w:t>
      </w:r>
    </w:p>
    <w:p w14:paraId="4024250A">
      <w:pPr>
        <w:pStyle w:val="11"/>
        <w:adjustRightInd w:val="0"/>
        <w:snapToGrid w:val="0"/>
        <w:spacing w:line="440" w:lineRule="exact"/>
        <w:jc w:val="left"/>
        <w:rPr>
          <w:rFonts w:hint="eastAsia"/>
          <w:sz w:val="24"/>
          <w:lang w:val="en-US" w:eastAsia="zh-CN"/>
        </w:rPr>
      </w:pPr>
      <w:r>
        <w:rPr>
          <w:rFonts w:hint="eastAsia"/>
          <w:sz w:val="24"/>
        </w:rPr>
        <w:t>附件</w:t>
      </w:r>
      <w:r>
        <w:rPr>
          <w:sz w:val="24"/>
        </w:rPr>
        <w:t>2</w:t>
      </w:r>
      <w:r>
        <w:rPr>
          <w:sz w:val="24"/>
        </w:rPr>
        <w:tab/>
      </w:r>
      <w:r>
        <w:rPr>
          <w:rFonts w:hint="eastAsia"/>
          <w:sz w:val="24"/>
          <w:lang w:val="en-US" w:eastAsia="zh-CN"/>
        </w:rPr>
        <w:t>29</w:t>
      </w:r>
    </w:p>
    <w:p w14:paraId="46CE5624">
      <w:pPr>
        <w:pStyle w:val="11"/>
        <w:adjustRightInd w:val="0"/>
        <w:snapToGrid w:val="0"/>
        <w:spacing w:line="440" w:lineRule="exact"/>
        <w:jc w:val="left"/>
        <w:rPr>
          <w:rFonts w:hint="default" w:eastAsia="宋体"/>
          <w:lang w:val="en-US" w:eastAsia="zh-CN"/>
        </w:rPr>
      </w:pPr>
      <w:r>
        <w:rPr>
          <w:rFonts w:hint="eastAsia"/>
          <w:sz w:val="24"/>
        </w:rPr>
        <w:t>附件</w:t>
      </w:r>
      <w:r>
        <w:rPr>
          <w:rFonts w:hint="eastAsia"/>
          <w:sz w:val="24"/>
          <w:lang w:val="en-US" w:eastAsia="zh-CN"/>
        </w:rPr>
        <w:t>3</w:t>
      </w:r>
      <w:r>
        <w:rPr>
          <w:sz w:val="24"/>
        </w:rPr>
        <w:tab/>
      </w:r>
      <w:r>
        <w:rPr>
          <w:rFonts w:hint="eastAsia"/>
          <w:sz w:val="24"/>
          <w:lang w:val="en-US" w:eastAsia="zh-CN"/>
        </w:rPr>
        <w:t>36</w:t>
      </w:r>
    </w:p>
    <w:p w14:paraId="0E914C5D">
      <w:pPr>
        <w:pStyle w:val="10"/>
        <w:adjustRightInd w:val="0"/>
        <w:snapToGrid w:val="0"/>
        <w:spacing w:before="0" w:line="440" w:lineRule="exact"/>
        <w:jc w:val="left"/>
        <w:rPr>
          <w:rFonts w:hint="eastAsia"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sz w:val="24"/>
        </w:rPr>
        <w:tab/>
      </w:r>
      <w:r>
        <w:rPr>
          <w:rFonts w:hint="eastAsia"/>
          <w:sz w:val="24"/>
        </w:rPr>
        <w:t>3</w:t>
      </w:r>
      <w:r>
        <w:rPr>
          <w:rFonts w:hint="eastAsia"/>
          <w:sz w:val="24"/>
          <w:lang w:val="en-US" w:eastAsia="zh-CN"/>
        </w:rPr>
        <w:t>8</w:t>
      </w:r>
    </w:p>
    <w:p w14:paraId="5B740715">
      <w:pPr>
        <w:pStyle w:val="11"/>
        <w:adjustRightInd w:val="0"/>
        <w:snapToGrid w:val="0"/>
        <w:spacing w:line="440" w:lineRule="exact"/>
        <w:jc w:val="left"/>
        <w:rPr>
          <w:rFonts w:hint="eastAsia" w:ascii="仿宋" w:hAnsi="仿宋" w:eastAsia="宋体" w:cstheme="minorBidi"/>
          <w:sz w:val="24"/>
          <w:lang w:val="en-US" w:eastAsia="zh-CN"/>
        </w:rPr>
      </w:pPr>
      <w:r>
        <w:rPr>
          <w:rFonts w:hint="eastAsia" w:ascii="仿宋" w:hAnsi="仿宋" w:eastAsia="仿宋"/>
          <w:sz w:val="24"/>
        </w:rPr>
        <w:t>一、</w:t>
      </w:r>
      <w:r>
        <w:rPr>
          <w:rFonts w:hint="eastAsia"/>
          <w:sz w:val="24"/>
        </w:rPr>
        <w:t>收入支出决算总表</w:t>
      </w:r>
      <w:r>
        <w:rPr>
          <w:sz w:val="24"/>
        </w:rPr>
        <w:tab/>
      </w:r>
      <w:r>
        <w:rPr>
          <w:rFonts w:hint="eastAsia"/>
          <w:sz w:val="24"/>
        </w:rPr>
        <w:t>3</w:t>
      </w:r>
      <w:r>
        <w:rPr>
          <w:rFonts w:hint="eastAsia"/>
          <w:sz w:val="24"/>
          <w:lang w:val="en-US" w:eastAsia="zh-CN"/>
        </w:rPr>
        <w:t>8</w:t>
      </w:r>
    </w:p>
    <w:p w14:paraId="290457BE">
      <w:pPr>
        <w:pStyle w:val="11"/>
        <w:adjustRightInd w:val="0"/>
        <w:snapToGrid w:val="0"/>
        <w:spacing w:line="440" w:lineRule="exact"/>
        <w:jc w:val="left"/>
        <w:rPr>
          <w:rFonts w:hint="eastAsia" w:ascii="仿宋" w:hAnsi="仿宋" w:eastAsia="宋体" w:cstheme="minorBidi"/>
          <w:sz w:val="24"/>
          <w:lang w:val="en-US" w:eastAsia="zh-CN"/>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r>
        <w:rPr>
          <w:sz w:val="24"/>
        </w:rPr>
        <w:tab/>
      </w:r>
      <w:r>
        <w:rPr>
          <w:rFonts w:hint="eastAsia"/>
          <w:sz w:val="24"/>
        </w:rPr>
        <w:t>3</w:t>
      </w:r>
      <w:r>
        <w:rPr>
          <w:rFonts w:hint="eastAsia"/>
          <w:sz w:val="24"/>
          <w:lang w:val="en-US" w:eastAsia="zh-CN"/>
        </w:rPr>
        <w:t>8</w:t>
      </w:r>
    </w:p>
    <w:p w14:paraId="1F342F1E">
      <w:pPr>
        <w:pStyle w:val="11"/>
        <w:adjustRightInd w:val="0"/>
        <w:snapToGrid w:val="0"/>
        <w:spacing w:line="440" w:lineRule="exact"/>
        <w:jc w:val="left"/>
        <w:rPr>
          <w:rFonts w:hint="eastAsia" w:ascii="仿宋" w:hAnsi="仿宋" w:eastAsia="宋体" w:cstheme="minorBidi"/>
          <w:sz w:val="24"/>
          <w:lang w:val="en-US" w:eastAsia="zh-CN"/>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r>
        <w:rPr>
          <w:sz w:val="24"/>
        </w:rPr>
        <w:tab/>
      </w:r>
      <w:r>
        <w:rPr>
          <w:rFonts w:hint="eastAsia"/>
          <w:sz w:val="24"/>
        </w:rPr>
        <w:t>3</w:t>
      </w:r>
      <w:r>
        <w:rPr>
          <w:rFonts w:hint="eastAsia"/>
          <w:sz w:val="24"/>
          <w:lang w:val="en-US" w:eastAsia="zh-CN"/>
        </w:rPr>
        <w:t>8</w:t>
      </w:r>
    </w:p>
    <w:p w14:paraId="02E555F7">
      <w:pPr>
        <w:pStyle w:val="11"/>
        <w:adjustRightInd w:val="0"/>
        <w:snapToGrid w:val="0"/>
        <w:spacing w:line="440" w:lineRule="exact"/>
        <w:jc w:val="left"/>
        <w:rPr>
          <w:rFonts w:hint="eastAsia" w:ascii="仿宋" w:hAnsi="仿宋" w:eastAsia="宋体" w:cstheme="minorBidi"/>
          <w:sz w:val="24"/>
          <w:lang w:val="en-US" w:eastAsia="zh-CN"/>
        </w:rPr>
      </w:pPr>
      <w:r>
        <w:rPr>
          <w:rFonts w:hint="eastAsia" w:ascii="仿宋" w:hAnsi="仿宋" w:eastAsia="仿宋"/>
          <w:sz w:val="24"/>
        </w:rPr>
        <w:t>四、</w:t>
      </w:r>
      <w:r>
        <w:rPr>
          <w:rFonts w:hint="eastAsia"/>
          <w:sz w:val="24"/>
        </w:rPr>
        <w:t>财政拨款收入支出决算总表</w:t>
      </w:r>
      <w:r>
        <w:rPr>
          <w:sz w:val="24"/>
        </w:rPr>
        <w:tab/>
      </w:r>
      <w:r>
        <w:rPr>
          <w:rFonts w:hint="eastAsia"/>
          <w:sz w:val="24"/>
        </w:rPr>
        <w:t>3</w:t>
      </w:r>
      <w:r>
        <w:rPr>
          <w:rFonts w:hint="eastAsia"/>
          <w:sz w:val="24"/>
          <w:lang w:val="en-US" w:eastAsia="zh-CN"/>
        </w:rPr>
        <w:t>8</w:t>
      </w:r>
    </w:p>
    <w:p w14:paraId="39A31C58">
      <w:pPr>
        <w:pStyle w:val="11"/>
        <w:adjustRightInd w:val="0"/>
        <w:snapToGrid w:val="0"/>
        <w:spacing w:line="440" w:lineRule="exact"/>
        <w:jc w:val="left"/>
        <w:rPr>
          <w:rFonts w:hint="eastAsia" w:ascii="仿宋" w:hAnsi="仿宋" w:eastAsia="宋体"/>
          <w:sz w:val="24"/>
          <w:lang w:val="en-US" w:eastAsia="zh-CN"/>
        </w:rPr>
      </w:pPr>
      <w:r>
        <w:rPr>
          <w:rFonts w:hint="eastAsia" w:ascii="仿宋" w:hAnsi="仿宋" w:eastAsia="仿宋"/>
          <w:sz w:val="24"/>
        </w:rPr>
        <w:t>五、</w:t>
      </w:r>
      <w:r>
        <w:rPr>
          <w:rFonts w:hint="eastAsia"/>
          <w:sz w:val="24"/>
        </w:rPr>
        <w:t>财政拨款支出决算明细表</w:t>
      </w:r>
      <w:r>
        <w:rPr>
          <w:sz w:val="24"/>
        </w:rPr>
        <w:tab/>
      </w:r>
      <w:r>
        <w:rPr>
          <w:rFonts w:hint="eastAsia"/>
          <w:sz w:val="24"/>
        </w:rPr>
        <w:t>3</w:t>
      </w:r>
      <w:r>
        <w:rPr>
          <w:rFonts w:hint="eastAsia"/>
          <w:sz w:val="24"/>
          <w:lang w:val="en-US" w:eastAsia="zh-CN"/>
        </w:rPr>
        <w:t>8</w:t>
      </w:r>
    </w:p>
    <w:p w14:paraId="6A1002FF">
      <w:pPr>
        <w:pStyle w:val="11"/>
        <w:adjustRightInd w:val="0"/>
        <w:snapToGrid w:val="0"/>
        <w:spacing w:line="440" w:lineRule="exact"/>
        <w:jc w:val="left"/>
        <w:rPr>
          <w:rFonts w:hint="eastAsia" w:ascii="仿宋" w:hAnsi="仿宋" w:eastAsia="宋体" w:cstheme="minorBidi"/>
          <w:sz w:val="24"/>
          <w:lang w:val="en-US" w:eastAsia="zh-CN"/>
        </w:rPr>
      </w:pPr>
      <w:r>
        <w:rPr>
          <w:rFonts w:hint="eastAsia" w:ascii="仿宋" w:hAnsi="仿宋" w:eastAsia="仿宋"/>
          <w:sz w:val="24"/>
        </w:rPr>
        <w:t>六、</w:t>
      </w:r>
      <w:r>
        <w:rPr>
          <w:rFonts w:hint="eastAsia"/>
          <w:sz w:val="24"/>
        </w:rPr>
        <w:t>一般公共预算财政拨款支出决算表</w:t>
      </w:r>
      <w:r>
        <w:rPr>
          <w:sz w:val="24"/>
        </w:rPr>
        <w:tab/>
      </w:r>
      <w:r>
        <w:rPr>
          <w:rFonts w:hint="eastAsia"/>
          <w:sz w:val="24"/>
        </w:rPr>
        <w:t>3</w:t>
      </w:r>
      <w:r>
        <w:rPr>
          <w:rFonts w:hint="eastAsia"/>
          <w:sz w:val="24"/>
          <w:lang w:val="en-US" w:eastAsia="zh-CN"/>
        </w:rPr>
        <w:t>8</w:t>
      </w:r>
    </w:p>
    <w:p w14:paraId="2FDFEE5A">
      <w:pPr>
        <w:pStyle w:val="11"/>
        <w:adjustRightInd w:val="0"/>
        <w:snapToGrid w:val="0"/>
        <w:spacing w:line="440" w:lineRule="exact"/>
        <w:jc w:val="left"/>
        <w:rPr>
          <w:rFonts w:hint="eastAsia" w:ascii="仿宋" w:hAnsi="仿宋" w:eastAsia="宋体" w:cstheme="minorBidi"/>
          <w:sz w:val="24"/>
          <w:lang w:val="en-US" w:eastAsia="zh-CN"/>
        </w:rPr>
      </w:pPr>
      <w:r>
        <w:rPr>
          <w:rFonts w:hint="eastAsia" w:ascii="仿宋" w:hAnsi="仿宋" w:eastAsia="仿宋"/>
          <w:sz w:val="24"/>
        </w:rPr>
        <w:t>七、</w:t>
      </w:r>
      <w:r>
        <w:rPr>
          <w:rFonts w:hint="eastAsia"/>
          <w:sz w:val="24"/>
        </w:rPr>
        <w:t>一般公共预算财政拨款支出决算明细表</w:t>
      </w:r>
      <w:r>
        <w:rPr>
          <w:sz w:val="24"/>
        </w:rPr>
        <w:tab/>
      </w:r>
      <w:r>
        <w:rPr>
          <w:rFonts w:hint="eastAsia"/>
          <w:sz w:val="24"/>
        </w:rPr>
        <w:t>3</w:t>
      </w:r>
      <w:r>
        <w:rPr>
          <w:rFonts w:hint="eastAsia"/>
          <w:sz w:val="24"/>
          <w:lang w:val="en-US" w:eastAsia="zh-CN"/>
        </w:rPr>
        <w:t>8</w:t>
      </w:r>
    </w:p>
    <w:p w14:paraId="725A4371">
      <w:pPr>
        <w:pStyle w:val="11"/>
        <w:adjustRightInd w:val="0"/>
        <w:snapToGrid w:val="0"/>
        <w:spacing w:line="440" w:lineRule="exact"/>
        <w:jc w:val="left"/>
        <w:rPr>
          <w:rFonts w:hint="eastAsia" w:ascii="仿宋" w:hAnsi="仿宋" w:eastAsia="宋体" w:cstheme="minorBidi"/>
          <w:sz w:val="24"/>
          <w:lang w:val="en-US" w:eastAsia="zh-CN"/>
        </w:rPr>
      </w:pPr>
      <w:r>
        <w:rPr>
          <w:rFonts w:hint="eastAsia" w:ascii="仿宋" w:hAnsi="仿宋" w:eastAsia="仿宋"/>
          <w:sz w:val="24"/>
        </w:rPr>
        <w:t>八、</w:t>
      </w:r>
      <w:r>
        <w:rPr>
          <w:rFonts w:hint="eastAsia"/>
          <w:sz w:val="24"/>
        </w:rPr>
        <w:t>一般公共预算财政拨款基本支出决算表</w:t>
      </w:r>
      <w:r>
        <w:rPr>
          <w:sz w:val="24"/>
        </w:rPr>
        <w:tab/>
      </w:r>
      <w:r>
        <w:rPr>
          <w:rFonts w:hint="eastAsia"/>
          <w:sz w:val="24"/>
        </w:rPr>
        <w:t>3</w:t>
      </w:r>
      <w:r>
        <w:rPr>
          <w:rFonts w:hint="eastAsia"/>
          <w:sz w:val="24"/>
          <w:lang w:val="en-US" w:eastAsia="zh-CN"/>
        </w:rPr>
        <w:t>8</w:t>
      </w:r>
    </w:p>
    <w:p w14:paraId="0B7EF29C">
      <w:pPr>
        <w:pStyle w:val="11"/>
        <w:adjustRightInd w:val="0"/>
        <w:snapToGrid w:val="0"/>
        <w:spacing w:line="440" w:lineRule="exact"/>
        <w:jc w:val="left"/>
        <w:rPr>
          <w:rFonts w:hint="eastAsia" w:ascii="仿宋" w:hAnsi="仿宋" w:eastAsia="宋体" w:cstheme="minorBidi"/>
          <w:sz w:val="24"/>
          <w:lang w:val="en-US" w:eastAsia="zh-CN"/>
        </w:rPr>
      </w:pPr>
      <w:r>
        <w:rPr>
          <w:rFonts w:hint="eastAsia" w:ascii="仿宋" w:hAnsi="仿宋" w:eastAsia="仿宋"/>
          <w:sz w:val="24"/>
        </w:rPr>
        <w:t>九、</w:t>
      </w:r>
      <w:r>
        <w:rPr>
          <w:rFonts w:hint="eastAsia"/>
          <w:sz w:val="24"/>
        </w:rPr>
        <w:t>一般公共预算财政拨款项目支出决算表</w:t>
      </w:r>
      <w:r>
        <w:rPr>
          <w:sz w:val="24"/>
        </w:rPr>
        <w:tab/>
      </w:r>
      <w:r>
        <w:rPr>
          <w:rFonts w:hint="eastAsia"/>
          <w:sz w:val="24"/>
        </w:rPr>
        <w:t>3</w:t>
      </w:r>
      <w:r>
        <w:rPr>
          <w:rFonts w:hint="eastAsia"/>
          <w:sz w:val="24"/>
          <w:lang w:val="en-US" w:eastAsia="zh-CN"/>
        </w:rPr>
        <w:t>8</w:t>
      </w:r>
    </w:p>
    <w:p w14:paraId="712F11A9">
      <w:pPr>
        <w:pStyle w:val="11"/>
        <w:adjustRightInd w:val="0"/>
        <w:snapToGrid w:val="0"/>
        <w:spacing w:line="440" w:lineRule="exact"/>
        <w:jc w:val="left"/>
        <w:rPr>
          <w:rFonts w:hint="eastAsia" w:ascii="仿宋" w:hAnsi="仿宋" w:eastAsia="宋体" w:cstheme="minorBidi"/>
          <w:sz w:val="24"/>
          <w:lang w:val="en-US" w:eastAsia="zh-CN"/>
        </w:rPr>
      </w:pPr>
      <w:r>
        <w:rPr>
          <w:rFonts w:hint="eastAsia" w:ascii="仿宋" w:hAnsi="仿宋" w:eastAsia="仿宋"/>
          <w:sz w:val="24"/>
        </w:rPr>
        <w:t>十、</w:t>
      </w:r>
      <w:r>
        <w:rPr>
          <w:rFonts w:hint="eastAsia"/>
          <w:sz w:val="24"/>
        </w:rPr>
        <w:t>一般公共预算财政拨款“三公”经费支出决算表</w:t>
      </w:r>
      <w:r>
        <w:rPr>
          <w:sz w:val="24"/>
        </w:rPr>
        <w:tab/>
      </w:r>
      <w:r>
        <w:rPr>
          <w:rFonts w:hint="eastAsia"/>
          <w:sz w:val="24"/>
        </w:rPr>
        <w:t>3</w:t>
      </w:r>
      <w:r>
        <w:rPr>
          <w:rFonts w:hint="eastAsia"/>
          <w:sz w:val="24"/>
          <w:lang w:val="en-US" w:eastAsia="zh-CN"/>
        </w:rPr>
        <w:t>8</w:t>
      </w:r>
    </w:p>
    <w:p w14:paraId="26340FEE">
      <w:pPr>
        <w:pStyle w:val="11"/>
        <w:adjustRightInd w:val="0"/>
        <w:snapToGrid w:val="0"/>
        <w:spacing w:line="440" w:lineRule="exact"/>
        <w:jc w:val="left"/>
        <w:rPr>
          <w:rFonts w:hint="eastAsia" w:ascii="仿宋" w:hAnsi="仿宋" w:eastAsia="宋体" w:cstheme="minorBidi"/>
          <w:sz w:val="24"/>
          <w:lang w:val="en-US" w:eastAsia="zh-CN"/>
        </w:rPr>
      </w:pPr>
      <w:r>
        <w:rPr>
          <w:rFonts w:hint="eastAsia" w:ascii="仿宋" w:hAnsi="仿宋" w:eastAsia="仿宋"/>
          <w:sz w:val="24"/>
        </w:rPr>
        <w:t>十一、</w:t>
      </w:r>
      <w:r>
        <w:rPr>
          <w:rFonts w:hint="eastAsia"/>
          <w:sz w:val="24"/>
        </w:rPr>
        <w:t>政府性基金预算财政拨款收入支出决算表</w:t>
      </w:r>
      <w:r>
        <w:rPr>
          <w:sz w:val="24"/>
        </w:rPr>
        <w:tab/>
      </w:r>
      <w:r>
        <w:rPr>
          <w:rFonts w:hint="eastAsia"/>
          <w:sz w:val="24"/>
        </w:rPr>
        <w:t>3</w:t>
      </w:r>
      <w:r>
        <w:rPr>
          <w:rFonts w:hint="eastAsia"/>
          <w:sz w:val="24"/>
          <w:lang w:val="en-US" w:eastAsia="zh-CN"/>
        </w:rPr>
        <w:t>8</w:t>
      </w:r>
    </w:p>
    <w:p w14:paraId="3B61C90C">
      <w:pPr>
        <w:pStyle w:val="11"/>
        <w:adjustRightInd w:val="0"/>
        <w:snapToGrid w:val="0"/>
        <w:spacing w:line="440" w:lineRule="exact"/>
        <w:jc w:val="left"/>
        <w:rPr>
          <w:rFonts w:hint="eastAsia" w:ascii="仿宋" w:hAnsi="仿宋" w:eastAsia="宋体" w:cstheme="minorBidi"/>
          <w:sz w:val="24"/>
          <w:lang w:val="en-US" w:eastAsia="zh-CN"/>
        </w:rPr>
      </w:pPr>
      <w:r>
        <w:rPr>
          <w:rFonts w:hint="eastAsia" w:ascii="仿宋" w:hAnsi="仿宋" w:eastAsia="仿宋"/>
          <w:sz w:val="24"/>
        </w:rPr>
        <w:t>十二、</w:t>
      </w:r>
      <w:r>
        <w:rPr>
          <w:rFonts w:hint="eastAsia"/>
          <w:sz w:val="24"/>
        </w:rPr>
        <w:t>政府性基金预算财政拨款“三公”经费支出决算表</w:t>
      </w:r>
      <w:r>
        <w:rPr>
          <w:sz w:val="24"/>
        </w:rPr>
        <w:tab/>
      </w:r>
      <w:r>
        <w:rPr>
          <w:rFonts w:hint="eastAsia"/>
          <w:sz w:val="24"/>
        </w:rPr>
        <w:t>3</w:t>
      </w:r>
      <w:r>
        <w:rPr>
          <w:rFonts w:hint="eastAsia"/>
          <w:sz w:val="24"/>
          <w:lang w:val="en-US" w:eastAsia="zh-CN"/>
        </w:rPr>
        <w:t>8</w:t>
      </w:r>
    </w:p>
    <w:p w14:paraId="05B1DCE7">
      <w:pPr>
        <w:pStyle w:val="11"/>
        <w:adjustRightInd w:val="0"/>
        <w:snapToGrid w:val="0"/>
        <w:spacing w:line="440" w:lineRule="exact"/>
        <w:jc w:val="left"/>
        <w:rPr>
          <w:rFonts w:hint="eastAsia" w:ascii="仿宋" w:hAnsi="仿宋" w:eastAsia="宋体"/>
          <w:sz w:val="24"/>
          <w:lang w:val="en-US" w:eastAsia="zh-CN"/>
        </w:rPr>
      </w:pPr>
      <w:r>
        <w:rPr>
          <w:rFonts w:hint="eastAsia" w:ascii="仿宋" w:hAnsi="仿宋" w:eastAsia="仿宋"/>
          <w:sz w:val="24"/>
        </w:rPr>
        <w:t>十三、</w:t>
      </w:r>
      <w:r>
        <w:rPr>
          <w:rFonts w:hint="eastAsia"/>
          <w:sz w:val="24"/>
        </w:rPr>
        <w:t>国有资本经营预算财政拨款收入支出决算表</w:t>
      </w:r>
      <w:r>
        <w:rPr>
          <w:sz w:val="24"/>
        </w:rPr>
        <w:tab/>
      </w:r>
      <w:r>
        <w:rPr>
          <w:rFonts w:hint="eastAsia"/>
          <w:sz w:val="24"/>
        </w:rPr>
        <w:t>3</w:t>
      </w:r>
      <w:r>
        <w:rPr>
          <w:rFonts w:hint="eastAsia"/>
          <w:sz w:val="24"/>
          <w:lang w:val="en-US" w:eastAsia="zh-CN"/>
        </w:rPr>
        <w:t>8</w:t>
      </w:r>
    </w:p>
    <w:p w14:paraId="4FA99A2C">
      <w:pPr>
        <w:pStyle w:val="11"/>
        <w:adjustRightInd w:val="0"/>
        <w:snapToGrid w:val="0"/>
        <w:spacing w:line="440" w:lineRule="exact"/>
        <w:jc w:val="left"/>
        <w:rPr>
          <w:rFonts w:hint="eastAsia" w:ascii="仿宋" w:hAnsi="仿宋" w:eastAsia="宋体" w:cstheme="minorBidi"/>
          <w:sz w:val="24"/>
          <w:lang w:val="en-US" w:eastAsia="zh-CN"/>
        </w:rPr>
      </w:pPr>
      <w:r>
        <w:rPr>
          <w:rFonts w:hint="eastAsia" w:ascii="仿宋" w:hAnsi="仿宋" w:eastAsia="仿宋"/>
          <w:sz w:val="24"/>
        </w:rPr>
        <w:t>十四、</w:t>
      </w:r>
      <w:r>
        <w:rPr>
          <w:rFonts w:hint="eastAsia"/>
          <w:sz w:val="24"/>
        </w:rPr>
        <w:t>国有资本经营预算财政拨款支出决算表</w:t>
      </w:r>
      <w:r>
        <w:rPr>
          <w:sz w:val="24"/>
        </w:rPr>
        <w:tab/>
      </w:r>
      <w:r>
        <w:rPr>
          <w:rFonts w:hint="eastAsia"/>
          <w:sz w:val="24"/>
        </w:rPr>
        <w:t>3</w:t>
      </w:r>
      <w:r>
        <w:rPr>
          <w:rFonts w:hint="eastAsia"/>
          <w:sz w:val="24"/>
          <w:lang w:val="en-US" w:eastAsia="zh-CN"/>
        </w:rPr>
        <w:t>8</w:t>
      </w:r>
    </w:p>
    <w:p w14:paraId="341F5DE9">
      <w:pPr>
        <w:widowControl/>
        <w:spacing w:line="440" w:lineRule="exact"/>
        <w:jc w:val="left"/>
        <w:rPr>
          <w:rFonts w:ascii="仿宋" w:hAnsi="仿宋" w:eastAsia="仿宋"/>
          <w:bCs/>
          <w:color w:val="auto"/>
          <w:kern w:val="44"/>
          <w:sz w:val="24"/>
          <w:highlight w:val="none"/>
        </w:rPr>
      </w:pPr>
      <w:r>
        <w:rPr>
          <w:rFonts w:ascii="仿宋" w:hAnsi="仿宋" w:eastAsia="仿宋"/>
          <w:b/>
          <w:color w:val="auto"/>
          <w:sz w:val="24"/>
          <w:highlight w:val="none"/>
        </w:rPr>
        <w:br w:type="page"/>
      </w:r>
    </w:p>
    <w:p w14:paraId="0DA0AC6F">
      <w:pPr>
        <w:pStyle w:val="3"/>
        <w:jc w:val="center"/>
        <w:rPr>
          <w:rStyle w:val="25"/>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25"/>
          <w:rFonts w:hint="eastAsia" w:ascii="黑体" w:hAnsi="黑体" w:eastAsia="黑体"/>
          <w:b w:val="0"/>
          <w:bCs w:val="0"/>
          <w:color w:val="auto"/>
          <w:highlight w:val="none"/>
        </w:rPr>
        <w:t>部门概况</w:t>
      </w:r>
      <w:bookmarkEnd w:id="12"/>
      <w:bookmarkEnd w:id="13"/>
    </w:p>
    <w:p w14:paraId="3C560631">
      <w:pPr>
        <w:widowControl/>
        <w:jc w:val="left"/>
        <w:rPr>
          <w:rFonts w:ascii="黑体" w:eastAsia="黑体"/>
          <w:color w:val="auto"/>
          <w:sz w:val="32"/>
          <w:szCs w:val="32"/>
          <w:highlight w:val="none"/>
        </w:rPr>
      </w:pPr>
    </w:p>
    <w:p w14:paraId="7902661E">
      <w:pPr>
        <w:pStyle w:val="4"/>
        <w:numPr>
          <w:ilvl w:val="0"/>
          <w:numId w:val="1"/>
        </w:numPr>
      </w:pPr>
      <w:bookmarkStart w:id="14" w:name="_Toc15377197"/>
      <w:bookmarkStart w:id="15" w:name="_Toc15396600"/>
      <w:r>
        <w:rPr>
          <w:rFonts w:hint="eastAsia" w:ascii="黑体" w:hAnsi="黑体" w:eastAsia="黑体"/>
          <w:b w:val="0"/>
          <w:color w:val="auto"/>
          <w:highlight w:val="none"/>
        </w:rPr>
        <w:t>基</w:t>
      </w:r>
      <w:r>
        <w:rPr>
          <w:rStyle w:val="26"/>
          <w:rFonts w:hint="eastAsia" w:ascii="黑体" w:hAnsi="黑体" w:eastAsia="黑体"/>
          <w:b w:val="0"/>
          <w:bCs w:val="0"/>
          <w:color w:val="auto"/>
          <w:highlight w:val="none"/>
        </w:rPr>
        <w:t>本职能及主要工作</w:t>
      </w:r>
      <w:bookmarkEnd w:id="14"/>
      <w:bookmarkEnd w:id="15"/>
    </w:p>
    <w:p w14:paraId="297BE829">
      <w:pPr>
        <w:spacing w:line="600" w:lineRule="exact"/>
        <w:ind w:firstLine="645"/>
        <w:rPr>
          <w:rFonts w:hint="eastAsia" w:ascii="Times New Roman" w:hAnsi="Times New Roman" w:eastAsia="方正仿宋_GBK" w:cs="Times New Roman"/>
          <w:color w:val="auto"/>
          <w:kern w:val="0"/>
          <w:sz w:val="33"/>
          <w:szCs w:val="33"/>
          <w:highlight w:val="none"/>
          <w:lang w:val="en-US" w:eastAsia="zh-CN"/>
        </w:rPr>
      </w:pPr>
      <w:bookmarkStart w:id="16" w:name="_Toc15378445"/>
      <w:bookmarkStart w:id="17" w:name="_Toc15377198"/>
      <w:r>
        <w:rPr>
          <w:rFonts w:hint="eastAsia" w:ascii="Times New Roman" w:hAnsi="Times New Roman" w:eastAsia="方正仿宋_GBK" w:cs="Times New Roman"/>
          <w:color w:val="auto"/>
          <w:kern w:val="0"/>
          <w:sz w:val="33"/>
          <w:szCs w:val="33"/>
          <w:highlight w:val="none"/>
          <w:lang w:val="en-US" w:eastAsia="zh-CN"/>
        </w:rPr>
        <w:t>（一）主要职能。</w:t>
      </w:r>
      <w:bookmarkEnd w:id="16"/>
      <w:bookmarkEnd w:id="17"/>
      <w:bookmarkStart w:id="18" w:name="_Toc15378446"/>
      <w:bookmarkStart w:id="19" w:name="_Toc15377199"/>
    </w:p>
    <w:p w14:paraId="59352375">
      <w:pPr>
        <w:spacing w:line="600" w:lineRule="exact"/>
        <w:ind w:firstLine="645"/>
        <w:rPr>
          <w:rFonts w:hint="default" w:ascii="Times New Roman" w:hAnsi="Times New Roman" w:eastAsia="方正仿宋_GBK" w:cs="Times New Roman"/>
          <w:color w:val="auto"/>
          <w:kern w:val="0"/>
          <w:sz w:val="33"/>
          <w:szCs w:val="33"/>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w:t>
      </w:r>
      <w:r>
        <w:rPr>
          <w:rFonts w:hint="default" w:ascii="Times New Roman" w:hAnsi="Times New Roman" w:eastAsia="方正仿宋_GBK" w:cs="Times New Roman"/>
          <w:color w:val="auto"/>
          <w:kern w:val="0"/>
          <w:sz w:val="33"/>
          <w:szCs w:val="33"/>
          <w:highlight w:val="none"/>
          <w:lang w:val="en-US" w:eastAsia="zh-CN"/>
        </w:rPr>
        <w:t>1</w:t>
      </w:r>
      <w:r>
        <w:rPr>
          <w:rFonts w:hint="eastAsia" w:ascii="Times New Roman" w:hAnsi="Times New Roman" w:eastAsia="方正仿宋_GBK" w:cs="Times New Roman"/>
          <w:color w:val="auto"/>
          <w:kern w:val="0"/>
          <w:sz w:val="33"/>
          <w:szCs w:val="33"/>
          <w:highlight w:val="none"/>
          <w:lang w:val="en-US" w:eastAsia="zh-CN"/>
        </w:rPr>
        <w:t>）</w:t>
      </w:r>
      <w:r>
        <w:rPr>
          <w:rFonts w:hint="default" w:ascii="Times New Roman" w:hAnsi="Times New Roman" w:eastAsia="方正仿宋_GBK" w:cs="Times New Roman"/>
          <w:color w:val="auto"/>
          <w:kern w:val="0"/>
          <w:sz w:val="33"/>
          <w:szCs w:val="33"/>
          <w:highlight w:val="none"/>
          <w:lang w:val="en-US" w:eastAsia="zh-CN"/>
        </w:rPr>
        <w:t>加强与驻地党委、政府及相关部门的沟通和联系，宣传介绍广安的政治、经济和文化等情况，促进地区之间相互了解和友好往来。</w:t>
      </w:r>
    </w:p>
    <w:p w14:paraId="335D6315">
      <w:pPr>
        <w:spacing w:line="600" w:lineRule="exact"/>
        <w:ind w:firstLine="645"/>
        <w:rPr>
          <w:rFonts w:hint="default" w:ascii="Times New Roman" w:hAnsi="Times New Roman" w:eastAsia="方正仿宋_GBK" w:cs="Times New Roman"/>
          <w:color w:val="auto"/>
          <w:kern w:val="0"/>
          <w:sz w:val="33"/>
          <w:szCs w:val="33"/>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w:t>
      </w:r>
      <w:r>
        <w:rPr>
          <w:rFonts w:hint="default" w:ascii="Times New Roman" w:hAnsi="Times New Roman" w:eastAsia="方正仿宋_GBK" w:cs="Times New Roman"/>
          <w:color w:val="auto"/>
          <w:kern w:val="0"/>
          <w:sz w:val="33"/>
          <w:szCs w:val="33"/>
          <w:highlight w:val="none"/>
          <w:lang w:val="en-US" w:eastAsia="zh-CN"/>
        </w:rPr>
        <w:t>2</w:t>
      </w:r>
      <w:r>
        <w:rPr>
          <w:rFonts w:hint="eastAsia" w:ascii="Times New Roman" w:hAnsi="Times New Roman" w:eastAsia="方正仿宋_GBK" w:cs="Times New Roman"/>
          <w:color w:val="auto"/>
          <w:kern w:val="0"/>
          <w:sz w:val="33"/>
          <w:szCs w:val="33"/>
          <w:highlight w:val="none"/>
          <w:lang w:val="en-US" w:eastAsia="zh-CN"/>
        </w:rPr>
        <w:t>）</w:t>
      </w:r>
      <w:r>
        <w:rPr>
          <w:rFonts w:hint="default" w:ascii="Times New Roman" w:hAnsi="Times New Roman" w:eastAsia="方正仿宋_GBK" w:cs="Times New Roman"/>
          <w:color w:val="auto"/>
          <w:kern w:val="0"/>
          <w:sz w:val="33"/>
          <w:szCs w:val="33"/>
          <w:highlight w:val="none"/>
          <w:lang w:val="en-US" w:eastAsia="zh-CN"/>
        </w:rPr>
        <w:t>负责收集招商引资信息，搭建招商引资平台，拓展我市对外开放的领域和途径，参与全市在当地开展的各类经贸活动并做好组织协调及服务工作。</w:t>
      </w:r>
    </w:p>
    <w:p w14:paraId="6A08AEC0">
      <w:pPr>
        <w:spacing w:line="600" w:lineRule="exact"/>
        <w:ind w:firstLine="645"/>
        <w:rPr>
          <w:rFonts w:hint="default" w:ascii="Times New Roman" w:hAnsi="Times New Roman" w:eastAsia="方正仿宋_GBK" w:cs="Times New Roman"/>
          <w:color w:val="auto"/>
          <w:kern w:val="0"/>
          <w:sz w:val="33"/>
          <w:szCs w:val="33"/>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w:t>
      </w:r>
      <w:r>
        <w:rPr>
          <w:rFonts w:hint="default" w:ascii="Times New Roman" w:hAnsi="Times New Roman" w:eastAsia="方正仿宋_GBK" w:cs="Times New Roman"/>
          <w:color w:val="auto"/>
          <w:kern w:val="0"/>
          <w:sz w:val="33"/>
          <w:szCs w:val="33"/>
          <w:highlight w:val="none"/>
          <w:lang w:val="en-US" w:eastAsia="zh-CN"/>
        </w:rPr>
        <w:t>3</w:t>
      </w:r>
      <w:r>
        <w:rPr>
          <w:rFonts w:hint="eastAsia" w:ascii="Times New Roman" w:hAnsi="Times New Roman" w:eastAsia="方正仿宋_GBK" w:cs="Times New Roman"/>
          <w:color w:val="auto"/>
          <w:kern w:val="0"/>
          <w:sz w:val="33"/>
          <w:szCs w:val="33"/>
          <w:highlight w:val="none"/>
          <w:lang w:val="en-US" w:eastAsia="zh-CN"/>
        </w:rPr>
        <w:t>）</w:t>
      </w:r>
      <w:r>
        <w:rPr>
          <w:rFonts w:hint="default" w:ascii="Times New Roman" w:hAnsi="Times New Roman" w:eastAsia="方正仿宋_GBK" w:cs="Times New Roman"/>
          <w:color w:val="auto"/>
          <w:kern w:val="0"/>
          <w:sz w:val="33"/>
          <w:szCs w:val="33"/>
          <w:highlight w:val="none"/>
          <w:lang w:val="en-US" w:eastAsia="zh-CN"/>
        </w:rPr>
        <w:t>负责为广安在蓉开展公务活动提供咨询服务和工作方便。</w:t>
      </w:r>
    </w:p>
    <w:p w14:paraId="164BB5D3">
      <w:pPr>
        <w:spacing w:line="600" w:lineRule="exact"/>
        <w:ind w:firstLine="645"/>
        <w:rPr>
          <w:rFonts w:hint="default" w:ascii="Times New Roman" w:hAnsi="Times New Roman" w:eastAsia="方正仿宋_GBK" w:cs="Times New Roman"/>
          <w:color w:val="auto"/>
          <w:kern w:val="0"/>
          <w:sz w:val="33"/>
          <w:szCs w:val="33"/>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w:t>
      </w:r>
      <w:r>
        <w:rPr>
          <w:rFonts w:hint="default" w:ascii="Times New Roman" w:hAnsi="Times New Roman" w:eastAsia="方正仿宋_GBK" w:cs="Times New Roman"/>
          <w:color w:val="auto"/>
          <w:kern w:val="0"/>
          <w:sz w:val="33"/>
          <w:szCs w:val="33"/>
          <w:highlight w:val="none"/>
          <w:lang w:val="en-US" w:eastAsia="zh-CN"/>
        </w:rPr>
        <w:t>4</w:t>
      </w:r>
      <w:r>
        <w:rPr>
          <w:rFonts w:hint="eastAsia" w:ascii="Times New Roman" w:hAnsi="Times New Roman" w:eastAsia="方正仿宋_GBK" w:cs="Times New Roman"/>
          <w:color w:val="auto"/>
          <w:kern w:val="0"/>
          <w:sz w:val="33"/>
          <w:szCs w:val="33"/>
          <w:highlight w:val="none"/>
          <w:lang w:val="en-US" w:eastAsia="zh-CN"/>
        </w:rPr>
        <w:t>）</w:t>
      </w:r>
      <w:r>
        <w:rPr>
          <w:rFonts w:hint="default" w:ascii="Times New Roman" w:hAnsi="Times New Roman" w:eastAsia="方正仿宋_GBK" w:cs="Times New Roman"/>
          <w:color w:val="auto"/>
          <w:kern w:val="0"/>
          <w:sz w:val="33"/>
          <w:szCs w:val="33"/>
          <w:highlight w:val="none"/>
          <w:lang w:val="en-US" w:eastAsia="zh-CN"/>
        </w:rPr>
        <w:t>负责协调处理赴蓉上访人员的劝返和息诉息访工作。</w:t>
      </w:r>
    </w:p>
    <w:p w14:paraId="50DD529B">
      <w:pPr>
        <w:spacing w:line="600" w:lineRule="exact"/>
        <w:ind w:firstLine="645"/>
        <w:rPr>
          <w:rFonts w:hint="default" w:ascii="Times New Roman" w:hAnsi="Times New Roman" w:eastAsia="方正仿宋_GBK" w:cs="Times New Roman"/>
          <w:color w:val="auto"/>
          <w:kern w:val="0"/>
          <w:sz w:val="33"/>
          <w:szCs w:val="33"/>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w:t>
      </w:r>
      <w:r>
        <w:rPr>
          <w:rFonts w:hint="default" w:ascii="Times New Roman" w:hAnsi="Times New Roman" w:eastAsia="方正仿宋_GBK" w:cs="Times New Roman"/>
          <w:color w:val="auto"/>
          <w:kern w:val="0"/>
          <w:sz w:val="33"/>
          <w:szCs w:val="33"/>
          <w:highlight w:val="none"/>
          <w:lang w:val="en-US" w:eastAsia="zh-CN"/>
        </w:rPr>
        <w:t>5</w:t>
      </w:r>
      <w:r>
        <w:rPr>
          <w:rFonts w:hint="eastAsia" w:ascii="Times New Roman" w:hAnsi="Times New Roman" w:eastAsia="方正仿宋_GBK" w:cs="Times New Roman"/>
          <w:color w:val="auto"/>
          <w:kern w:val="0"/>
          <w:sz w:val="33"/>
          <w:szCs w:val="33"/>
          <w:highlight w:val="none"/>
          <w:lang w:val="en-US" w:eastAsia="zh-CN"/>
        </w:rPr>
        <w:t>）</w:t>
      </w:r>
      <w:r>
        <w:rPr>
          <w:rFonts w:hint="default" w:ascii="Times New Roman" w:hAnsi="Times New Roman" w:eastAsia="方正仿宋_GBK" w:cs="Times New Roman"/>
          <w:color w:val="auto"/>
          <w:kern w:val="0"/>
          <w:sz w:val="33"/>
          <w:szCs w:val="33"/>
          <w:highlight w:val="none"/>
          <w:lang w:val="en-US" w:eastAsia="zh-CN"/>
        </w:rPr>
        <w:t>负责协助配合有关部门做好驻蓉流动党员、广安籍民工的管理、协调和服务，参与调解劳务纠纷，维护他们的合法权益。</w:t>
      </w:r>
    </w:p>
    <w:p w14:paraId="69DCFA75">
      <w:pPr>
        <w:spacing w:line="600" w:lineRule="exact"/>
        <w:ind w:firstLine="645"/>
        <w:rPr>
          <w:rFonts w:hint="default" w:ascii="Times New Roman" w:hAnsi="Times New Roman" w:eastAsia="方正仿宋_GBK" w:cs="Times New Roman"/>
          <w:color w:val="auto"/>
          <w:kern w:val="0"/>
          <w:sz w:val="33"/>
          <w:szCs w:val="33"/>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w:t>
      </w:r>
      <w:r>
        <w:rPr>
          <w:rFonts w:hint="default" w:ascii="Times New Roman" w:hAnsi="Times New Roman" w:eastAsia="方正仿宋_GBK" w:cs="Times New Roman"/>
          <w:color w:val="auto"/>
          <w:kern w:val="0"/>
          <w:sz w:val="33"/>
          <w:szCs w:val="33"/>
          <w:highlight w:val="none"/>
          <w:lang w:val="en-US" w:eastAsia="zh-CN"/>
        </w:rPr>
        <w:t>6</w:t>
      </w:r>
      <w:r>
        <w:rPr>
          <w:rFonts w:hint="eastAsia" w:ascii="Times New Roman" w:hAnsi="Times New Roman" w:eastAsia="方正仿宋_GBK" w:cs="Times New Roman"/>
          <w:color w:val="auto"/>
          <w:kern w:val="0"/>
          <w:sz w:val="33"/>
          <w:szCs w:val="33"/>
          <w:highlight w:val="none"/>
          <w:lang w:val="en-US" w:eastAsia="zh-CN"/>
        </w:rPr>
        <w:t>）</w:t>
      </w:r>
      <w:r>
        <w:rPr>
          <w:rFonts w:hint="default" w:ascii="Times New Roman" w:hAnsi="Times New Roman" w:eastAsia="方正仿宋_GBK" w:cs="Times New Roman"/>
          <w:color w:val="auto"/>
          <w:kern w:val="0"/>
          <w:sz w:val="33"/>
          <w:szCs w:val="33"/>
          <w:highlight w:val="none"/>
          <w:lang w:val="en-US" w:eastAsia="zh-CN"/>
        </w:rPr>
        <w:t>承办市委、市政府和主管部门交办的其他事宜。</w:t>
      </w:r>
    </w:p>
    <w:p w14:paraId="1B1BD0DF">
      <w:pPr>
        <w:spacing w:line="600" w:lineRule="exact"/>
        <w:ind w:firstLine="645"/>
        <w:rPr>
          <w:rFonts w:hint="default" w:ascii="Times New Roman" w:hAnsi="Times New Roman" w:eastAsia="方正仿宋_GBK" w:cs="Times New Roman"/>
          <w:color w:val="auto"/>
          <w:kern w:val="0"/>
          <w:sz w:val="33"/>
          <w:szCs w:val="33"/>
          <w:highlight w:val="none"/>
          <w:lang w:val="en-US" w:eastAsia="zh-CN"/>
        </w:rPr>
        <w:sectPr>
          <w:footerReference r:id="rId3" w:type="default"/>
          <w:pgSz w:w="11906" w:h="16838"/>
          <w:pgMar w:top="2041" w:right="1531" w:bottom="1701" w:left="1531" w:header="851" w:footer="1474" w:gutter="0"/>
          <w:pgNumType w:fmt="decimal"/>
          <w:cols w:space="720" w:num="1"/>
          <w:docGrid w:type="lines" w:linePitch="312" w:charSpace="0"/>
        </w:sectPr>
      </w:pPr>
    </w:p>
    <w:p w14:paraId="0BB72A20">
      <w:pPr>
        <w:spacing w:line="600" w:lineRule="exact"/>
        <w:ind w:firstLine="645"/>
        <w:rPr>
          <w:rFonts w:hint="eastAsia" w:ascii="Times New Roman" w:hAnsi="Times New Roman" w:eastAsia="方正仿宋_GBK" w:cs="Times New Roman"/>
          <w:color w:val="auto"/>
          <w:kern w:val="0"/>
          <w:sz w:val="33"/>
          <w:szCs w:val="33"/>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（二）2021年重点工作完成情况。</w:t>
      </w:r>
      <w:bookmarkEnd w:id="18"/>
      <w:bookmarkEnd w:id="19"/>
    </w:p>
    <w:p w14:paraId="61E5CB8C">
      <w:pPr>
        <w:spacing w:line="600" w:lineRule="exact"/>
        <w:ind w:firstLine="645"/>
        <w:rPr>
          <w:rFonts w:hint="eastAsia" w:ascii="Times New Roman" w:hAnsi="Times New Roman" w:eastAsia="方正仿宋_GBK" w:cs="Times New Roman"/>
          <w:color w:val="auto"/>
          <w:kern w:val="0"/>
          <w:sz w:val="33"/>
          <w:szCs w:val="33"/>
          <w:highlight w:val="none"/>
          <w:lang w:val="en-US" w:eastAsia="zh-CN"/>
        </w:rPr>
      </w:pPr>
      <w:bookmarkStart w:id="20" w:name="_Hlk32226411"/>
      <w:r>
        <w:rPr>
          <w:rFonts w:hint="eastAsia" w:ascii="Times New Roman" w:hAnsi="Times New Roman" w:eastAsia="方正仿宋_GBK" w:cs="Times New Roman"/>
          <w:color w:val="auto"/>
          <w:kern w:val="0"/>
          <w:sz w:val="33"/>
          <w:szCs w:val="33"/>
          <w:highlight w:val="none"/>
          <w:lang w:val="en-US" w:eastAsia="zh-CN"/>
        </w:rPr>
        <w:t>2021年，市驻蓉办将围绕市委“1234”工作思路和“六瞄六抓”工作要求，贯彻落实市委市政府决策部署，以“打好三张牌，办好三件事”为抓手，力争实现“三新”，助力广安经济社会高质量发展。</w:t>
      </w:r>
    </w:p>
    <w:p w14:paraId="793976AA">
      <w:pPr>
        <w:spacing w:line="600" w:lineRule="exact"/>
        <w:ind w:firstLine="645"/>
        <w:rPr>
          <w:rFonts w:hint="eastAsia" w:ascii="Times New Roman" w:hAnsi="Times New Roman" w:eastAsia="方正仿宋_GBK" w:cs="Times New Roman"/>
          <w:color w:val="auto"/>
          <w:kern w:val="0"/>
          <w:sz w:val="33"/>
          <w:szCs w:val="33"/>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1.宣传有新突破。丰富宣传内容。一是宣传广安“四张名片”、广安“1234”工作思路和广安市情，给宣传对象留下总体新印象；二是宣传川渝高竹新区、广安（深圳）产业园等特色园区和广安“341”现代工业产业、“352”现代服务业、“363”现代农业，为客商提供投资优选项；三是宣传广安旅游景区和名优特色产品，为客商提供消费好选择。改进宣传方式。一是定点宣传，在成都春熙路、宽窄巷子等代表性点位设立展台展柜，宣传推荐广安旅游及特色产品；二是展会宣传，广泛收集在蓉全国全省性展会信息，积极参加地区政府、行业商协会举办的各种展览、展会和活动；三是商会宣传，在各类商协会中开展针对性宣传。</w:t>
      </w:r>
    </w:p>
    <w:p w14:paraId="734DC360">
      <w:pPr>
        <w:spacing w:line="600" w:lineRule="exact"/>
        <w:ind w:firstLine="645"/>
        <w:rPr>
          <w:rFonts w:hint="eastAsia" w:ascii="Times New Roman" w:hAnsi="Times New Roman" w:eastAsia="方正仿宋_GBK" w:cs="Times New Roman"/>
          <w:color w:val="auto"/>
          <w:kern w:val="0"/>
          <w:sz w:val="33"/>
          <w:szCs w:val="33"/>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2.招引有新成效。强平台，巩固在蓉广安商会、川东北商会、沿海地区商会三大商会平台，搭建成渝两地商会平台，拓展港澳台在蓉经济组织平台，强化四川省医疗卫生与健康促进会、四川省建筑业协会等20余个行业协会平台。拓对象，主动拜访中央在川及省属国有企业，积极联络在蓉中国500强、全省100强等知名民企，加强对接智库、中介服务机构和新生代企业。引资金，做好招商引资的同时，配合市级部门，向上争取财政性资金；广泛对接银行、基金、信托等金融机构，洽谈在广安设立分支机构或开展业务，争取金融资金。引客流，广泛宣传小平干部学院，联合组织在蓉机关企事业单位人员到小平干部学院开展教育培训。抓住建党100周年契机，宣传推介广安红色旅游。引信息，加强与各科研院所、智库机构和新兴经济组织的联系，拓宽信息渠道，做好信息收集和传递工作，为党委政府提供经济发展战略分析和决策咨询服务。</w:t>
      </w:r>
    </w:p>
    <w:p w14:paraId="7A9824BA">
      <w:pPr>
        <w:spacing w:line="600" w:lineRule="exact"/>
        <w:ind w:firstLine="645"/>
        <w:rPr>
          <w:rFonts w:hint="eastAsia" w:ascii="Times New Roman" w:hAnsi="Times New Roman" w:eastAsia="方正仿宋_GBK" w:cs="Times New Roman"/>
          <w:color w:val="auto"/>
          <w:kern w:val="0"/>
          <w:sz w:val="33"/>
          <w:szCs w:val="33"/>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3.服务有新提高。适应政务服务新要求，做到服务党政领导更细致。全面了解区市县重点产业，联合市级部门分行业开展产学研、政企金对接活动，做到服务区市县及园区更精准。继续做好“双服务”“双关爱”活动，扩大“朋友圈”、做优“会员圈”，构建良好企业生态和产业生态，助力商会企业成为引领者、协作者，做到服务商会、企业更实在。动态调整广安在蓉务工人员和流动党员人员台账，定期举办交流活动，做到服务社群更全面。</w:t>
      </w:r>
      <w:bookmarkEnd w:id="20"/>
    </w:p>
    <w:p w14:paraId="58773D9D">
      <w:pPr>
        <w:pStyle w:val="4"/>
        <w:rPr>
          <w:rStyle w:val="26"/>
          <w:b w:val="0"/>
          <w:bCs w:val="0"/>
          <w:color w:val="auto"/>
          <w:highlight w:val="none"/>
        </w:rPr>
      </w:pPr>
      <w:bookmarkStart w:id="21" w:name="_Toc15396601"/>
      <w:bookmarkStart w:id="22" w:name="_Toc15377200"/>
      <w:r>
        <w:rPr>
          <w:rFonts w:hint="eastAsia" w:ascii="黑体" w:eastAsia="黑体"/>
          <w:b w:val="0"/>
          <w:color w:val="auto"/>
          <w:highlight w:val="none"/>
        </w:rPr>
        <w:t>二、</w:t>
      </w:r>
      <w:r>
        <w:rPr>
          <w:rFonts w:hint="eastAsia" w:ascii="黑体" w:hAnsi="黑体" w:eastAsia="黑体"/>
          <w:b w:val="0"/>
          <w:color w:val="auto"/>
          <w:highlight w:val="none"/>
        </w:rPr>
        <w:t>机</w:t>
      </w:r>
      <w:r>
        <w:rPr>
          <w:rStyle w:val="26"/>
          <w:rFonts w:hint="eastAsia" w:ascii="黑体" w:hAnsi="黑体" w:eastAsia="黑体"/>
          <w:b w:val="0"/>
          <w:bCs w:val="0"/>
          <w:color w:val="auto"/>
          <w:highlight w:val="none"/>
        </w:rPr>
        <w:t>构设置</w:t>
      </w:r>
      <w:bookmarkEnd w:id="21"/>
      <w:bookmarkEnd w:id="22"/>
    </w:p>
    <w:p w14:paraId="20D01447">
      <w:pPr>
        <w:spacing w:line="600" w:lineRule="exact"/>
        <w:ind w:firstLine="645"/>
        <w:rPr>
          <w:rFonts w:hint="eastAsia" w:ascii="Times New Roman" w:hAnsi="Times New Roman" w:eastAsia="方正仿宋_GBK" w:cs="Times New Roman"/>
          <w:color w:val="auto"/>
          <w:kern w:val="0"/>
          <w:sz w:val="33"/>
          <w:szCs w:val="33"/>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市驻蓉办是参照公务员法管理的事业单位。市驻蓉办机关下设业务科、投促科、综合科三个科室。</w:t>
      </w:r>
    </w:p>
    <w:p w14:paraId="2025F8A3">
      <w:pPr>
        <w:spacing w:line="600" w:lineRule="exact"/>
        <w:ind w:firstLine="645"/>
        <w:rPr>
          <w:rFonts w:hint="eastAsia" w:ascii="Times New Roman" w:hAnsi="Times New Roman" w:eastAsia="方正仿宋_GBK" w:cs="Times New Roman"/>
          <w:color w:val="auto"/>
          <w:kern w:val="0"/>
          <w:sz w:val="33"/>
          <w:szCs w:val="33"/>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市驻蓉办下属二级单位0个，其中行政单位0个，参照公务员法管理的事业单位0个，其他事业单位0个。</w:t>
      </w:r>
    </w:p>
    <w:p w14:paraId="0411ECE7">
      <w:pPr>
        <w:spacing w:line="600" w:lineRule="exact"/>
        <w:ind w:firstLine="645"/>
        <w:rPr>
          <w:rFonts w:hint="eastAsia" w:ascii="Times New Roman" w:hAnsi="Times New Roman" w:eastAsia="方正仿宋_GBK" w:cs="Times New Roman"/>
          <w:color w:val="auto"/>
          <w:kern w:val="0"/>
          <w:sz w:val="33"/>
          <w:szCs w:val="33"/>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纳入市驻蓉办2020年度部门决算编制范围的二级预算单位0个。</w:t>
      </w:r>
    </w:p>
    <w:p w14:paraId="5D699E3D">
      <w:pPr>
        <w:spacing w:line="600" w:lineRule="exact"/>
        <w:ind w:firstLine="640" w:firstLineChars="200"/>
        <w:outlineLvl w:val="1"/>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br w:type="page"/>
      </w:r>
    </w:p>
    <w:p w14:paraId="4C8D3797">
      <w:pPr>
        <w:pStyle w:val="3"/>
        <w:ind w:right="440"/>
        <w:jc w:val="center"/>
        <w:rPr>
          <w:rStyle w:val="25"/>
          <w:rFonts w:ascii="黑体" w:hAnsi="黑体" w:eastAsia="黑体"/>
          <w:b w:val="0"/>
          <w:bCs/>
          <w:color w:val="auto"/>
          <w:highlight w:val="none"/>
        </w:rPr>
      </w:pPr>
      <w:bookmarkStart w:id="23" w:name="_Toc15396602"/>
      <w:bookmarkStart w:id="24"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5"/>
          <w:rFonts w:hint="eastAsia" w:ascii="黑体" w:hAnsi="黑体" w:eastAsia="黑体"/>
          <w:b w:val="0"/>
          <w:bCs/>
          <w:color w:val="auto"/>
          <w:highlight w:val="none"/>
        </w:rPr>
        <w:t>部门决算情况说明</w:t>
      </w:r>
      <w:bookmarkEnd w:id="23"/>
      <w:bookmarkEnd w:id="24"/>
    </w:p>
    <w:p w14:paraId="72D4BED6">
      <w:pPr>
        <w:rPr>
          <w:color w:val="auto"/>
          <w:highlight w:val="none"/>
        </w:rPr>
      </w:pPr>
    </w:p>
    <w:p w14:paraId="2A17B050">
      <w:pPr>
        <w:pStyle w:val="24"/>
        <w:numPr>
          <w:ilvl w:val="0"/>
          <w:numId w:val="2"/>
        </w:numPr>
        <w:spacing w:line="600" w:lineRule="exact"/>
        <w:ind w:firstLineChars="0"/>
        <w:outlineLvl w:val="1"/>
        <w:rPr>
          <w:rStyle w:val="26"/>
          <w:rFonts w:ascii="黑体" w:hAnsi="黑体" w:eastAsia="黑体"/>
          <w:b w:val="0"/>
          <w:color w:val="auto"/>
          <w:highlight w:val="none"/>
        </w:rPr>
      </w:pPr>
      <w:bookmarkStart w:id="25" w:name="_Toc15377205"/>
      <w:bookmarkStart w:id="26" w:name="_Toc15396603"/>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25"/>
      <w:bookmarkEnd w:id="26"/>
    </w:p>
    <w:p w14:paraId="03981C53">
      <w:pPr>
        <w:spacing w:line="600" w:lineRule="exact"/>
        <w:ind w:firstLine="645"/>
        <w:rPr>
          <w:rFonts w:hint="eastAsia" w:eastAsia="方正仿宋_GBK"/>
          <w:lang w:val="en-US" w:eastAsia="zh-CN"/>
        </w:rPr>
      </w:pPr>
      <w:r>
        <w:rPr>
          <w:rFonts w:hint="eastAsia" w:ascii="Times New Roman" w:hAnsi="Times New Roman" w:eastAsia="方正仿宋_GBK" w:cs="Times New Roman"/>
          <w:color w:val="auto"/>
          <w:kern w:val="0"/>
          <w:sz w:val="33"/>
          <w:szCs w:val="33"/>
          <w:highlight w:val="none"/>
          <w:lang w:val="en-US" w:eastAsia="zh-CN"/>
        </w:rPr>
        <w:t>2021年度收入总计</w:t>
      </w:r>
      <w:r>
        <w:rPr>
          <w:rFonts w:hint="eastAsia" w:eastAsia="方正仿宋_GBK" w:cs="Times New Roman"/>
          <w:color w:val="auto"/>
          <w:kern w:val="0"/>
          <w:sz w:val="33"/>
          <w:szCs w:val="33"/>
          <w:highlight w:val="none"/>
          <w:lang w:val="en-US" w:eastAsia="zh-CN"/>
        </w:rPr>
        <w:t>309.74</w:t>
      </w:r>
      <w:r>
        <w:rPr>
          <w:rFonts w:hint="eastAsia" w:ascii="Times New Roman" w:hAnsi="Times New Roman" w:eastAsia="方正仿宋_GBK" w:cs="Times New Roman"/>
          <w:color w:val="auto"/>
          <w:kern w:val="0"/>
          <w:sz w:val="33"/>
          <w:szCs w:val="33"/>
          <w:highlight w:val="none"/>
          <w:lang w:val="en-US" w:eastAsia="zh-CN"/>
        </w:rPr>
        <w:t>万元</w:t>
      </w:r>
      <w:r>
        <w:rPr>
          <w:rFonts w:hint="eastAsia" w:eastAsia="方正仿宋_GBK" w:cs="Times New Roman"/>
          <w:color w:val="auto"/>
          <w:kern w:val="0"/>
          <w:sz w:val="33"/>
          <w:szCs w:val="33"/>
          <w:highlight w:val="none"/>
          <w:lang w:val="en-US" w:eastAsia="zh-CN"/>
        </w:rPr>
        <w:t>，</w:t>
      </w:r>
      <w:r>
        <w:rPr>
          <w:rFonts w:hint="eastAsia" w:ascii="Times New Roman" w:hAnsi="Times New Roman" w:eastAsia="方正仿宋_GBK" w:cs="Times New Roman"/>
          <w:color w:val="auto"/>
          <w:kern w:val="0"/>
          <w:sz w:val="33"/>
          <w:szCs w:val="33"/>
          <w:highlight w:val="none"/>
          <w:lang w:val="en-US" w:eastAsia="zh-CN"/>
        </w:rPr>
        <w:t>支出总计</w:t>
      </w:r>
      <w:r>
        <w:rPr>
          <w:rFonts w:hint="eastAsia" w:eastAsia="方正仿宋_GBK" w:cs="Times New Roman"/>
          <w:color w:val="auto"/>
          <w:kern w:val="0"/>
          <w:sz w:val="33"/>
          <w:szCs w:val="33"/>
          <w:highlight w:val="none"/>
          <w:lang w:val="en-US" w:eastAsia="zh-CN"/>
        </w:rPr>
        <w:t>309.74</w:t>
      </w:r>
      <w:r>
        <w:rPr>
          <w:rFonts w:hint="eastAsia" w:ascii="Times New Roman" w:hAnsi="Times New Roman" w:eastAsia="方正仿宋_GBK" w:cs="Times New Roman"/>
          <w:color w:val="auto"/>
          <w:kern w:val="0"/>
          <w:sz w:val="33"/>
          <w:szCs w:val="33"/>
          <w:highlight w:val="none"/>
          <w:lang w:val="en-US" w:eastAsia="zh-CN"/>
        </w:rPr>
        <w:t>万元</w:t>
      </w:r>
      <w:r>
        <w:rPr>
          <w:rFonts w:hint="eastAsia" w:eastAsia="方正仿宋_GBK" w:cs="Times New Roman"/>
          <w:color w:val="auto"/>
          <w:kern w:val="0"/>
          <w:sz w:val="33"/>
          <w:szCs w:val="33"/>
          <w:highlight w:val="none"/>
          <w:lang w:val="en-US" w:eastAsia="zh-CN"/>
        </w:rPr>
        <w:t>。</w:t>
      </w:r>
      <w:r>
        <w:rPr>
          <w:rFonts w:hint="eastAsia" w:ascii="Times New Roman" w:hAnsi="Times New Roman" w:eastAsia="方正仿宋_GBK" w:cs="Times New Roman"/>
          <w:color w:val="auto"/>
          <w:kern w:val="0"/>
          <w:sz w:val="33"/>
          <w:szCs w:val="33"/>
          <w:highlight w:val="none"/>
          <w:lang w:val="en-US" w:eastAsia="zh-CN"/>
        </w:rPr>
        <w:t>与2020年相比，收入总计减少</w:t>
      </w:r>
      <w:r>
        <w:rPr>
          <w:rFonts w:hint="eastAsia" w:eastAsia="方正仿宋_GBK" w:cs="Times New Roman"/>
          <w:color w:val="auto"/>
          <w:kern w:val="0"/>
          <w:sz w:val="33"/>
          <w:szCs w:val="33"/>
          <w:highlight w:val="none"/>
          <w:lang w:val="en-US" w:eastAsia="zh-CN"/>
        </w:rPr>
        <w:t>84.79</w:t>
      </w:r>
      <w:r>
        <w:rPr>
          <w:rFonts w:hint="eastAsia" w:ascii="Times New Roman" w:hAnsi="Times New Roman" w:eastAsia="方正仿宋_GBK" w:cs="Times New Roman"/>
          <w:color w:val="auto"/>
          <w:kern w:val="0"/>
          <w:sz w:val="33"/>
          <w:szCs w:val="33"/>
          <w:highlight w:val="none"/>
          <w:lang w:val="en-US" w:eastAsia="zh-CN"/>
        </w:rPr>
        <w:t>万元，下降</w:t>
      </w:r>
      <w:r>
        <w:rPr>
          <w:rFonts w:hint="eastAsia" w:eastAsia="方正仿宋_GBK" w:cs="Times New Roman"/>
          <w:color w:val="auto"/>
          <w:kern w:val="0"/>
          <w:sz w:val="33"/>
          <w:szCs w:val="33"/>
          <w:highlight w:val="none"/>
          <w:lang w:val="en-US" w:eastAsia="zh-CN"/>
        </w:rPr>
        <w:t>21.49</w:t>
      </w:r>
      <w:r>
        <w:rPr>
          <w:rFonts w:hint="eastAsia" w:ascii="Times New Roman" w:hAnsi="Times New Roman" w:eastAsia="方正仿宋_GBK" w:cs="Times New Roman"/>
          <w:color w:val="auto"/>
          <w:kern w:val="0"/>
          <w:sz w:val="33"/>
          <w:szCs w:val="33"/>
          <w:highlight w:val="none"/>
          <w:lang w:val="en-US" w:eastAsia="zh-CN"/>
        </w:rPr>
        <w:t>%，主要原因是单位2021年度单位职工有所减少致单位人员、公用经费预算减少;支出总计减少</w:t>
      </w:r>
      <w:r>
        <w:rPr>
          <w:rFonts w:hint="eastAsia" w:eastAsia="方正仿宋_GBK" w:cs="Times New Roman"/>
          <w:color w:val="auto"/>
          <w:kern w:val="0"/>
          <w:sz w:val="33"/>
          <w:szCs w:val="33"/>
          <w:highlight w:val="none"/>
          <w:lang w:val="en-US" w:eastAsia="zh-CN"/>
        </w:rPr>
        <w:t>84.79</w:t>
      </w:r>
      <w:r>
        <w:rPr>
          <w:rFonts w:hint="eastAsia" w:ascii="Times New Roman" w:hAnsi="Times New Roman" w:eastAsia="方正仿宋_GBK" w:cs="Times New Roman"/>
          <w:color w:val="auto"/>
          <w:kern w:val="0"/>
          <w:sz w:val="33"/>
          <w:szCs w:val="33"/>
          <w:highlight w:val="none"/>
          <w:lang w:val="en-US" w:eastAsia="zh-CN"/>
        </w:rPr>
        <w:t>万元，下降</w:t>
      </w:r>
      <w:r>
        <w:rPr>
          <w:rFonts w:hint="eastAsia" w:eastAsia="方正仿宋_GBK" w:cs="Times New Roman"/>
          <w:color w:val="auto"/>
          <w:kern w:val="0"/>
          <w:sz w:val="33"/>
          <w:szCs w:val="33"/>
          <w:highlight w:val="none"/>
          <w:lang w:val="en-US" w:eastAsia="zh-CN"/>
        </w:rPr>
        <w:t>21.49</w:t>
      </w:r>
      <w:r>
        <w:rPr>
          <w:rFonts w:hint="eastAsia" w:ascii="Times New Roman" w:hAnsi="Times New Roman" w:eastAsia="方正仿宋_GBK" w:cs="Times New Roman"/>
          <w:color w:val="auto"/>
          <w:kern w:val="0"/>
          <w:sz w:val="33"/>
          <w:szCs w:val="33"/>
          <w:highlight w:val="none"/>
          <w:lang w:val="en-US" w:eastAsia="zh-CN"/>
        </w:rPr>
        <w:t>%，主要原因是单位2021年度单位职工有所减少致人员经费、公用经费减少</w:t>
      </w:r>
      <w:r>
        <w:rPr>
          <w:rFonts w:hint="eastAsia" w:eastAsia="方正仿宋_GBK" w:cs="Times New Roman"/>
          <w:color w:val="auto"/>
          <w:kern w:val="0"/>
          <w:sz w:val="33"/>
          <w:szCs w:val="33"/>
          <w:highlight w:val="none"/>
          <w:lang w:val="en-US" w:eastAsia="zh-CN"/>
        </w:rPr>
        <w:t>。</w:t>
      </w:r>
    </w:p>
    <w:p w14:paraId="65D07911">
      <w:pPr>
        <w:pStyle w:val="8"/>
        <w:rPr>
          <w:rFonts w:hint="eastAsia" w:ascii="新宋体" w:hAnsi="新宋体" w:eastAsia="新宋体" w:cs="新宋体"/>
          <w:sz w:val="28"/>
          <w:szCs w:val="28"/>
        </w:rPr>
      </w:pPr>
    </w:p>
    <w:p w14:paraId="55CD8849">
      <w:pPr>
        <w:snapToGrid w:val="0"/>
        <w:spacing w:line="360" w:lineRule="auto"/>
        <w:rPr>
          <w:rFonts w:ascii="新宋体" w:hAnsi="新宋体" w:eastAsia="新宋体"/>
          <w:color w:val="000000"/>
          <w:sz w:val="28"/>
          <w:szCs w:val="28"/>
        </w:rPr>
      </w:pPr>
      <w:r>
        <w:rPr>
          <w:rFonts w:ascii="新宋体" w:hAnsi="新宋体" w:eastAsia="新宋体"/>
          <w:color w:val="000000"/>
          <w:sz w:val="28"/>
          <w:szCs w:val="28"/>
        </w:rPr>
        <w:drawing>
          <wp:inline distT="0" distB="0" distL="0" distR="0">
            <wp:extent cx="5099050" cy="1499870"/>
            <wp:effectExtent l="4445" t="4445" r="20955" b="19685"/>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BD3CE01">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14:paraId="769BCF91">
      <w:pPr>
        <w:spacing w:line="600" w:lineRule="exact"/>
        <w:jc w:val="left"/>
        <w:rPr>
          <w:rFonts w:ascii="仿宋_GB2312" w:eastAsia="仿宋_GB2312"/>
          <w:color w:val="auto"/>
          <w:sz w:val="32"/>
          <w:szCs w:val="32"/>
          <w:highlight w:val="none"/>
        </w:rPr>
      </w:pPr>
    </w:p>
    <w:p w14:paraId="24A1F221">
      <w:pPr>
        <w:pStyle w:val="24"/>
        <w:numPr>
          <w:ilvl w:val="0"/>
          <w:numId w:val="2"/>
        </w:numPr>
        <w:spacing w:line="600" w:lineRule="exact"/>
        <w:ind w:firstLineChars="0"/>
        <w:outlineLvl w:val="1"/>
        <w:rPr>
          <w:rStyle w:val="26"/>
          <w:rFonts w:ascii="黑体" w:hAnsi="黑体" w:eastAsia="黑体"/>
          <w:b w:val="0"/>
          <w:color w:val="auto"/>
          <w:highlight w:val="none"/>
        </w:rPr>
      </w:pPr>
      <w:bookmarkStart w:id="27" w:name="_Toc15396604"/>
      <w:bookmarkStart w:id="28" w:name="_Toc15377206"/>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7"/>
      <w:bookmarkEnd w:id="28"/>
    </w:p>
    <w:p w14:paraId="00F19DC1">
      <w:pPr>
        <w:spacing w:line="600" w:lineRule="exact"/>
        <w:ind w:firstLine="660" w:firstLineChars="200"/>
        <w:rPr>
          <w:rFonts w:hint="eastAsia" w:eastAsia="方正仿宋_GBK" w:cs="Times New Roman"/>
          <w:color w:val="auto"/>
          <w:kern w:val="0"/>
          <w:sz w:val="33"/>
          <w:szCs w:val="33"/>
          <w:highlight w:val="none"/>
          <w:lang w:val="en-US" w:eastAsia="zh-CN"/>
        </w:rPr>
      </w:pPr>
      <w:r>
        <w:rPr>
          <w:rFonts w:hint="eastAsia" w:eastAsia="方正仿宋_GBK" w:cs="Times New Roman"/>
          <w:color w:val="auto"/>
          <w:kern w:val="0"/>
          <w:sz w:val="33"/>
          <w:szCs w:val="33"/>
          <w:highlight w:val="none"/>
          <w:lang w:val="en-US" w:eastAsia="zh-CN"/>
        </w:rPr>
        <w:t>2021年本年收入合计298.73万元，其中：一般公共预算财政拨款收入298.73万元，占100%；政府性基金预算财政拨款收入0万元，占0%；上级补助收入0万元，占0%；事业收入0万元，占0%；经营收入0万元，占0%；附属单位上缴收入0万元，占0%；其他收入0万元，占0%。</w:t>
      </w:r>
    </w:p>
    <w:p w14:paraId="50C5489A">
      <w:pPr>
        <w:spacing w:line="600" w:lineRule="exact"/>
        <w:ind w:firstLine="640" w:firstLineChars="200"/>
        <w:outlineLvl w:val="1"/>
        <w:rPr>
          <w:rFonts w:ascii="仿宋" w:hAnsi="仿宋" w:eastAsia="仿宋"/>
          <w:color w:val="auto"/>
          <w:sz w:val="32"/>
          <w:szCs w:val="32"/>
          <w:highlight w:val="none"/>
        </w:rPr>
      </w:pPr>
    </w:p>
    <w:p w14:paraId="15C65903">
      <w:pPr>
        <w:pStyle w:val="8"/>
      </w:pPr>
      <w:r>
        <w:rPr>
          <w:rFonts w:ascii="仿宋_GB2312" w:eastAsia="仿宋_GB2312"/>
          <w:color w:val="FF0000"/>
          <w:sz w:val="32"/>
          <w:szCs w:val="32"/>
        </w:rPr>
        <w:drawing>
          <wp:inline distT="0" distB="0" distL="0" distR="0">
            <wp:extent cx="5274310" cy="3076575"/>
            <wp:effectExtent l="5080" t="4445" r="16510" b="508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62373D">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14:paraId="084EF4C0">
      <w:pPr>
        <w:spacing w:line="600" w:lineRule="exact"/>
        <w:ind w:firstLine="640" w:firstLineChars="200"/>
        <w:rPr>
          <w:rFonts w:ascii="仿宋_GB2312" w:eastAsia="仿宋_GB2312"/>
          <w:color w:val="auto"/>
          <w:sz w:val="32"/>
          <w:szCs w:val="32"/>
          <w:highlight w:val="none"/>
        </w:rPr>
      </w:pPr>
    </w:p>
    <w:p w14:paraId="0C23AC79">
      <w:pPr>
        <w:pStyle w:val="24"/>
        <w:numPr>
          <w:ilvl w:val="0"/>
          <w:numId w:val="2"/>
        </w:numPr>
        <w:spacing w:line="600" w:lineRule="exact"/>
        <w:ind w:firstLineChars="0"/>
        <w:outlineLvl w:val="1"/>
        <w:rPr>
          <w:rStyle w:val="26"/>
          <w:rFonts w:ascii="黑体" w:hAnsi="黑体" w:eastAsia="黑体"/>
          <w:b w:val="0"/>
          <w:color w:val="auto"/>
          <w:highlight w:val="none"/>
        </w:rPr>
      </w:pPr>
      <w:bookmarkStart w:id="29" w:name="_Toc15377207"/>
      <w:bookmarkStart w:id="30" w:name="_Toc15396605"/>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29"/>
      <w:bookmarkEnd w:id="30"/>
    </w:p>
    <w:p w14:paraId="3376421E">
      <w:pPr>
        <w:spacing w:line="600" w:lineRule="exact"/>
        <w:ind w:firstLine="645"/>
        <w:rPr>
          <w:rFonts w:hint="eastAsia" w:ascii="Times New Roman" w:hAnsi="Times New Roman" w:eastAsia="方正仿宋_GBK" w:cs="Times New Roman"/>
          <w:color w:val="auto"/>
          <w:kern w:val="0"/>
          <w:sz w:val="33"/>
          <w:szCs w:val="33"/>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2021年本年支出合计243.86万元，其中：基本支出</w:t>
      </w:r>
      <w:r>
        <w:rPr>
          <w:rFonts w:hint="eastAsia" w:eastAsia="方正仿宋_GBK" w:cs="Times New Roman"/>
          <w:color w:val="auto"/>
          <w:kern w:val="0"/>
          <w:sz w:val="33"/>
          <w:szCs w:val="33"/>
          <w:highlight w:val="none"/>
          <w:lang w:val="en-US" w:eastAsia="zh-CN"/>
        </w:rPr>
        <w:t>154.90</w:t>
      </w:r>
      <w:r>
        <w:rPr>
          <w:rFonts w:hint="eastAsia" w:ascii="Times New Roman" w:hAnsi="Times New Roman" w:eastAsia="方正仿宋_GBK" w:cs="Times New Roman"/>
          <w:color w:val="auto"/>
          <w:kern w:val="0"/>
          <w:sz w:val="33"/>
          <w:szCs w:val="33"/>
          <w:highlight w:val="none"/>
          <w:lang w:val="en-US" w:eastAsia="zh-CN"/>
        </w:rPr>
        <w:t>万元，占</w:t>
      </w:r>
      <w:r>
        <w:rPr>
          <w:rFonts w:hint="eastAsia" w:eastAsia="方正仿宋_GBK" w:cs="Times New Roman"/>
          <w:color w:val="auto"/>
          <w:kern w:val="0"/>
          <w:sz w:val="33"/>
          <w:szCs w:val="33"/>
          <w:highlight w:val="none"/>
          <w:lang w:val="en-US" w:eastAsia="zh-CN"/>
        </w:rPr>
        <w:t>63.52</w:t>
      </w:r>
      <w:r>
        <w:rPr>
          <w:rFonts w:hint="eastAsia" w:ascii="Times New Roman" w:hAnsi="Times New Roman" w:eastAsia="方正仿宋_GBK" w:cs="Times New Roman"/>
          <w:color w:val="auto"/>
          <w:kern w:val="0"/>
          <w:sz w:val="33"/>
          <w:szCs w:val="33"/>
          <w:highlight w:val="none"/>
          <w:lang w:val="en-US" w:eastAsia="zh-CN"/>
        </w:rPr>
        <w:t>%；项目支出</w:t>
      </w:r>
      <w:r>
        <w:rPr>
          <w:rFonts w:hint="eastAsia" w:eastAsia="方正仿宋_GBK" w:cs="Times New Roman"/>
          <w:color w:val="auto"/>
          <w:kern w:val="0"/>
          <w:sz w:val="33"/>
          <w:szCs w:val="33"/>
          <w:highlight w:val="none"/>
          <w:lang w:val="en-US" w:eastAsia="zh-CN"/>
        </w:rPr>
        <w:t>88.97</w:t>
      </w:r>
      <w:r>
        <w:rPr>
          <w:rFonts w:hint="eastAsia" w:ascii="Times New Roman" w:hAnsi="Times New Roman" w:eastAsia="方正仿宋_GBK" w:cs="Times New Roman"/>
          <w:color w:val="auto"/>
          <w:kern w:val="0"/>
          <w:sz w:val="33"/>
          <w:szCs w:val="33"/>
          <w:highlight w:val="none"/>
          <w:lang w:val="en-US" w:eastAsia="zh-CN"/>
        </w:rPr>
        <w:t>万元，占</w:t>
      </w:r>
      <w:r>
        <w:rPr>
          <w:rFonts w:hint="eastAsia" w:eastAsia="方正仿宋_GBK" w:cs="Times New Roman"/>
          <w:color w:val="auto"/>
          <w:kern w:val="0"/>
          <w:sz w:val="33"/>
          <w:szCs w:val="33"/>
          <w:highlight w:val="none"/>
          <w:lang w:val="en-US" w:eastAsia="zh-CN"/>
        </w:rPr>
        <w:t>36.48</w:t>
      </w:r>
      <w:r>
        <w:rPr>
          <w:rFonts w:hint="eastAsia" w:ascii="Times New Roman" w:hAnsi="Times New Roman" w:eastAsia="方正仿宋_GBK" w:cs="Times New Roman"/>
          <w:color w:val="auto"/>
          <w:kern w:val="0"/>
          <w:sz w:val="33"/>
          <w:szCs w:val="33"/>
          <w:highlight w:val="none"/>
          <w:lang w:val="en-US" w:eastAsia="zh-CN"/>
        </w:rPr>
        <w:t>%。</w:t>
      </w:r>
    </w:p>
    <w:p w14:paraId="594C17DC">
      <w:pPr>
        <w:spacing w:line="600" w:lineRule="exact"/>
        <w:ind w:firstLine="645"/>
        <w:rPr>
          <w:rFonts w:hint="eastAsia" w:ascii="Times New Roman" w:hAnsi="Times New Roman" w:eastAsia="方正仿宋_GBK" w:cs="Times New Roman"/>
          <w:color w:val="auto"/>
          <w:kern w:val="0"/>
          <w:sz w:val="33"/>
          <w:szCs w:val="33"/>
          <w:highlight w:val="none"/>
          <w:lang w:val="en-US" w:eastAsia="zh-CN"/>
        </w:rPr>
      </w:pPr>
    </w:p>
    <w:p w14:paraId="5C4A1D48">
      <w:pPr>
        <w:pStyle w:val="8"/>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drawing>
          <wp:inline distT="0" distB="0" distL="0" distR="0">
            <wp:extent cx="5031105" cy="2313305"/>
            <wp:effectExtent l="5080" t="4445" r="12065" b="635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7600BA">
      <w:pPr>
        <w:rPr>
          <w:rFonts w:hint="eastAsia"/>
        </w:rPr>
      </w:pPr>
    </w:p>
    <w:p w14:paraId="41F8A349">
      <w:pPr>
        <w:pStyle w:val="8"/>
      </w:pPr>
    </w:p>
    <w:p w14:paraId="5E0BC053">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（图3：支出决算结构图）（饼状图）</w:t>
      </w:r>
    </w:p>
    <w:p w14:paraId="77D161A0">
      <w:pPr>
        <w:spacing w:line="600" w:lineRule="exact"/>
        <w:ind w:firstLine="640" w:firstLineChars="200"/>
        <w:outlineLvl w:val="1"/>
        <w:rPr>
          <w:rStyle w:val="26"/>
          <w:rFonts w:ascii="黑体" w:hAnsi="黑体" w:eastAsia="黑体"/>
          <w:b w:val="0"/>
          <w:color w:val="auto"/>
          <w:highlight w:val="none"/>
        </w:rPr>
      </w:pPr>
      <w:bookmarkStart w:id="31" w:name="_Toc15377208"/>
      <w:bookmarkStart w:id="32" w:name="_Toc15396606"/>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31"/>
      <w:bookmarkEnd w:id="32"/>
    </w:p>
    <w:p w14:paraId="4AA133F8">
      <w:pPr>
        <w:spacing w:line="600" w:lineRule="exact"/>
        <w:ind w:firstLine="660" w:firstLineChars="200"/>
        <w:rPr>
          <w:rFonts w:hint="eastAsia" w:eastAsia="方正仿宋_GBK" w:cs="Times New Roman"/>
          <w:color w:val="auto"/>
          <w:kern w:val="0"/>
          <w:sz w:val="33"/>
          <w:szCs w:val="33"/>
          <w:highlight w:val="none"/>
          <w:lang w:val="en-US" w:eastAsia="zh-CN"/>
        </w:rPr>
      </w:pPr>
      <w:r>
        <w:rPr>
          <w:rFonts w:hint="eastAsia" w:eastAsia="方正仿宋_GBK" w:cs="Times New Roman"/>
          <w:color w:val="auto"/>
          <w:kern w:val="0"/>
          <w:sz w:val="33"/>
          <w:szCs w:val="33"/>
          <w:highlight w:val="none"/>
          <w:lang w:val="en-US" w:eastAsia="zh-CN"/>
        </w:rPr>
        <w:t>2021年财政拨款收入总计309.74万元，财政拨款支出总计309.74万元。与2020年相比，财政拨款收入总计减少84.79万元，下降21.49%,，财政拨款支出总计减少84.79万元，下降21.49%。</w:t>
      </w:r>
    </w:p>
    <w:p w14:paraId="3FA26CD9">
      <w:pPr>
        <w:spacing w:line="600" w:lineRule="exact"/>
        <w:ind w:firstLine="660" w:firstLineChars="200"/>
        <w:rPr>
          <w:rFonts w:ascii="仿宋" w:hAnsi="仿宋" w:eastAsia="仿宋"/>
          <w:color w:val="auto"/>
          <w:sz w:val="32"/>
          <w:szCs w:val="32"/>
          <w:highlight w:val="none"/>
        </w:rPr>
      </w:pPr>
      <w:r>
        <w:rPr>
          <w:rFonts w:hint="eastAsia" w:ascii="Times New Roman" w:hAnsi="Times New Roman" w:eastAsia="方正仿宋_GBK" w:cs="Times New Roman"/>
          <w:color w:val="auto"/>
          <w:kern w:val="0"/>
          <w:sz w:val="33"/>
          <w:szCs w:val="33"/>
          <w:highlight w:val="none"/>
          <w:lang w:val="en-US" w:eastAsia="zh-CN"/>
        </w:rPr>
        <w:t>主要</w:t>
      </w:r>
      <w:r>
        <w:rPr>
          <w:rFonts w:hint="eastAsia" w:eastAsia="方正仿宋_GBK" w:cs="Times New Roman"/>
          <w:color w:val="auto"/>
          <w:kern w:val="0"/>
          <w:sz w:val="33"/>
          <w:szCs w:val="33"/>
          <w:highlight w:val="none"/>
          <w:lang w:val="en-US" w:eastAsia="zh-CN"/>
        </w:rPr>
        <w:t>变动</w:t>
      </w:r>
      <w:r>
        <w:rPr>
          <w:rFonts w:hint="eastAsia" w:ascii="Times New Roman" w:hAnsi="Times New Roman" w:eastAsia="方正仿宋_GBK" w:cs="Times New Roman"/>
          <w:color w:val="auto"/>
          <w:kern w:val="0"/>
          <w:sz w:val="33"/>
          <w:szCs w:val="33"/>
          <w:highlight w:val="none"/>
          <w:lang w:val="en-US" w:eastAsia="zh-CN"/>
        </w:rPr>
        <w:t>原因是单位2021年度单位职工有所减少致人员经费、公用经费减少。</w:t>
      </w:r>
    </w:p>
    <w:p w14:paraId="3B859B30">
      <w:pPr>
        <w:pStyle w:val="8"/>
        <w:rPr>
          <w:rFonts w:ascii="仿宋" w:hAnsi="仿宋" w:eastAsia="仿宋"/>
          <w:color w:val="auto"/>
          <w:sz w:val="32"/>
          <w:szCs w:val="32"/>
          <w:highlight w:val="none"/>
        </w:rPr>
      </w:pPr>
      <w:r>
        <w:rPr>
          <w:rFonts w:ascii="仿宋" w:hAnsi="仿宋" w:eastAsia="仿宋"/>
          <w:color w:val="000000"/>
          <w:sz w:val="32"/>
          <w:szCs w:val="32"/>
        </w:rPr>
        <w:drawing>
          <wp:inline distT="0" distB="0" distL="0" distR="0">
            <wp:extent cx="5099050" cy="1499870"/>
            <wp:effectExtent l="4445" t="4445" r="20955" b="19685"/>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D0A5A1"/>
    <w:p w14:paraId="39A7223E">
      <w:pPr>
        <w:spacing w:line="6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（图4：财政拨款收、支决算总计变动情况）（柱状图）</w:t>
      </w:r>
    </w:p>
    <w:p w14:paraId="2D1DC194">
      <w:pPr>
        <w:spacing w:line="600" w:lineRule="exact"/>
        <w:ind w:firstLine="640" w:firstLineChars="200"/>
        <w:outlineLvl w:val="1"/>
        <w:rPr>
          <w:rStyle w:val="26"/>
          <w:rFonts w:ascii="黑体" w:hAnsi="黑体" w:eastAsia="黑体"/>
          <w:b w:val="0"/>
          <w:color w:val="auto"/>
          <w:highlight w:val="none"/>
        </w:rPr>
      </w:pPr>
      <w:bookmarkStart w:id="33" w:name="_Toc15377209"/>
      <w:bookmarkStart w:id="34"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33"/>
      <w:bookmarkEnd w:id="34"/>
    </w:p>
    <w:p w14:paraId="329CEA1C">
      <w:pPr>
        <w:spacing w:line="600" w:lineRule="exact"/>
        <w:ind w:firstLine="643" w:firstLineChars="200"/>
        <w:outlineLvl w:val="2"/>
        <w:rPr>
          <w:rFonts w:ascii="仿宋" w:hAnsi="仿宋" w:eastAsia="仿宋"/>
          <w:b/>
          <w:color w:val="auto"/>
          <w:sz w:val="32"/>
          <w:szCs w:val="32"/>
          <w:highlight w:val="none"/>
        </w:rPr>
      </w:pPr>
      <w:bookmarkStart w:id="35" w:name="_Toc15377210"/>
      <w:r>
        <w:rPr>
          <w:rFonts w:hint="eastAsia" w:ascii="仿宋" w:hAnsi="仿宋" w:eastAsia="仿宋"/>
          <w:b/>
          <w:color w:val="auto"/>
          <w:sz w:val="32"/>
          <w:szCs w:val="32"/>
          <w:highlight w:val="none"/>
        </w:rPr>
        <w:t>（一）一般公共预算财政拨款支出决算总体情况</w:t>
      </w:r>
      <w:bookmarkEnd w:id="35"/>
    </w:p>
    <w:p w14:paraId="4F50E921">
      <w:pPr>
        <w:spacing w:line="600" w:lineRule="exact"/>
        <w:ind w:firstLine="645"/>
        <w:rPr>
          <w:rFonts w:hint="eastAsia" w:ascii="Times New Roman" w:hAnsi="Times New Roman" w:eastAsia="方正仿宋_GBK" w:cs="Times New Roman"/>
          <w:color w:val="auto"/>
          <w:kern w:val="0"/>
          <w:sz w:val="33"/>
          <w:szCs w:val="33"/>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2021年一般公共预算财政拨款支出243.86万元，占本年支出合计的100%。与2020年相比，一般公共预算财政拨款支出减少4.46万元，下降1</w:t>
      </w:r>
      <w:r>
        <w:rPr>
          <w:rFonts w:hint="eastAsia" w:eastAsia="方正仿宋_GBK" w:cs="Times New Roman"/>
          <w:color w:val="auto"/>
          <w:kern w:val="0"/>
          <w:sz w:val="33"/>
          <w:szCs w:val="33"/>
          <w:highlight w:val="none"/>
          <w:lang w:val="en-US" w:eastAsia="zh-CN"/>
        </w:rPr>
        <w:t>.79</w:t>
      </w:r>
      <w:r>
        <w:rPr>
          <w:rFonts w:hint="eastAsia" w:ascii="Times New Roman" w:hAnsi="Times New Roman" w:eastAsia="方正仿宋_GBK" w:cs="Times New Roman"/>
          <w:color w:val="auto"/>
          <w:kern w:val="0"/>
          <w:sz w:val="33"/>
          <w:szCs w:val="33"/>
          <w:highlight w:val="none"/>
          <w:lang w:val="en-US" w:eastAsia="zh-CN"/>
        </w:rPr>
        <w:t>%。</w:t>
      </w:r>
    </w:p>
    <w:p w14:paraId="711D5C77">
      <w:pPr>
        <w:spacing w:line="600" w:lineRule="exact"/>
        <w:ind w:firstLine="645"/>
        <w:rPr>
          <w:rFonts w:hint="eastAsia" w:ascii="Times New Roman" w:hAnsi="Times New Roman" w:eastAsia="方正仿宋_GBK" w:cs="Times New Roman"/>
          <w:color w:val="auto"/>
          <w:kern w:val="0"/>
          <w:sz w:val="33"/>
          <w:szCs w:val="33"/>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主要原因是单位2021年度单位职工有所减少致人员经费、公用经费减少。</w:t>
      </w:r>
    </w:p>
    <w:p w14:paraId="775282CF">
      <w:pPr>
        <w:pStyle w:val="8"/>
        <w:rPr>
          <w:rFonts w:hint="eastAsia" w:ascii="新宋体" w:hAnsi="新宋体" w:eastAsia="新宋体" w:cs="新宋体"/>
          <w:sz w:val="28"/>
          <w:szCs w:val="28"/>
        </w:rPr>
      </w:pPr>
    </w:p>
    <w:p w14:paraId="50F0FB2B">
      <w:pPr>
        <w:rPr>
          <w:rFonts w:ascii="仿宋" w:hAnsi="仿宋" w:eastAsia="仿宋"/>
          <w:color w:val="auto"/>
          <w:sz w:val="32"/>
          <w:szCs w:val="32"/>
          <w:highlight w:val="none"/>
        </w:rPr>
      </w:pPr>
      <w:r>
        <w:rPr>
          <w:rFonts w:ascii="仿宋" w:hAnsi="仿宋" w:eastAsia="仿宋"/>
          <w:color w:val="000000"/>
          <w:sz w:val="32"/>
          <w:szCs w:val="32"/>
        </w:rPr>
        <w:drawing>
          <wp:inline distT="0" distB="0" distL="0" distR="0">
            <wp:extent cx="5099050" cy="1499870"/>
            <wp:effectExtent l="4445" t="4445" r="20955" b="19685"/>
            <wp:docPr id="1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AE4E78">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14:paraId="56F484E6">
      <w:pPr>
        <w:spacing w:line="600" w:lineRule="exact"/>
        <w:ind w:firstLine="643" w:firstLineChars="200"/>
        <w:outlineLvl w:val="2"/>
        <w:rPr>
          <w:rFonts w:ascii="仿宋" w:hAnsi="仿宋" w:eastAsia="仿宋"/>
          <w:b/>
          <w:color w:val="auto"/>
          <w:sz w:val="32"/>
          <w:szCs w:val="32"/>
          <w:highlight w:val="none"/>
        </w:rPr>
      </w:pPr>
      <w:bookmarkStart w:id="36" w:name="_Toc15377211"/>
      <w:r>
        <w:rPr>
          <w:rFonts w:hint="eastAsia" w:ascii="仿宋" w:hAnsi="仿宋" w:eastAsia="仿宋"/>
          <w:b/>
          <w:color w:val="auto"/>
          <w:sz w:val="32"/>
          <w:szCs w:val="32"/>
          <w:highlight w:val="none"/>
        </w:rPr>
        <w:t>（二）一般公共预算财政拨款支出决算结构情况</w:t>
      </w:r>
      <w:bookmarkEnd w:id="36"/>
    </w:p>
    <w:p w14:paraId="29B96528">
      <w:pPr>
        <w:spacing w:line="600" w:lineRule="exact"/>
        <w:ind w:firstLine="645"/>
        <w:rPr>
          <w:rFonts w:hint="eastAsia" w:ascii="Times New Roman" w:hAnsi="Times New Roman" w:eastAsia="方正仿宋_GBK" w:cs="Times New Roman"/>
          <w:color w:val="auto"/>
          <w:kern w:val="0"/>
          <w:sz w:val="33"/>
          <w:szCs w:val="33"/>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2021年一般公共预算财政拨款支出243.86万元，主要用于以下方面:一般公共服务（类）支出215.16万元，占88.23%；社会保障和就业（类）支出12.59万元，占5.16%；卫生健康支出5.11万元，占2.10%；其他支出11万元，占4.51%。</w:t>
      </w:r>
    </w:p>
    <w:p w14:paraId="4F9E233A">
      <w:pPr>
        <w:pStyle w:val="8"/>
        <w:rPr>
          <w:rFonts w:ascii="仿宋" w:hAnsi="仿宋" w:eastAsia="仿宋"/>
          <w:color w:val="auto"/>
          <w:sz w:val="32"/>
          <w:szCs w:val="32"/>
          <w:highlight w:val="none"/>
        </w:rPr>
      </w:pPr>
    </w:p>
    <w:p w14:paraId="6B997EEA">
      <w:r>
        <w:rPr>
          <w:rFonts w:ascii="新宋体" w:hAnsi="新宋体" w:eastAsia="新宋体" w:cs="新宋体"/>
          <w:b/>
          <w:sz w:val="28"/>
          <w:szCs w:val="28"/>
        </w:rPr>
        <w:drawing>
          <wp:inline distT="0" distB="0" distL="0" distR="0">
            <wp:extent cx="5381625" cy="2552700"/>
            <wp:effectExtent l="4445" t="4445" r="5080" b="14605"/>
            <wp:docPr id="18"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75D5F9">
      <w:pPr>
        <w:pStyle w:val="8"/>
        <w:rPr>
          <w:rFonts w:ascii="仿宋" w:hAnsi="仿宋" w:eastAsia="仿宋"/>
          <w:color w:val="auto"/>
          <w:sz w:val="32"/>
          <w:szCs w:val="32"/>
          <w:highlight w:val="none"/>
        </w:rPr>
      </w:pPr>
    </w:p>
    <w:p w14:paraId="71E990AA"/>
    <w:p w14:paraId="4DC097CD">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14:paraId="2A9DEDE8">
      <w:pPr>
        <w:spacing w:line="600" w:lineRule="exact"/>
        <w:ind w:firstLine="640" w:firstLineChars="200"/>
        <w:rPr>
          <w:rFonts w:ascii="仿宋" w:hAnsi="仿宋" w:eastAsia="仿宋"/>
          <w:color w:val="auto"/>
          <w:sz w:val="32"/>
          <w:szCs w:val="32"/>
          <w:highlight w:val="none"/>
        </w:rPr>
      </w:pPr>
    </w:p>
    <w:p w14:paraId="2760EF3B">
      <w:pPr>
        <w:spacing w:line="600" w:lineRule="exact"/>
        <w:ind w:firstLine="643" w:firstLineChars="200"/>
        <w:outlineLvl w:val="2"/>
        <w:rPr>
          <w:rFonts w:ascii="仿宋" w:hAnsi="仿宋" w:eastAsia="仿宋"/>
          <w:b/>
          <w:color w:val="auto"/>
          <w:sz w:val="32"/>
          <w:szCs w:val="32"/>
          <w:highlight w:val="none"/>
        </w:rPr>
      </w:pPr>
      <w:bookmarkStart w:id="37" w:name="_Toc15377212"/>
      <w:r>
        <w:rPr>
          <w:rFonts w:hint="eastAsia" w:ascii="仿宋" w:hAnsi="仿宋" w:eastAsia="仿宋"/>
          <w:b/>
          <w:color w:val="auto"/>
          <w:sz w:val="32"/>
          <w:szCs w:val="32"/>
          <w:highlight w:val="none"/>
        </w:rPr>
        <w:t>（三）一般公共预算财政拨款支出决算具体情况</w:t>
      </w:r>
      <w:bookmarkEnd w:id="37"/>
    </w:p>
    <w:p w14:paraId="5D31C769">
      <w:pPr>
        <w:spacing w:line="600" w:lineRule="exact"/>
        <w:ind w:firstLine="645"/>
        <w:rPr>
          <w:rFonts w:hint="eastAsia" w:ascii="Times New Roman" w:hAnsi="Times New Roman" w:eastAsia="方正仿宋_GBK" w:cs="Times New Roman"/>
          <w:color w:val="auto"/>
          <w:kern w:val="0"/>
          <w:sz w:val="33"/>
          <w:szCs w:val="33"/>
          <w:highlight w:val="none"/>
          <w:lang w:val="en-US" w:eastAsia="zh-CN"/>
        </w:rPr>
      </w:pPr>
      <w:bookmarkStart w:id="38" w:name="_Toc15378460"/>
      <w:bookmarkStart w:id="39" w:name="_Toc15377213"/>
      <w:bookmarkStart w:id="40" w:name="_Toc15377444"/>
      <w:r>
        <w:rPr>
          <w:rFonts w:hint="eastAsia" w:ascii="Times New Roman" w:hAnsi="Times New Roman" w:eastAsia="方正仿宋_GBK" w:cs="Times New Roman"/>
          <w:color w:val="auto"/>
          <w:kern w:val="0"/>
          <w:sz w:val="33"/>
          <w:szCs w:val="33"/>
          <w:highlight w:val="none"/>
          <w:lang w:val="en-US" w:eastAsia="zh-CN"/>
        </w:rPr>
        <w:t>2021年一般公共预算支出决算数为243.86</w:t>
      </w:r>
      <w:r>
        <w:rPr>
          <w:rFonts w:hint="eastAsia" w:eastAsia="方正仿宋_GBK" w:cs="Times New Roman"/>
          <w:color w:val="auto"/>
          <w:kern w:val="0"/>
          <w:sz w:val="33"/>
          <w:szCs w:val="33"/>
          <w:highlight w:val="none"/>
          <w:lang w:val="en-US" w:eastAsia="zh-CN"/>
        </w:rPr>
        <w:t>万元</w:t>
      </w:r>
      <w:r>
        <w:rPr>
          <w:rFonts w:hint="eastAsia" w:ascii="Times New Roman" w:hAnsi="Times New Roman" w:eastAsia="方正仿宋_GBK" w:cs="Times New Roman"/>
          <w:color w:val="auto"/>
          <w:kern w:val="0"/>
          <w:sz w:val="33"/>
          <w:szCs w:val="33"/>
          <w:highlight w:val="none"/>
          <w:lang w:val="en-US" w:eastAsia="zh-CN"/>
        </w:rPr>
        <w:t>，完成预算</w:t>
      </w:r>
      <w:r>
        <w:rPr>
          <w:rFonts w:hint="eastAsia" w:eastAsia="方正仿宋_GBK" w:cs="Times New Roman"/>
          <w:color w:val="auto"/>
          <w:kern w:val="0"/>
          <w:sz w:val="33"/>
          <w:szCs w:val="33"/>
          <w:highlight w:val="none"/>
          <w:lang w:val="en-US" w:eastAsia="zh-CN"/>
        </w:rPr>
        <w:t>81.63</w:t>
      </w:r>
      <w:r>
        <w:rPr>
          <w:rFonts w:hint="eastAsia" w:ascii="Times New Roman" w:hAnsi="Times New Roman" w:eastAsia="方正仿宋_GBK" w:cs="Times New Roman"/>
          <w:color w:val="auto"/>
          <w:kern w:val="0"/>
          <w:sz w:val="33"/>
          <w:szCs w:val="33"/>
          <w:highlight w:val="none"/>
          <w:lang w:val="en-US" w:eastAsia="zh-CN"/>
        </w:rPr>
        <w:t>%。其中：</w:t>
      </w:r>
      <w:bookmarkEnd w:id="38"/>
      <w:bookmarkEnd w:id="39"/>
      <w:bookmarkEnd w:id="40"/>
    </w:p>
    <w:p w14:paraId="7CF0FFF9">
      <w:pPr>
        <w:spacing w:line="600" w:lineRule="exact"/>
        <w:ind w:firstLine="645"/>
        <w:rPr>
          <w:rFonts w:hint="eastAsia" w:ascii="Times New Roman" w:hAnsi="Times New Roman" w:eastAsia="方正仿宋_GBK" w:cs="Times New Roman"/>
          <w:color w:val="auto"/>
          <w:kern w:val="0"/>
          <w:sz w:val="33"/>
          <w:szCs w:val="33"/>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1. 一般公共服务（类）党委办公厅（室）及相关机构事务（款）事业运行（项）:支出决算为137.20万元，完成预算</w:t>
      </w:r>
      <w:r>
        <w:rPr>
          <w:rFonts w:hint="eastAsia" w:eastAsia="方正仿宋_GBK" w:cs="Times New Roman"/>
          <w:color w:val="auto"/>
          <w:kern w:val="0"/>
          <w:sz w:val="33"/>
          <w:szCs w:val="33"/>
          <w:highlight w:val="none"/>
          <w:lang w:val="en-US" w:eastAsia="zh-CN"/>
        </w:rPr>
        <w:t>100</w:t>
      </w:r>
      <w:r>
        <w:rPr>
          <w:rFonts w:hint="eastAsia" w:ascii="Times New Roman" w:hAnsi="Times New Roman" w:eastAsia="方正仿宋_GBK" w:cs="Times New Roman"/>
          <w:color w:val="auto"/>
          <w:kern w:val="0"/>
          <w:sz w:val="33"/>
          <w:szCs w:val="33"/>
          <w:highlight w:val="none"/>
          <w:lang w:val="en-US" w:eastAsia="zh-CN"/>
        </w:rPr>
        <w:t>%。</w:t>
      </w:r>
    </w:p>
    <w:p w14:paraId="33AFF23D">
      <w:pPr>
        <w:spacing w:line="600" w:lineRule="exact"/>
        <w:ind w:firstLine="660" w:firstLineChars="200"/>
        <w:rPr>
          <w:rFonts w:hint="eastAsia" w:ascii="Times New Roman" w:hAnsi="Times New Roman" w:eastAsia="方正仿宋_GBK" w:cs="Times New Roman"/>
          <w:color w:val="auto"/>
          <w:kern w:val="0"/>
          <w:sz w:val="33"/>
          <w:szCs w:val="33"/>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2. 一般公共服务（类）党委办公厅（室）及相关机构事务（款）专项业务（项）:支出决算为77.96万元，完成预算</w:t>
      </w:r>
      <w:r>
        <w:rPr>
          <w:rFonts w:hint="eastAsia" w:eastAsia="方正仿宋_GBK" w:cs="Times New Roman"/>
          <w:color w:val="auto"/>
          <w:kern w:val="0"/>
          <w:sz w:val="33"/>
          <w:szCs w:val="33"/>
          <w:highlight w:val="none"/>
          <w:lang w:val="en-US" w:eastAsia="zh-CN"/>
        </w:rPr>
        <w:t>81.63</w:t>
      </w:r>
      <w:r>
        <w:rPr>
          <w:rFonts w:hint="eastAsia" w:ascii="Times New Roman" w:hAnsi="Times New Roman" w:eastAsia="方正仿宋_GBK" w:cs="Times New Roman"/>
          <w:color w:val="auto"/>
          <w:kern w:val="0"/>
          <w:sz w:val="33"/>
          <w:szCs w:val="33"/>
          <w:highlight w:val="none"/>
          <w:lang w:val="en-US" w:eastAsia="zh-CN"/>
        </w:rPr>
        <w:t>%</w:t>
      </w:r>
      <w:r>
        <w:rPr>
          <w:rFonts w:hint="eastAsia" w:eastAsia="方正仿宋_GBK" w:cs="Times New Roman"/>
          <w:color w:val="auto"/>
          <w:kern w:val="0"/>
          <w:sz w:val="33"/>
          <w:szCs w:val="33"/>
          <w:highlight w:val="none"/>
          <w:lang w:val="en-US" w:eastAsia="zh-CN"/>
        </w:rPr>
        <w:t>，</w:t>
      </w:r>
      <w:r>
        <w:rPr>
          <w:rFonts w:hint="eastAsia" w:ascii="Times New Roman" w:hAnsi="Times New Roman" w:eastAsia="方正仿宋_GBK" w:cs="Times New Roman"/>
          <w:color w:val="auto"/>
          <w:kern w:val="0"/>
          <w:sz w:val="33"/>
          <w:szCs w:val="33"/>
          <w:highlight w:val="none"/>
          <w:lang w:val="en-US" w:eastAsia="zh-CN"/>
        </w:rPr>
        <w:t>决算数小于预算数的主要原因是受疫情影响，减少项目活动开支。</w:t>
      </w:r>
    </w:p>
    <w:p w14:paraId="7543D428">
      <w:pPr>
        <w:spacing w:line="600" w:lineRule="exact"/>
        <w:ind w:firstLine="645"/>
        <w:rPr>
          <w:rFonts w:hint="eastAsia" w:ascii="Times New Roman" w:hAnsi="Times New Roman" w:eastAsia="方正仿宋_GBK" w:cs="Times New Roman"/>
          <w:color w:val="auto"/>
          <w:kern w:val="0"/>
          <w:sz w:val="33"/>
          <w:szCs w:val="33"/>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3.社会保障和就业支出（类）行政事业单位养老支出（款）机关事业单位基本养老保险缴费支出（项）:支出决算为12.59万元，完成预算100%。</w:t>
      </w:r>
    </w:p>
    <w:p w14:paraId="13CE66AE">
      <w:pPr>
        <w:spacing w:line="600" w:lineRule="exact"/>
        <w:ind w:firstLine="645"/>
        <w:rPr>
          <w:rFonts w:hint="eastAsia" w:ascii="Times New Roman" w:hAnsi="Times New Roman" w:eastAsia="方正仿宋_GBK" w:cs="Times New Roman"/>
          <w:color w:val="auto"/>
          <w:kern w:val="0"/>
          <w:sz w:val="33"/>
          <w:szCs w:val="33"/>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4.卫生健康支出（类）行政事业单位医疗（款）事业单位医疗（项）:支出决算为0.77万元，完成预算100%。</w:t>
      </w:r>
    </w:p>
    <w:p w14:paraId="1EA5056A">
      <w:pPr>
        <w:spacing w:line="600" w:lineRule="exact"/>
        <w:ind w:firstLine="645"/>
        <w:rPr>
          <w:rFonts w:hint="eastAsia" w:ascii="Times New Roman" w:hAnsi="Times New Roman" w:eastAsia="方正仿宋_GBK" w:cs="Times New Roman"/>
          <w:color w:val="auto"/>
          <w:kern w:val="0"/>
          <w:sz w:val="33"/>
          <w:szCs w:val="33"/>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5.卫生健康支出（类）行政事业单位医疗（款）行政单位医疗（项）:支出决算为4.34万元，完成预算100%。</w:t>
      </w:r>
    </w:p>
    <w:p w14:paraId="0FDAC648">
      <w:pPr>
        <w:spacing w:line="600" w:lineRule="exact"/>
        <w:ind w:firstLine="645"/>
        <w:rPr>
          <w:rFonts w:hint="eastAsia" w:eastAsia="方正仿宋_GBK" w:cs="Times New Roman"/>
          <w:color w:val="auto"/>
          <w:kern w:val="0"/>
          <w:sz w:val="33"/>
          <w:szCs w:val="33"/>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6.其他支出（类）其他支出（款）其他支出（项）:支出决算为11万元，</w:t>
      </w:r>
      <w:r>
        <w:rPr>
          <w:rFonts w:hint="eastAsia" w:eastAsia="方正仿宋_GBK" w:cs="Times New Roman"/>
          <w:color w:val="auto"/>
          <w:kern w:val="0"/>
          <w:sz w:val="33"/>
          <w:szCs w:val="33"/>
          <w:highlight w:val="none"/>
          <w:lang w:val="en-US" w:eastAsia="zh-CN"/>
        </w:rPr>
        <w:t>该笔资金属于2020年结转结余资金。</w:t>
      </w:r>
    </w:p>
    <w:p w14:paraId="5DB27289">
      <w:pPr>
        <w:tabs>
          <w:tab w:val="right" w:pos="8306"/>
        </w:tabs>
        <w:spacing w:line="600" w:lineRule="exact"/>
        <w:ind w:firstLine="640"/>
        <w:outlineLvl w:val="1"/>
        <w:rPr>
          <w:rStyle w:val="26"/>
          <w:color w:val="auto"/>
          <w:highlight w:val="none"/>
        </w:rPr>
      </w:pPr>
      <w:bookmarkStart w:id="41" w:name="_Toc15396608"/>
      <w:bookmarkStart w:id="42"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41"/>
      <w:bookmarkEnd w:id="42"/>
      <w:r>
        <w:rPr>
          <w:rStyle w:val="26"/>
          <w:rFonts w:ascii="黑体" w:hAnsi="黑体" w:eastAsia="黑体"/>
          <w:b w:val="0"/>
          <w:color w:val="auto"/>
          <w:highlight w:val="none"/>
        </w:rPr>
        <w:tab/>
      </w:r>
    </w:p>
    <w:p w14:paraId="0583ED91">
      <w:pPr>
        <w:spacing w:line="600" w:lineRule="exact"/>
        <w:ind w:firstLine="645"/>
        <w:rPr>
          <w:rFonts w:hint="eastAsia" w:ascii="Times New Roman" w:hAnsi="Times New Roman" w:eastAsia="方正仿宋_GBK" w:cs="Times New Roman"/>
          <w:color w:val="auto"/>
          <w:kern w:val="0"/>
          <w:sz w:val="33"/>
          <w:szCs w:val="33"/>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2021年一般公共预算财政拨款基本支出</w:t>
      </w:r>
      <w:r>
        <w:rPr>
          <w:rFonts w:hint="eastAsia" w:eastAsia="方正仿宋_GBK" w:cs="Times New Roman"/>
          <w:color w:val="auto"/>
          <w:kern w:val="0"/>
          <w:sz w:val="33"/>
          <w:szCs w:val="33"/>
          <w:highlight w:val="none"/>
          <w:lang w:val="en-US" w:eastAsia="zh-CN"/>
        </w:rPr>
        <w:t>154.90</w:t>
      </w:r>
      <w:r>
        <w:rPr>
          <w:rFonts w:hint="eastAsia" w:ascii="Times New Roman" w:hAnsi="Times New Roman" w:eastAsia="方正仿宋_GBK" w:cs="Times New Roman"/>
          <w:color w:val="auto"/>
          <w:kern w:val="0"/>
          <w:sz w:val="33"/>
          <w:szCs w:val="33"/>
          <w:highlight w:val="none"/>
          <w:lang w:val="en-US" w:eastAsia="zh-CN"/>
        </w:rPr>
        <w:t>万元，其中：</w:t>
      </w:r>
    </w:p>
    <w:p w14:paraId="33669FDE">
      <w:pPr>
        <w:spacing w:line="600" w:lineRule="exact"/>
        <w:ind w:firstLine="645"/>
        <w:rPr>
          <w:rFonts w:hint="eastAsia" w:ascii="Times New Roman" w:hAnsi="Times New Roman" w:eastAsia="方正仿宋_GBK" w:cs="Times New Roman"/>
          <w:color w:val="auto"/>
          <w:kern w:val="0"/>
          <w:sz w:val="33"/>
          <w:szCs w:val="33"/>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人员经费</w:t>
      </w:r>
      <w:r>
        <w:rPr>
          <w:rFonts w:hint="eastAsia" w:eastAsia="方正仿宋_GBK" w:cs="Times New Roman"/>
          <w:color w:val="auto"/>
          <w:kern w:val="0"/>
          <w:sz w:val="33"/>
          <w:szCs w:val="33"/>
          <w:highlight w:val="none"/>
          <w:lang w:val="en-US" w:eastAsia="zh-CN"/>
        </w:rPr>
        <w:t>104.12</w:t>
      </w:r>
      <w:r>
        <w:rPr>
          <w:rFonts w:hint="eastAsia" w:ascii="Times New Roman" w:hAnsi="Times New Roman" w:eastAsia="方正仿宋_GBK" w:cs="Times New Roman"/>
          <w:color w:val="auto"/>
          <w:kern w:val="0"/>
          <w:sz w:val="33"/>
          <w:szCs w:val="33"/>
          <w:highlight w:val="none"/>
          <w:lang w:val="en-US" w:eastAsia="zh-CN"/>
        </w:rPr>
        <w:t>万元，主要包括：基本工资、津贴补贴、奖金、伙食补助费、机关事业单位基本养老保险缴费、职工基本医疗保险、其他社会保障缴费、其他工资福利支出、奖励金。</w:t>
      </w:r>
    </w:p>
    <w:p w14:paraId="1745AE29">
      <w:pPr>
        <w:spacing w:line="600" w:lineRule="exact"/>
        <w:ind w:firstLine="645"/>
        <w:rPr>
          <w:rFonts w:hint="eastAsia"/>
          <w:lang w:eastAsia="zh-CN"/>
        </w:rPr>
      </w:pPr>
      <w:r>
        <w:rPr>
          <w:rFonts w:hint="eastAsia" w:ascii="Times New Roman" w:hAnsi="Times New Roman" w:eastAsia="方正仿宋_GBK" w:cs="Times New Roman"/>
          <w:color w:val="auto"/>
          <w:kern w:val="0"/>
          <w:sz w:val="33"/>
          <w:szCs w:val="33"/>
          <w:highlight w:val="none"/>
          <w:lang w:val="en-US" w:eastAsia="zh-CN"/>
        </w:rPr>
        <w:t>公用经费</w:t>
      </w:r>
      <w:r>
        <w:rPr>
          <w:rFonts w:hint="eastAsia" w:eastAsia="方正仿宋_GBK" w:cs="Times New Roman"/>
          <w:color w:val="auto"/>
          <w:kern w:val="0"/>
          <w:sz w:val="33"/>
          <w:szCs w:val="33"/>
          <w:highlight w:val="none"/>
          <w:lang w:val="en-US" w:eastAsia="zh-CN"/>
        </w:rPr>
        <w:t>50.78</w:t>
      </w:r>
      <w:r>
        <w:rPr>
          <w:rFonts w:hint="eastAsia" w:ascii="Times New Roman" w:hAnsi="Times New Roman" w:eastAsia="方正仿宋_GBK" w:cs="Times New Roman"/>
          <w:color w:val="auto"/>
          <w:kern w:val="0"/>
          <w:sz w:val="33"/>
          <w:szCs w:val="33"/>
          <w:highlight w:val="none"/>
          <w:lang w:val="en-US" w:eastAsia="zh-CN"/>
        </w:rPr>
        <w:t>万元，主要包括：办公费、手续费、水费、邮电费、差旅费、会议费、劳务费、工会经费、福利费、公务用车运行维护费、其他交通费、其他商品和服务支出。</w:t>
      </w:r>
    </w:p>
    <w:p w14:paraId="6A5C312D">
      <w:pPr>
        <w:pStyle w:val="8"/>
        <w:numPr>
          <w:ilvl w:val="0"/>
          <w:numId w:val="3"/>
        </w:numPr>
        <w:ind w:firstLine="643" w:firstLineChars="200"/>
        <w:rPr>
          <w:rStyle w:val="26"/>
          <w:rFonts w:hint="eastAsia" w:ascii="黑体" w:hAnsi="黑体" w:eastAsia="黑体"/>
          <w:b w:val="0"/>
          <w:color w:val="auto"/>
          <w:highlight w:val="none"/>
        </w:rPr>
      </w:pP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w:t>
      </w:r>
      <w:r>
        <w:rPr>
          <w:rStyle w:val="26"/>
          <w:rFonts w:hint="eastAsia" w:ascii="黑体" w:hAnsi="黑体" w:eastAsia="黑体"/>
          <w:b w:val="0"/>
          <w:color w:val="auto"/>
          <w:highlight w:val="none"/>
          <w:lang w:eastAsia="zh-CN"/>
        </w:rPr>
        <w:t>项目</w:t>
      </w:r>
      <w:r>
        <w:rPr>
          <w:rStyle w:val="26"/>
          <w:rFonts w:hint="eastAsia" w:ascii="黑体" w:hAnsi="黑体" w:eastAsia="黑体"/>
          <w:b w:val="0"/>
          <w:color w:val="auto"/>
          <w:highlight w:val="none"/>
        </w:rPr>
        <w:t>支出决算情况说明</w:t>
      </w:r>
    </w:p>
    <w:p w14:paraId="29083688">
      <w:pPr>
        <w:spacing w:line="600" w:lineRule="exact"/>
        <w:ind w:firstLine="640"/>
        <w:rPr>
          <w:rFonts w:hint="eastAsia" w:ascii="Times New Roman" w:hAnsi="Times New Roman" w:eastAsia="方正仿宋_GBK" w:cs="Times New Roman"/>
          <w:color w:val="auto"/>
          <w:kern w:val="0"/>
          <w:sz w:val="33"/>
          <w:szCs w:val="33"/>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2021年一般公共预算财政拨款项目支出88.</w:t>
      </w:r>
      <w:r>
        <w:rPr>
          <w:rFonts w:hint="eastAsia" w:eastAsia="方正仿宋_GBK" w:cs="Times New Roman"/>
          <w:color w:val="auto"/>
          <w:kern w:val="0"/>
          <w:sz w:val="33"/>
          <w:szCs w:val="33"/>
          <w:highlight w:val="none"/>
          <w:lang w:val="en-US" w:eastAsia="zh-CN"/>
        </w:rPr>
        <w:t>97</w:t>
      </w:r>
      <w:r>
        <w:rPr>
          <w:rFonts w:hint="eastAsia" w:ascii="Times New Roman" w:hAnsi="Times New Roman" w:eastAsia="方正仿宋_GBK" w:cs="Times New Roman"/>
          <w:color w:val="auto"/>
          <w:kern w:val="0"/>
          <w:sz w:val="33"/>
          <w:szCs w:val="33"/>
          <w:highlight w:val="none"/>
          <w:lang w:val="en-US" w:eastAsia="zh-CN"/>
        </w:rPr>
        <w:t>万元，其中：</w:t>
      </w:r>
    </w:p>
    <w:p w14:paraId="010160D7">
      <w:pPr>
        <w:spacing w:line="600" w:lineRule="exact"/>
        <w:ind w:firstLine="640"/>
        <w:rPr>
          <w:rFonts w:hint="eastAsia" w:ascii="Times New Roman" w:hAnsi="Times New Roman" w:eastAsia="方正仿宋_GBK" w:cs="Times New Roman"/>
          <w:color w:val="auto"/>
          <w:kern w:val="0"/>
          <w:sz w:val="33"/>
          <w:szCs w:val="33"/>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市级项目支出88.</w:t>
      </w:r>
      <w:r>
        <w:rPr>
          <w:rFonts w:hint="eastAsia" w:eastAsia="方正仿宋_GBK" w:cs="Times New Roman"/>
          <w:color w:val="auto"/>
          <w:kern w:val="0"/>
          <w:sz w:val="33"/>
          <w:szCs w:val="33"/>
          <w:highlight w:val="none"/>
          <w:lang w:val="en-US" w:eastAsia="zh-CN"/>
        </w:rPr>
        <w:t>97</w:t>
      </w:r>
      <w:r>
        <w:rPr>
          <w:rFonts w:hint="eastAsia" w:ascii="Times New Roman" w:hAnsi="Times New Roman" w:eastAsia="方正仿宋_GBK" w:cs="Times New Roman"/>
          <w:color w:val="auto"/>
          <w:kern w:val="0"/>
          <w:sz w:val="33"/>
          <w:szCs w:val="33"/>
          <w:highlight w:val="none"/>
          <w:lang w:val="en-US" w:eastAsia="zh-CN"/>
        </w:rPr>
        <w:t>万元，主要用于：项目经费支出88.</w:t>
      </w:r>
      <w:r>
        <w:rPr>
          <w:rFonts w:hint="eastAsia" w:eastAsia="方正仿宋_GBK" w:cs="Times New Roman"/>
          <w:color w:val="auto"/>
          <w:kern w:val="0"/>
          <w:sz w:val="33"/>
          <w:szCs w:val="33"/>
          <w:highlight w:val="none"/>
          <w:lang w:val="en-US" w:eastAsia="zh-CN"/>
        </w:rPr>
        <w:t>97</w:t>
      </w:r>
      <w:r>
        <w:rPr>
          <w:rFonts w:hint="eastAsia" w:ascii="Times New Roman" w:hAnsi="Times New Roman" w:eastAsia="方正仿宋_GBK" w:cs="Times New Roman"/>
          <w:color w:val="auto"/>
          <w:kern w:val="0"/>
          <w:sz w:val="33"/>
          <w:szCs w:val="33"/>
          <w:highlight w:val="none"/>
          <w:lang w:val="en-US" w:eastAsia="zh-CN"/>
        </w:rPr>
        <w:t>万元，包括办公费、印刷费、水费、电费、邮电费、物业管理费、差旅费、租赁费、劳务费、委托业务费、其他交通费、其他商品和服务支出等。</w:t>
      </w:r>
    </w:p>
    <w:p w14:paraId="310426D5">
      <w:pPr>
        <w:spacing w:line="600" w:lineRule="exact"/>
        <w:ind w:firstLine="640"/>
        <w:outlineLvl w:val="1"/>
        <w:rPr>
          <w:rStyle w:val="26"/>
          <w:rFonts w:ascii="黑体" w:hAnsi="黑体" w:eastAsia="黑体"/>
          <w:b w:val="0"/>
          <w:color w:val="auto"/>
          <w:highlight w:val="none"/>
        </w:rPr>
      </w:pPr>
      <w:bookmarkStart w:id="43" w:name="_Toc15396609"/>
      <w:bookmarkStart w:id="44" w:name="_Toc15377215"/>
      <w:r>
        <w:rPr>
          <w:rFonts w:hint="eastAsia" w:ascii="黑体" w:eastAsia="黑体"/>
          <w:color w:val="auto"/>
          <w:sz w:val="32"/>
          <w:szCs w:val="32"/>
          <w:highlight w:val="none"/>
          <w:lang w:eastAsia="zh-CN"/>
        </w:rPr>
        <w:t>八</w:t>
      </w:r>
      <w:r>
        <w:rPr>
          <w:rFonts w:hint="eastAsia" w:ascii="黑体" w:eastAsia="黑体"/>
          <w:color w:val="auto"/>
          <w:sz w:val="32"/>
          <w:szCs w:val="32"/>
          <w:highlight w:val="none"/>
        </w:rPr>
        <w:t>、</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三公”经费财政拨款支出决算情况说明</w:t>
      </w:r>
      <w:bookmarkEnd w:id="43"/>
      <w:bookmarkEnd w:id="44"/>
    </w:p>
    <w:p w14:paraId="2AE07513">
      <w:pPr>
        <w:spacing w:line="600" w:lineRule="exact"/>
        <w:ind w:firstLine="640"/>
        <w:outlineLvl w:val="2"/>
        <w:rPr>
          <w:rFonts w:ascii="仿宋" w:hAnsi="仿宋" w:eastAsia="仿宋"/>
          <w:b/>
          <w:color w:val="auto"/>
          <w:sz w:val="32"/>
          <w:szCs w:val="32"/>
          <w:highlight w:val="none"/>
        </w:rPr>
      </w:pPr>
      <w:bookmarkStart w:id="45" w:name="_Toc15377216"/>
      <w:r>
        <w:rPr>
          <w:rFonts w:hint="eastAsia" w:ascii="仿宋" w:hAnsi="仿宋" w:eastAsia="仿宋"/>
          <w:b/>
          <w:color w:val="auto"/>
          <w:sz w:val="32"/>
          <w:szCs w:val="32"/>
          <w:highlight w:val="none"/>
        </w:rPr>
        <w:t>（一）“三公”经费财政拨款支出决算总体情况说明</w:t>
      </w:r>
      <w:bookmarkEnd w:id="45"/>
    </w:p>
    <w:p w14:paraId="53BE3C75">
      <w:pPr>
        <w:spacing w:line="600" w:lineRule="exact"/>
        <w:ind w:firstLine="640"/>
        <w:rPr>
          <w:rFonts w:hint="eastAsia" w:ascii="Times New Roman" w:hAnsi="Times New Roman" w:eastAsia="方正仿宋_GBK" w:cs="Times New Roman"/>
          <w:color w:val="auto"/>
          <w:kern w:val="0"/>
          <w:sz w:val="33"/>
          <w:szCs w:val="33"/>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2021年“三公”经费财政拨款支出决算为7.38万元，完成预算51.79%，比2020年增加1.36万元，增长22.59%，主要原因是加大招商引资力度，增大公务用车运行费。决算数小于预算数的主要原因是单位加强了财务支出管理，节约了开支。</w:t>
      </w:r>
    </w:p>
    <w:p w14:paraId="2AEC1636">
      <w:pPr>
        <w:spacing w:line="600" w:lineRule="exact"/>
        <w:ind w:firstLine="640"/>
        <w:outlineLvl w:val="2"/>
        <w:rPr>
          <w:rFonts w:ascii="仿宋" w:hAnsi="仿宋" w:eastAsia="仿宋"/>
          <w:b/>
          <w:color w:val="auto"/>
          <w:sz w:val="32"/>
          <w:szCs w:val="32"/>
          <w:highlight w:val="none"/>
        </w:rPr>
      </w:pPr>
      <w:bookmarkStart w:id="46" w:name="_Toc15377217"/>
      <w:r>
        <w:rPr>
          <w:rFonts w:hint="eastAsia" w:ascii="仿宋" w:hAnsi="仿宋" w:eastAsia="仿宋"/>
          <w:b/>
          <w:color w:val="auto"/>
          <w:sz w:val="32"/>
          <w:szCs w:val="32"/>
          <w:highlight w:val="none"/>
        </w:rPr>
        <w:t>（二）“三公”经费财政拨款支出决算具体情况说明</w:t>
      </w:r>
      <w:bookmarkEnd w:id="46"/>
    </w:p>
    <w:p w14:paraId="1C241344">
      <w:pPr>
        <w:spacing w:line="600" w:lineRule="exact"/>
        <w:ind w:firstLine="640"/>
        <w:rPr>
          <w:rFonts w:hint="eastAsia" w:ascii="Times New Roman" w:hAnsi="Times New Roman" w:eastAsia="方正仿宋_GBK" w:cs="Times New Roman"/>
          <w:color w:val="auto"/>
          <w:kern w:val="0"/>
          <w:sz w:val="33"/>
          <w:szCs w:val="33"/>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2021年“三公”经费财政拨款支出7.38万元，比2020年增加1.36万元，增长22.59%，主要原因是加大招商引资力度，增大公务用车运行费。其中：因公出国（境）费支出决算0万元，占0%；公务用车购置及运行维护费支出决算7.38万元，占</w:t>
      </w:r>
      <w:r>
        <w:rPr>
          <w:rFonts w:hint="eastAsia" w:eastAsia="方正仿宋_GBK" w:cs="Times New Roman"/>
          <w:color w:val="auto"/>
          <w:kern w:val="0"/>
          <w:sz w:val="33"/>
          <w:szCs w:val="33"/>
          <w:highlight w:val="none"/>
          <w:lang w:val="en-US" w:eastAsia="zh-CN"/>
        </w:rPr>
        <w:t>99.73</w:t>
      </w:r>
      <w:r>
        <w:rPr>
          <w:rFonts w:hint="eastAsia" w:ascii="Times New Roman" w:hAnsi="Times New Roman" w:eastAsia="方正仿宋_GBK" w:cs="Times New Roman"/>
          <w:color w:val="auto"/>
          <w:kern w:val="0"/>
          <w:sz w:val="33"/>
          <w:szCs w:val="33"/>
          <w:highlight w:val="none"/>
          <w:lang w:val="en-US" w:eastAsia="zh-CN"/>
        </w:rPr>
        <w:t>%；公务接待费支出决算0万元，占0%。具体情况如下：</w:t>
      </w:r>
    </w:p>
    <w:p w14:paraId="714D284B">
      <w:pPr>
        <w:pStyle w:val="8"/>
        <w:rPr>
          <w:rFonts w:hint="eastAsia"/>
        </w:rPr>
      </w:pPr>
    </w:p>
    <w:p w14:paraId="7B4C9DD5">
      <w:pPr>
        <w:pStyle w:val="8"/>
        <w:rPr>
          <w:rFonts w:hint="eastAsia" w:ascii="仿宋" w:hAnsi="仿宋" w:eastAsia="仿宋"/>
          <w:color w:val="auto"/>
          <w:sz w:val="32"/>
          <w:szCs w:val="32"/>
          <w:highlight w:val="none"/>
        </w:rPr>
      </w:pPr>
      <w:r>
        <w:rPr>
          <w:rFonts w:ascii="仿宋" w:hAnsi="仿宋" w:eastAsia="仿宋"/>
          <w:color w:val="000000"/>
          <w:sz w:val="32"/>
          <w:szCs w:val="32"/>
        </w:rPr>
        <w:drawing>
          <wp:inline distT="0" distB="0" distL="0" distR="0">
            <wp:extent cx="5097780" cy="1258570"/>
            <wp:effectExtent l="4445" t="4445" r="22225" b="13335"/>
            <wp:docPr id="19"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E8D439">
      <w:pPr>
        <w:pStyle w:val="8"/>
      </w:pPr>
    </w:p>
    <w:p w14:paraId="730A283D">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14:paraId="7AE30A66">
      <w:pPr>
        <w:spacing w:line="600" w:lineRule="exact"/>
        <w:ind w:firstLine="640"/>
        <w:rPr>
          <w:rFonts w:hint="eastAsia" w:ascii="Times New Roman" w:hAnsi="Times New Roman" w:eastAsia="方正仿宋_GBK" w:cs="Times New Roman"/>
          <w:color w:val="auto"/>
          <w:kern w:val="0"/>
          <w:sz w:val="33"/>
          <w:szCs w:val="33"/>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1.因公出国（境）经费支出0万元，完成预算0%。全年安排因公出国（境）团组0次，出国（境）0人。因公出国（境）支出决算比2020年增加/减少0万元，增长/下降0%。</w:t>
      </w:r>
    </w:p>
    <w:p w14:paraId="5990434F">
      <w:pPr>
        <w:spacing w:line="600" w:lineRule="exact"/>
        <w:ind w:firstLine="640"/>
        <w:rPr>
          <w:rFonts w:hint="eastAsia" w:ascii="Times New Roman" w:hAnsi="Times New Roman" w:eastAsia="方正仿宋_GBK" w:cs="Times New Roman"/>
          <w:color w:val="auto"/>
          <w:kern w:val="0"/>
          <w:sz w:val="33"/>
          <w:szCs w:val="33"/>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2.公务用车购置及运行维护费支出7.38万元,完成预算51.79%。公务用车购置及运行维护费支出决算比2020年增加1.70万元，增长29.93%。主要原因是招商项目工作量增大，出车率增大。</w:t>
      </w:r>
    </w:p>
    <w:p w14:paraId="255E0495">
      <w:pPr>
        <w:spacing w:line="600" w:lineRule="exact"/>
        <w:ind w:firstLine="640"/>
        <w:rPr>
          <w:rFonts w:hint="eastAsia" w:ascii="Times New Roman" w:hAnsi="Times New Roman" w:eastAsia="方正仿宋_GBK" w:cs="Times New Roman"/>
          <w:color w:val="auto"/>
          <w:kern w:val="0"/>
          <w:sz w:val="33"/>
          <w:szCs w:val="33"/>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其中：公务用车购置支出0万元。全年按规定更新购置公务用车0辆，其中：轿车0辆、金额0万元，越野车0辆、金额0万元，载客汽车0辆、金额0万元。截至2021年12月底，单位共有公务用车1辆，其中：越野车1辆。</w:t>
      </w:r>
    </w:p>
    <w:p w14:paraId="1B1FA2C6">
      <w:pPr>
        <w:spacing w:line="600" w:lineRule="exact"/>
        <w:ind w:firstLine="640"/>
        <w:rPr>
          <w:rFonts w:hint="eastAsia" w:ascii="Times New Roman" w:hAnsi="Times New Roman" w:eastAsia="方正仿宋_GBK" w:cs="Times New Roman"/>
          <w:color w:val="auto"/>
          <w:kern w:val="0"/>
          <w:sz w:val="33"/>
          <w:szCs w:val="33"/>
          <w:highlight w:val="none"/>
          <w:lang w:val="en-US" w:eastAsia="zh-CN"/>
        </w:rPr>
      </w:pPr>
      <w:r>
        <w:rPr>
          <w:rFonts w:hint="eastAsia" w:ascii="仿宋_GB2312" w:eastAsia="仿宋_GB2312"/>
          <w:b/>
          <w:color w:val="auto"/>
          <w:sz w:val="32"/>
          <w:szCs w:val="32"/>
          <w:highlight w:val="none"/>
        </w:rPr>
        <w:t>公</w:t>
      </w:r>
      <w:r>
        <w:rPr>
          <w:rFonts w:hint="eastAsia" w:ascii="Times New Roman" w:hAnsi="Times New Roman" w:eastAsia="方正仿宋_GBK" w:cs="Times New Roman"/>
          <w:color w:val="auto"/>
          <w:kern w:val="0"/>
          <w:sz w:val="33"/>
          <w:szCs w:val="33"/>
          <w:highlight w:val="none"/>
          <w:lang w:val="en-US" w:eastAsia="zh-CN"/>
        </w:rPr>
        <w:t>务用车运行维护费支出7.38万元。比2020年增加1.70万元，增长29.93%。主要原因是招商项目工作量增大，出车率增大。主要用于市驻蓉办开展招商引资、信访维稳、政务联络、会议接待等所需的公务用车燃料费、维修费、过路过桥费、保险费等支出。</w:t>
      </w:r>
    </w:p>
    <w:p w14:paraId="09CAD6EA">
      <w:pPr>
        <w:spacing w:line="600" w:lineRule="exact"/>
        <w:ind w:firstLine="640"/>
        <w:rPr>
          <w:rFonts w:ascii="仿宋_GB2312" w:eastAsia="仿宋_GB2312"/>
          <w:color w:val="auto"/>
          <w:sz w:val="32"/>
          <w:szCs w:val="32"/>
          <w:highlight w:val="none"/>
        </w:rPr>
      </w:pPr>
      <w:r>
        <w:rPr>
          <w:rFonts w:hint="eastAsia" w:ascii="Times New Roman" w:hAnsi="Times New Roman" w:eastAsia="方正仿宋_GBK" w:cs="Times New Roman"/>
          <w:color w:val="auto"/>
          <w:kern w:val="0"/>
          <w:sz w:val="33"/>
          <w:szCs w:val="33"/>
          <w:highlight w:val="none"/>
          <w:lang w:val="en-US" w:eastAsia="zh-CN"/>
        </w:rPr>
        <w:t>3.公务接待费支出0万元，完成预算0%。公务接待费支出决算比2020年减少0.34万元，下降100%。</w:t>
      </w:r>
      <w:r>
        <w:rPr>
          <w:rFonts w:hint="eastAsia" w:eastAsia="方正仿宋_GBK" w:cs="Times New Roman"/>
          <w:color w:val="auto"/>
          <w:kern w:val="0"/>
          <w:sz w:val="33"/>
          <w:szCs w:val="33"/>
          <w:highlight w:val="none"/>
          <w:lang w:val="en-US" w:eastAsia="zh-CN"/>
        </w:rPr>
        <w:t>主要原因是厉行节约，减少公务接待开支。</w:t>
      </w:r>
      <w:r>
        <w:rPr>
          <w:rFonts w:hint="eastAsia" w:ascii="Times New Roman" w:hAnsi="Times New Roman" w:eastAsia="方正仿宋_GBK" w:cs="Times New Roman"/>
          <w:color w:val="auto"/>
          <w:kern w:val="0"/>
          <w:sz w:val="33"/>
          <w:szCs w:val="33"/>
          <w:highlight w:val="none"/>
          <w:lang w:val="en-US" w:eastAsia="zh-CN"/>
        </w:rPr>
        <w:t>其中：</w:t>
      </w:r>
    </w:p>
    <w:p w14:paraId="4DBBC4BD">
      <w:pPr>
        <w:spacing w:line="600" w:lineRule="exact"/>
        <w:ind w:firstLine="640"/>
        <w:rPr>
          <w:rFonts w:hint="eastAsia" w:ascii="Times New Roman" w:hAnsi="Times New Roman" w:eastAsia="方正仿宋_GBK" w:cs="Times New Roman"/>
          <w:color w:val="auto"/>
          <w:kern w:val="0"/>
          <w:sz w:val="33"/>
          <w:szCs w:val="33"/>
          <w:highlight w:val="none"/>
          <w:lang w:val="en-US" w:eastAsia="zh-CN"/>
        </w:rPr>
      </w:pPr>
      <w:r>
        <w:rPr>
          <w:rFonts w:hint="eastAsia" w:ascii="仿宋" w:hAnsi="仿宋" w:eastAsia="仿宋"/>
          <w:b/>
          <w:color w:val="auto"/>
          <w:sz w:val="32"/>
          <w:szCs w:val="32"/>
          <w:highlight w:val="none"/>
        </w:rPr>
        <w:t>国内公务接待支出</w:t>
      </w:r>
      <w:r>
        <w:rPr>
          <w:rFonts w:hint="eastAsia" w:ascii="Times New Roman" w:hAnsi="Times New Roman" w:eastAsia="方正仿宋_GBK" w:cs="Times New Roman"/>
          <w:color w:val="auto"/>
          <w:kern w:val="0"/>
          <w:sz w:val="33"/>
          <w:szCs w:val="33"/>
          <w:highlight w:val="none"/>
          <w:lang w:val="en-US" w:eastAsia="zh-CN"/>
        </w:rPr>
        <w:t>0万元。国内公务接待0批次，0人次（不包括陪同人员），共计支出0万元。</w:t>
      </w:r>
    </w:p>
    <w:p w14:paraId="07282B2C">
      <w:pPr>
        <w:spacing w:line="600" w:lineRule="exact"/>
        <w:ind w:firstLine="640"/>
        <w:outlineLvl w:val="1"/>
        <w:rPr>
          <w:rFonts w:hint="eastAsia" w:ascii="Times New Roman" w:hAnsi="Times New Roman" w:eastAsia="方正仿宋_GBK" w:cs="Times New Roman"/>
          <w:color w:val="auto"/>
          <w:kern w:val="0"/>
          <w:sz w:val="33"/>
          <w:szCs w:val="33"/>
          <w:highlight w:val="none"/>
          <w:lang w:val="en-US" w:eastAsia="zh-CN"/>
        </w:rPr>
      </w:pPr>
      <w:r>
        <w:rPr>
          <w:rFonts w:hint="eastAsia" w:ascii="仿宋" w:hAnsi="仿宋" w:eastAsia="仿宋"/>
          <w:b/>
          <w:color w:val="auto"/>
          <w:sz w:val="32"/>
          <w:szCs w:val="32"/>
          <w:highlight w:val="none"/>
        </w:rPr>
        <w:t>外事接待支出</w:t>
      </w:r>
      <w:r>
        <w:rPr>
          <w:rFonts w:hint="eastAsia" w:ascii="Times New Roman" w:hAnsi="Times New Roman" w:eastAsia="方正仿宋_GBK" w:cs="Times New Roman"/>
          <w:color w:val="auto"/>
          <w:kern w:val="0"/>
          <w:sz w:val="33"/>
          <w:szCs w:val="33"/>
          <w:highlight w:val="none"/>
          <w:lang w:val="en-US" w:eastAsia="zh-CN"/>
        </w:rPr>
        <w:t>0</w:t>
      </w:r>
      <w:r>
        <w:rPr>
          <w:rFonts w:hint="eastAsia" w:ascii="Times New Roman" w:hAnsi="Times New Roman" w:eastAsia="方正仿宋_GBK" w:cs="Times New Roman"/>
          <w:color w:val="auto"/>
          <w:kern w:val="0"/>
          <w:sz w:val="33"/>
          <w:szCs w:val="33"/>
          <w:highlight w:val="none"/>
        </w:rPr>
        <w:t>万元，外事接待</w:t>
      </w:r>
      <w:r>
        <w:rPr>
          <w:rFonts w:hint="eastAsia" w:ascii="Times New Roman" w:hAnsi="Times New Roman" w:eastAsia="方正仿宋_GBK" w:cs="Times New Roman"/>
          <w:color w:val="auto"/>
          <w:kern w:val="0"/>
          <w:sz w:val="33"/>
          <w:szCs w:val="33"/>
          <w:highlight w:val="none"/>
          <w:lang w:val="en-US" w:eastAsia="zh-CN"/>
        </w:rPr>
        <w:t>0</w:t>
      </w:r>
      <w:r>
        <w:rPr>
          <w:rFonts w:hint="eastAsia" w:ascii="Times New Roman" w:hAnsi="Times New Roman" w:eastAsia="方正仿宋_GBK" w:cs="Times New Roman"/>
          <w:color w:val="auto"/>
          <w:kern w:val="0"/>
          <w:sz w:val="33"/>
          <w:szCs w:val="33"/>
          <w:highlight w:val="none"/>
        </w:rPr>
        <w:t>批次，</w:t>
      </w:r>
      <w:r>
        <w:rPr>
          <w:rFonts w:hint="eastAsia" w:ascii="Times New Roman" w:hAnsi="Times New Roman" w:eastAsia="方正仿宋_GBK" w:cs="Times New Roman"/>
          <w:color w:val="auto"/>
          <w:kern w:val="0"/>
          <w:sz w:val="33"/>
          <w:szCs w:val="33"/>
          <w:highlight w:val="none"/>
          <w:lang w:val="en-US" w:eastAsia="zh-CN"/>
        </w:rPr>
        <w:t>0</w:t>
      </w:r>
      <w:r>
        <w:rPr>
          <w:rFonts w:hint="eastAsia" w:ascii="Times New Roman" w:hAnsi="Times New Roman" w:eastAsia="方正仿宋_GBK" w:cs="Times New Roman"/>
          <w:color w:val="auto"/>
          <w:kern w:val="0"/>
          <w:sz w:val="33"/>
          <w:szCs w:val="33"/>
          <w:highlight w:val="none"/>
        </w:rPr>
        <w:t>人，共计支出</w:t>
      </w:r>
      <w:r>
        <w:rPr>
          <w:rFonts w:hint="eastAsia" w:ascii="Times New Roman" w:hAnsi="Times New Roman" w:eastAsia="方正仿宋_GBK" w:cs="Times New Roman"/>
          <w:color w:val="auto"/>
          <w:kern w:val="0"/>
          <w:sz w:val="33"/>
          <w:szCs w:val="33"/>
          <w:highlight w:val="none"/>
          <w:lang w:val="en-US" w:eastAsia="zh-CN"/>
        </w:rPr>
        <w:t>0</w:t>
      </w:r>
      <w:r>
        <w:rPr>
          <w:rFonts w:hint="eastAsia" w:ascii="Times New Roman" w:hAnsi="Times New Roman" w:eastAsia="方正仿宋_GBK" w:cs="Times New Roman"/>
          <w:color w:val="auto"/>
          <w:kern w:val="0"/>
          <w:sz w:val="33"/>
          <w:szCs w:val="33"/>
          <w:highlight w:val="none"/>
        </w:rPr>
        <w:t>万元</w:t>
      </w:r>
      <w:bookmarkStart w:id="47" w:name="_Toc15396610"/>
      <w:bookmarkStart w:id="48" w:name="_Toc15377218"/>
      <w:r>
        <w:rPr>
          <w:rFonts w:hint="eastAsia" w:ascii="Times New Roman" w:hAnsi="Times New Roman" w:eastAsia="方正仿宋_GBK" w:cs="Times New Roman"/>
          <w:color w:val="auto"/>
          <w:kern w:val="0"/>
          <w:sz w:val="33"/>
          <w:szCs w:val="33"/>
          <w:highlight w:val="none"/>
          <w:lang w:eastAsia="zh-CN"/>
        </w:rPr>
        <w:t>。</w:t>
      </w:r>
    </w:p>
    <w:p w14:paraId="4883E051">
      <w:pPr>
        <w:spacing w:line="600" w:lineRule="exact"/>
        <w:ind w:firstLine="640"/>
        <w:outlineLvl w:val="1"/>
        <w:rPr>
          <w:rStyle w:val="26"/>
          <w:rFonts w:ascii="黑体" w:hAnsi="黑体" w:eastAsia="黑体"/>
          <w:color w:val="auto"/>
          <w:highlight w:val="none"/>
        </w:rPr>
      </w:pPr>
      <w:r>
        <w:rPr>
          <w:rFonts w:hint="eastAsia" w:ascii="黑体" w:eastAsia="黑体"/>
          <w:color w:val="auto"/>
          <w:sz w:val="32"/>
          <w:szCs w:val="32"/>
          <w:highlight w:val="none"/>
          <w:lang w:eastAsia="zh-CN"/>
        </w:rPr>
        <w:t>九</w:t>
      </w:r>
      <w:r>
        <w:rPr>
          <w:rFonts w:hint="eastAsia" w:ascii="黑体" w:eastAsia="黑体"/>
          <w:color w:val="auto"/>
          <w:sz w:val="32"/>
          <w:szCs w:val="32"/>
          <w:highlight w:val="none"/>
        </w:rPr>
        <w:t>、</w:t>
      </w:r>
      <w:r>
        <w:rPr>
          <w:rStyle w:val="26"/>
          <w:rFonts w:hint="eastAsia" w:ascii="黑体" w:hAnsi="黑体" w:eastAsia="黑体"/>
          <w:b w:val="0"/>
          <w:color w:val="auto"/>
          <w:highlight w:val="none"/>
        </w:rPr>
        <w:t>政府性基金预算支出决算情况说明</w:t>
      </w:r>
      <w:bookmarkEnd w:id="47"/>
      <w:bookmarkEnd w:id="48"/>
    </w:p>
    <w:p w14:paraId="7342803E">
      <w:pPr>
        <w:snapToGrid w:val="0"/>
        <w:spacing w:line="590" w:lineRule="exact"/>
        <w:ind w:firstLine="660" w:firstLineChars="200"/>
        <w:rPr>
          <w:rFonts w:hint="eastAsia" w:ascii="Times New Roman" w:hAnsi="Times New Roman" w:eastAsia="方正仿宋_GBK" w:cs="Times New Roman"/>
          <w:color w:val="auto"/>
          <w:kern w:val="0"/>
          <w:sz w:val="33"/>
          <w:szCs w:val="33"/>
          <w:highlight w:val="none"/>
        </w:rPr>
      </w:pPr>
      <w:r>
        <w:rPr>
          <w:rFonts w:hint="eastAsia" w:ascii="Times New Roman" w:hAnsi="Times New Roman" w:eastAsia="方正仿宋_GBK" w:cs="Times New Roman"/>
          <w:color w:val="auto"/>
          <w:kern w:val="0"/>
          <w:sz w:val="33"/>
          <w:szCs w:val="33"/>
          <w:highlight w:val="none"/>
        </w:rPr>
        <w:t>20</w:t>
      </w:r>
      <w:r>
        <w:rPr>
          <w:rFonts w:hint="eastAsia" w:ascii="Times New Roman" w:hAnsi="Times New Roman" w:eastAsia="方正仿宋_GBK" w:cs="Times New Roman"/>
          <w:color w:val="auto"/>
          <w:kern w:val="0"/>
          <w:sz w:val="33"/>
          <w:szCs w:val="33"/>
          <w:highlight w:val="none"/>
          <w:lang w:val="en-US" w:eastAsia="zh-CN"/>
        </w:rPr>
        <w:t>21</w:t>
      </w:r>
      <w:r>
        <w:rPr>
          <w:rFonts w:hint="eastAsia" w:ascii="Times New Roman" w:hAnsi="Times New Roman" w:eastAsia="方正仿宋_GBK" w:cs="Times New Roman"/>
          <w:color w:val="auto"/>
          <w:kern w:val="0"/>
          <w:sz w:val="33"/>
          <w:szCs w:val="33"/>
          <w:highlight w:val="none"/>
        </w:rPr>
        <w:t>年政府性基金预算</w:t>
      </w:r>
      <w:r>
        <w:rPr>
          <w:rFonts w:hint="eastAsia" w:ascii="Times New Roman" w:hAnsi="Times New Roman" w:eastAsia="方正仿宋_GBK" w:cs="Times New Roman"/>
          <w:color w:val="auto"/>
          <w:kern w:val="0"/>
          <w:sz w:val="33"/>
          <w:szCs w:val="33"/>
          <w:highlight w:val="none"/>
          <w:lang w:eastAsia="zh-CN"/>
        </w:rPr>
        <w:t>财政</w:t>
      </w:r>
      <w:r>
        <w:rPr>
          <w:rFonts w:hint="eastAsia" w:ascii="Times New Roman" w:hAnsi="Times New Roman" w:eastAsia="方正仿宋_GBK" w:cs="Times New Roman"/>
          <w:color w:val="auto"/>
          <w:kern w:val="0"/>
          <w:sz w:val="33"/>
          <w:szCs w:val="33"/>
          <w:highlight w:val="none"/>
        </w:rPr>
        <w:t>拨款支出</w:t>
      </w:r>
      <w:r>
        <w:rPr>
          <w:rFonts w:hint="eastAsia" w:ascii="Times New Roman" w:hAnsi="Times New Roman" w:eastAsia="方正仿宋_GBK" w:cs="Times New Roman"/>
          <w:color w:val="auto"/>
          <w:kern w:val="0"/>
          <w:sz w:val="33"/>
          <w:szCs w:val="33"/>
          <w:highlight w:val="none"/>
          <w:lang w:val="en-US" w:eastAsia="zh-CN"/>
        </w:rPr>
        <w:t>0</w:t>
      </w:r>
      <w:r>
        <w:rPr>
          <w:rFonts w:hint="eastAsia" w:ascii="Times New Roman" w:hAnsi="Times New Roman" w:eastAsia="方正仿宋_GBK" w:cs="Times New Roman"/>
          <w:color w:val="auto"/>
          <w:kern w:val="0"/>
          <w:sz w:val="33"/>
          <w:szCs w:val="33"/>
          <w:highlight w:val="none"/>
        </w:rPr>
        <w:t>万元。</w:t>
      </w:r>
    </w:p>
    <w:p w14:paraId="7D2DCA3E">
      <w:pPr>
        <w:numPr>
          <w:ilvl w:val="0"/>
          <w:numId w:val="0"/>
        </w:numPr>
        <w:spacing w:line="600" w:lineRule="exact"/>
        <w:ind w:firstLine="640" w:firstLineChars="200"/>
        <w:outlineLvl w:val="1"/>
        <w:rPr>
          <w:rStyle w:val="26"/>
          <w:rFonts w:ascii="黑体" w:hAnsi="黑体" w:eastAsia="黑体"/>
          <w:b w:val="0"/>
          <w:color w:val="auto"/>
          <w:highlight w:val="none"/>
        </w:rPr>
      </w:pPr>
      <w:bookmarkStart w:id="49" w:name="_Toc15377219"/>
      <w:bookmarkStart w:id="50" w:name="_Toc15396611"/>
      <w:r>
        <w:rPr>
          <w:rStyle w:val="26"/>
          <w:rFonts w:hint="eastAsia" w:ascii="黑体" w:hAnsi="黑体" w:eastAsia="黑体"/>
          <w:b w:val="0"/>
          <w:color w:val="auto"/>
          <w:highlight w:val="none"/>
          <w:lang w:eastAsia="zh-CN"/>
        </w:rPr>
        <w:t>十、</w:t>
      </w:r>
      <w:r>
        <w:rPr>
          <w:rStyle w:val="26"/>
          <w:rFonts w:hint="eastAsia" w:ascii="黑体" w:hAnsi="黑体" w:eastAsia="黑体"/>
          <w:b w:val="0"/>
          <w:color w:val="auto"/>
          <w:highlight w:val="none"/>
        </w:rPr>
        <w:t>国有资本经营预算支出决算情况说明</w:t>
      </w:r>
      <w:bookmarkEnd w:id="49"/>
      <w:bookmarkEnd w:id="50"/>
    </w:p>
    <w:p w14:paraId="6FB5C189">
      <w:pPr>
        <w:snapToGrid w:val="0"/>
        <w:spacing w:line="590" w:lineRule="exact"/>
        <w:ind w:firstLine="660" w:firstLineChars="200"/>
        <w:rPr>
          <w:rFonts w:hint="eastAsia" w:ascii="Times New Roman" w:hAnsi="Times New Roman" w:eastAsia="方正仿宋_GBK" w:cs="Times New Roman"/>
          <w:color w:val="auto"/>
          <w:kern w:val="0"/>
          <w:sz w:val="33"/>
          <w:szCs w:val="33"/>
          <w:highlight w:val="none"/>
        </w:rPr>
      </w:pPr>
      <w:r>
        <w:rPr>
          <w:rFonts w:hint="eastAsia" w:ascii="Times New Roman" w:hAnsi="Times New Roman" w:eastAsia="方正仿宋_GBK" w:cs="Times New Roman"/>
          <w:color w:val="auto"/>
          <w:kern w:val="0"/>
          <w:sz w:val="33"/>
          <w:szCs w:val="33"/>
          <w:highlight w:val="none"/>
        </w:rPr>
        <w:t>20</w:t>
      </w:r>
      <w:r>
        <w:rPr>
          <w:rFonts w:hint="eastAsia" w:ascii="Times New Roman" w:hAnsi="Times New Roman" w:eastAsia="方正仿宋_GBK" w:cs="Times New Roman"/>
          <w:color w:val="auto"/>
          <w:kern w:val="0"/>
          <w:sz w:val="33"/>
          <w:szCs w:val="33"/>
          <w:highlight w:val="none"/>
          <w:lang w:val="en-US" w:eastAsia="zh-CN"/>
        </w:rPr>
        <w:t>21</w:t>
      </w:r>
      <w:r>
        <w:rPr>
          <w:rFonts w:hint="eastAsia" w:ascii="Times New Roman" w:hAnsi="Times New Roman" w:eastAsia="方正仿宋_GBK" w:cs="Times New Roman"/>
          <w:color w:val="auto"/>
          <w:kern w:val="0"/>
          <w:sz w:val="33"/>
          <w:szCs w:val="33"/>
          <w:highlight w:val="none"/>
        </w:rPr>
        <w:t>年国有资本经营预算</w:t>
      </w:r>
      <w:r>
        <w:rPr>
          <w:rFonts w:hint="eastAsia" w:ascii="Times New Roman" w:hAnsi="Times New Roman" w:eastAsia="方正仿宋_GBK" w:cs="Times New Roman"/>
          <w:color w:val="auto"/>
          <w:kern w:val="0"/>
          <w:sz w:val="33"/>
          <w:szCs w:val="33"/>
          <w:highlight w:val="none"/>
          <w:lang w:eastAsia="zh-CN"/>
        </w:rPr>
        <w:t>财政</w:t>
      </w:r>
      <w:r>
        <w:rPr>
          <w:rFonts w:hint="eastAsia" w:ascii="Times New Roman" w:hAnsi="Times New Roman" w:eastAsia="方正仿宋_GBK" w:cs="Times New Roman"/>
          <w:color w:val="auto"/>
          <w:kern w:val="0"/>
          <w:sz w:val="33"/>
          <w:szCs w:val="33"/>
          <w:highlight w:val="none"/>
        </w:rPr>
        <w:t>拨款支出</w:t>
      </w:r>
      <w:r>
        <w:rPr>
          <w:rFonts w:hint="eastAsia" w:ascii="Times New Roman" w:hAnsi="Times New Roman" w:eastAsia="方正仿宋_GBK" w:cs="Times New Roman"/>
          <w:color w:val="auto"/>
          <w:kern w:val="0"/>
          <w:sz w:val="33"/>
          <w:szCs w:val="33"/>
          <w:highlight w:val="none"/>
          <w:lang w:val="en-US" w:eastAsia="zh-CN"/>
        </w:rPr>
        <w:t>0</w:t>
      </w:r>
      <w:r>
        <w:rPr>
          <w:rFonts w:hint="eastAsia" w:ascii="Times New Roman" w:hAnsi="Times New Roman" w:eastAsia="方正仿宋_GBK" w:cs="Times New Roman"/>
          <w:color w:val="auto"/>
          <w:kern w:val="0"/>
          <w:sz w:val="33"/>
          <w:szCs w:val="33"/>
          <w:highlight w:val="none"/>
        </w:rPr>
        <w:t>万元。</w:t>
      </w:r>
    </w:p>
    <w:p w14:paraId="66F17264">
      <w:pPr>
        <w:numPr>
          <w:ilvl w:val="0"/>
          <w:numId w:val="0"/>
        </w:numPr>
        <w:spacing w:line="600" w:lineRule="exact"/>
        <w:ind w:firstLine="640" w:firstLineChars="200"/>
        <w:outlineLvl w:val="1"/>
        <w:rPr>
          <w:rStyle w:val="26"/>
          <w:rFonts w:hint="eastAsia" w:ascii="黑体" w:hAnsi="黑体" w:eastAsia="黑体"/>
          <w:b w:val="0"/>
          <w:color w:val="auto"/>
          <w:highlight w:val="none"/>
        </w:rPr>
      </w:pPr>
      <w:bookmarkStart w:id="51" w:name="_Toc15396612"/>
      <w:bookmarkStart w:id="52" w:name="_Toc15377221"/>
      <w:r>
        <w:rPr>
          <w:rStyle w:val="26"/>
          <w:rFonts w:hint="eastAsia" w:ascii="黑体" w:hAnsi="黑体" w:eastAsia="黑体"/>
          <w:b w:val="0"/>
          <w:color w:val="auto"/>
          <w:highlight w:val="none"/>
          <w:lang w:eastAsia="zh-CN"/>
        </w:rPr>
        <w:t>十一、</w:t>
      </w:r>
      <w:r>
        <w:rPr>
          <w:rStyle w:val="26"/>
          <w:rFonts w:hint="eastAsia" w:ascii="黑体" w:hAnsi="黑体" w:eastAsia="黑体"/>
          <w:b w:val="0"/>
          <w:color w:val="auto"/>
          <w:highlight w:val="none"/>
        </w:rPr>
        <w:t>其他重要事项的情况说明</w:t>
      </w:r>
      <w:bookmarkEnd w:id="51"/>
      <w:bookmarkEnd w:id="52"/>
    </w:p>
    <w:p w14:paraId="47830260">
      <w:pPr>
        <w:spacing w:line="600" w:lineRule="exact"/>
        <w:ind w:firstLine="643" w:firstLineChars="200"/>
        <w:outlineLvl w:val="2"/>
        <w:rPr>
          <w:rFonts w:ascii="仿宋" w:hAnsi="仿宋" w:eastAsia="仿宋"/>
          <w:color w:val="auto"/>
          <w:sz w:val="32"/>
          <w:szCs w:val="32"/>
          <w:highlight w:val="none"/>
        </w:rPr>
      </w:pPr>
      <w:bookmarkStart w:id="53" w:name="_Toc15377222"/>
      <w:r>
        <w:rPr>
          <w:rFonts w:hint="eastAsia" w:ascii="仿宋" w:hAnsi="仿宋" w:eastAsia="仿宋"/>
          <w:b/>
          <w:color w:val="auto"/>
          <w:sz w:val="32"/>
          <w:szCs w:val="32"/>
          <w:highlight w:val="none"/>
        </w:rPr>
        <w:t>（一）机关运行经费支出情况</w:t>
      </w:r>
      <w:bookmarkEnd w:id="53"/>
    </w:p>
    <w:p w14:paraId="479C2B3F">
      <w:pPr>
        <w:snapToGrid w:val="0"/>
        <w:spacing w:line="590" w:lineRule="exact"/>
        <w:ind w:firstLine="660" w:firstLineChars="200"/>
        <w:rPr>
          <w:rFonts w:hint="eastAsia" w:ascii="Times New Roman" w:hAnsi="Times New Roman" w:eastAsia="方正仿宋_GBK" w:cs="Times New Roman"/>
          <w:color w:val="auto"/>
          <w:kern w:val="0"/>
          <w:sz w:val="33"/>
          <w:szCs w:val="33"/>
          <w:highlight w:val="none"/>
        </w:rPr>
      </w:pPr>
      <w:r>
        <w:rPr>
          <w:rFonts w:hint="eastAsia" w:ascii="Times New Roman" w:hAnsi="Times New Roman" w:eastAsia="方正仿宋_GBK" w:cs="Times New Roman"/>
          <w:color w:val="auto"/>
          <w:kern w:val="0"/>
          <w:sz w:val="33"/>
          <w:szCs w:val="33"/>
          <w:highlight w:val="none"/>
        </w:rPr>
        <w:t>20</w:t>
      </w:r>
      <w:r>
        <w:rPr>
          <w:rFonts w:hint="eastAsia" w:ascii="Times New Roman" w:hAnsi="Times New Roman" w:eastAsia="方正仿宋_GBK" w:cs="Times New Roman"/>
          <w:color w:val="auto"/>
          <w:kern w:val="0"/>
          <w:sz w:val="33"/>
          <w:szCs w:val="33"/>
          <w:highlight w:val="none"/>
          <w:lang w:val="en-US" w:eastAsia="zh-CN"/>
        </w:rPr>
        <w:t>21</w:t>
      </w:r>
      <w:r>
        <w:rPr>
          <w:rFonts w:hint="eastAsia" w:ascii="Times New Roman" w:hAnsi="Times New Roman" w:eastAsia="方正仿宋_GBK" w:cs="Times New Roman"/>
          <w:color w:val="auto"/>
          <w:kern w:val="0"/>
          <w:sz w:val="33"/>
          <w:szCs w:val="33"/>
          <w:highlight w:val="none"/>
        </w:rPr>
        <w:t>年，</w:t>
      </w:r>
      <w:r>
        <w:rPr>
          <w:rFonts w:hint="eastAsia" w:ascii="Times New Roman" w:hAnsi="Times New Roman" w:eastAsia="方正仿宋_GBK" w:cs="Times New Roman"/>
          <w:color w:val="auto"/>
          <w:kern w:val="0"/>
          <w:sz w:val="33"/>
          <w:szCs w:val="33"/>
          <w:highlight w:val="none"/>
          <w:lang w:eastAsia="zh-CN"/>
        </w:rPr>
        <w:t>市驻蓉办</w:t>
      </w:r>
      <w:r>
        <w:rPr>
          <w:rFonts w:hint="eastAsia" w:ascii="Times New Roman" w:hAnsi="Times New Roman" w:eastAsia="方正仿宋_GBK" w:cs="Times New Roman"/>
          <w:color w:val="auto"/>
          <w:kern w:val="0"/>
          <w:sz w:val="33"/>
          <w:szCs w:val="33"/>
          <w:highlight w:val="none"/>
        </w:rPr>
        <w:t>机关运行经费支出</w:t>
      </w:r>
      <w:r>
        <w:rPr>
          <w:rFonts w:hint="eastAsia" w:ascii="Times New Roman" w:hAnsi="Times New Roman" w:eastAsia="方正仿宋_GBK" w:cs="Times New Roman"/>
          <w:color w:val="auto"/>
          <w:kern w:val="0"/>
          <w:sz w:val="33"/>
          <w:szCs w:val="33"/>
          <w:highlight w:val="none"/>
          <w:lang w:val="en-US" w:eastAsia="zh-CN"/>
        </w:rPr>
        <w:t>50.78</w:t>
      </w:r>
      <w:r>
        <w:rPr>
          <w:rFonts w:hint="eastAsia" w:ascii="Times New Roman" w:hAnsi="Times New Roman" w:eastAsia="方正仿宋_GBK" w:cs="Times New Roman"/>
          <w:color w:val="auto"/>
          <w:kern w:val="0"/>
          <w:sz w:val="33"/>
          <w:szCs w:val="33"/>
          <w:highlight w:val="none"/>
        </w:rPr>
        <w:t>万元，比20</w:t>
      </w:r>
      <w:r>
        <w:rPr>
          <w:rFonts w:hint="eastAsia" w:ascii="Times New Roman" w:hAnsi="Times New Roman" w:eastAsia="方正仿宋_GBK" w:cs="Times New Roman"/>
          <w:color w:val="auto"/>
          <w:kern w:val="0"/>
          <w:sz w:val="33"/>
          <w:szCs w:val="33"/>
          <w:highlight w:val="none"/>
          <w:lang w:val="en-US" w:eastAsia="zh-CN"/>
        </w:rPr>
        <w:t>20</w:t>
      </w:r>
      <w:r>
        <w:rPr>
          <w:rFonts w:hint="eastAsia" w:ascii="Times New Roman" w:hAnsi="Times New Roman" w:eastAsia="方正仿宋_GBK" w:cs="Times New Roman"/>
          <w:color w:val="auto"/>
          <w:kern w:val="0"/>
          <w:sz w:val="33"/>
          <w:szCs w:val="33"/>
          <w:highlight w:val="none"/>
        </w:rPr>
        <w:t>年增加</w:t>
      </w:r>
      <w:r>
        <w:rPr>
          <w:rFonts w:hint="eastAsia" w:ascii="Times New Roman" w:hAnsi="Times New Roman" w:eastAsia="方正仿宋_GBK" w:cs="Times New Roman"/>
          <w:color w:val="auto"/>
          <w:kern w:val="0"/>
          <w:sz w:val="33"/>
          <w:szCs w:val="33"/>
          <w:highlight w:val="none"/>
          <w:lang w:val="en-US" w:eastAsia="zh-CN"/>
        </w:rPr>
        <w:t>3.23</w:t>
      </w:r>
      <w:r>
        <w:rPr>
          <w:rFonts w:hint="eastAsia" w:ascii="Times New Roman" w:hAnsi="Times New Roman" w:eastAsia="方正仿宋_GBK" w:cs="Times New Roman"/>
          <w:color w:val="auto"/>
          <w:kern w:val="0"/>
          <w:sz w:val="33"/>
          <w:szCs w:val="33"/>
          <w:highlight w:val="none"/>
        </w:rPr>
        <w:t>万元，增长</w:t>
      </w:r>
      <w:r>
        <w:rPr>
          <w:rFonts w:hint="eastAsia" w:ascii="Times New Roman" w:hAnsi="Times New Roman" w:eastAsia="方正仿宋_GBK" w:cs="Times New Roman"/>
          <w:color w:val="auto"/>
          <w:kern w:val="0"/>
          <w:sz w:val="33"/>
          <w:szCs w:val="33"/>
          <w:highlight w:val="none"/>
          <w:lang w:val="en-US" w:eastAsia="zh-CN"/>
        </w:rPr>
        <w:t>6.79</w:t>
      </w:r>
      <w:r>
        <w:rPr>
          <w:rFonts w:hint="eastAsia" w:ascii="Times New Roman" w:hAnsi="Times New Roman" w:eastAsia="方正仿宋_GBK" w:cs="Times New Roman"/>
          <w:color w:val="auto"/>
          <w:kern w:val="0"/>
          <w:sz w:val="33"/>
          <w:szCs w:val="33"/>
          <w:highlight w:val="none"/>
        </w:rPr>
        <w:t>%</w:t>
      </w:r>
      <w:r>
        <w:rPr>
          <w:rFonts w:hint="eastAsia" w:ascii="Times New Roman" w:hAnsi="Times New Roman" w:eastAsia="方正仿宋_GBK" w:cs="Times New Roman"/>
          <w:color w:val="auto"/>
          <w:kern w:val="0"/>
          <w:sz w:val="33"/>
          <w:szCs w:val="33"/>
          <w:highlight w:val="none"/>
          <w:lang w:eastAsia="zh-CN"/>
        </w:rPr>
        <w:t>。</w:t>
      </w:r>
      <w:r>
        <w:rPr>
          <w:rFonts w:hint="eastAsia" w:ascii="Times New Roman" w:hAnsi="Times New Roman" w:eastAsia="方正仿宋_GBK" w:cs="Times New Roman"/>
          <w:color w:val="auto"/>
          <w:kern w:val="0"/>
          <w:sz w:val="33"/>
          <w:szCs w:val="33"/>
          <w:highlight w:val="none"/>
        </w:rPr>
        <w:t>主要原因是</w:t>
      </w:r>
      <w:r>
        <w:rPr>
          <w:rFonts w:hint="eastAsia" w:ascii="Times New Roman" w:hAnsi="Times New Roman" w:eastAsia="方正仿宋_GBK" w:cs="Times New Roman"/>
          <w:color w:val="auto"/>
          <w:kern w:val="0"/>
          <w:sz w:val="33"/>
          <w:szCs w:val="33"/>
          <w:highlight w:val="none"/>
          <w:lang w:eastAsia="zh-CN"/>
        </w:rPr>
        <w:t>增大费用开支</w:t>
      </w:r>
      <w:r>
        <w:rPr>
          <w:rFonts w:hint="eastAsia" w:ascii="Times New Roman" w:hAnsi="Times New Roman" w:eastAsia="方正仿宋_GBK" w:cs="Times New Roman"/>
          <w:color w:val="auto"/>
          <w:kern w:val="0"/>
          <w:sz w:val="33"/>
          <w:szCs w:val="33"/>
          <w:highlight w:val="none"/>
        </w:rPr>
        <w:t>。</w:t>
      </w:r>
    </w:p>
    <w:p w14:paraId="196F9E73">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4" w:name="_Toc15377223"/>
      <w:r>
        <w:rPr>
          <w:rFonts w:hint="eastAsia" w:ascii="仿宋" w:hAnsi="仿宋" w:eastAsia="仿宋"/>
          <w:b/>
          <w:color w:val="auto"/>
          <w:sz w:val="32"/>
          <w:szCs w:val="32"/>
          <w:highlight w:val="none"/>
        </w:rPr>
        <w:t>（二）政府采购支出情况</w:t>
      </w:r>
      <w:bookmarkEnd w:id="54"/>
    </w:p>
    <w:p w14:paraId="5F6F8CB9">
      <w:pPr>
        <w:snapToGrid w:val="0"/>
        <w:spacing w:line="590" w:lineRule="exact"/>
        <w:ind w:firstLine="660" w:firstLineChars="200"/>
        <w:rPr>
          <w:rFonts w:hint="eastAsia" w:ascii="Times New Roman" w:hAnsi="Times New Roman" w:eastAsia="方正仿宋_GBK" w:cs="Times New Roman"/>
          <w:color w:val="auto"/>
          <w:kern w:val="0"/>
          <w:sz w:val="33"/>
          <w:szCs w:val="33"/>
          <w:highlight w:val="none"/>
        </w:rPr>
      </w:pPr>
      <w:r>
        <w:rPr>
          <w:rFonts w:hint="eastAsia" w:ascii="Times New Roman" w:hAnsi="Times New Roman" w:eastAsia="方正仿宋_GBK" w:cs="Times New Roman"/>
          <w:color w:val="auto"/>
          <w:kern w:val="0"/>
          <w:sz w:val="33"/>
          <w:szCs w:val="33"/>
          <w:highlight w:val="none"/>
        </w:rPr>
        <w:t>20</w:t>
      </w:r>
      <w:r>
        <w:rPr>
          <w:rFonts w:hint="eastAsia" w:ascii="Times New Roman" w:hAnsi="Times New Roman" w:eastAsia="方正仿宋_GBK" w:cs="Times New Roman"/>
          <w:color w:val="auto"/>
          <w:kern w:val="0"/>
          <w:sz w:val="33"/>
          <w:szCs w:val="33"/>
          <w:highlight w:val="none"/>
          <w:lang w:val="en-US" w:eastAsia="zh-CN"/>
        </w:rPr>
        <w:t>21</w:t>
      </w:r>
      <w:r>
        <w:rPr>
          <w:rFonts w:hint="eastAsia" w:ascii="Times New Roman" w:hAnsi="Times New Roman" w:eastAsia="方正仿宋_GBK" w:cs="Times New Roman"/>
          <w:color w:val="auto"/>
          <w:kern w:val="0"/>
          <w:sz w:val="33"/>
          <w:szCs w:val="33"/>
          <w:highlight w:val="none"/>
        </w:rPr>
        <w:t>年，</w:t>
      </w:r>
      <w:r>
        <w:rPr>
          <w:rFonts w:hint="eastAsia" w:ascii="Times New Roman" w:hAnsi="Times New Roman" w:eastAsia="方正仿宋_GBK" w:cs="Times New Roman"/>
          <w:color w:val="auto"/>
          <w:kern w:val="0"/>
          <w:sz w:val="33"/>
          <w:szCs w:val="33"/>
          <w:highlight w:val="none"/>
          <w:lang w:eastAsia="zh-CN"/>
        </w:rPr>
        <w:t>市驻蓉办</w:t>
      </w:r>
      <w:r>
        <w:rPr>
          <w:rFonts w:hint="eastAsia" w:ascii="Times New Roman" w:hAnsi="Times New Roman" w:eastAsia="方正仿宋_GBK" w:cs="Times New Roman"/>
          <w:color w:val="auto"/>
          <w:kern w:val="0"/>
          <w:sz w:val="33"/>
          <w:szCs w:val="33"/>
          <w:highlight w:val="none"/>
        </w:rPr>
        <w:t>政府采购支出总额</w:t>
      </w:r>
      <w:r>
        <w:rPr>
          <w:rFonts w:hint="eastAsia" w:ascii="Times New Roman" w:hAnsi="Times New Roman" w:eastAsia="方正仿宋_GBK" w:cs="Times New Roman"/>
          <w:color w:val="auto"/>
          <w:kern w:val="0"/>
          <w:sz w:val="33"/>
          <w:szCs w:val="33"/>
          <w:highlight w:val="none"/>
          <w:lang w:val="en-US" w:eastAsia="zh-CN"/>
        </w:rPr>
        <w:t>0.44</w:t>
      </w:r>
      <w:r>
        <w:rPr>
          <w:rFonts w:hint="eastAsia" w:ascii="Times New Roman" w:hAnsi="Times New Roman" w:eastAsia="方正仿宋_GBK" w:cs="Times New Roman"/>
          <w:color w:val="auto"/>
          <w:kern w:val="0"/>
          <w:sz w:val="33"/>
          <w:szCs w:val="33"/>
          <w:highlight w:val="none"/>
        </w:rPr>
        <w:t>万元，其中：政府采购货物支出</w:t>
      </w:r>
      <w:r>
        <w:rPr>
          <w:rFonts w:hint="eastAsia" w:ascii="Times New Roman" w:hAnsi="Times New Roman" w:eastAsia="方正仿宋_GBK" w:cs="Times New Roman"/>
          <w:color w:val="auto"/>
          <w:kern w:val="0"/>
          <w:sz w:val="33"/>
          <w:szCs w:val="33"/>
          <w:highlight w:val="none"/>
          <w:lang w:val="en-US" w:eastAsia="zh-CN"/>
        </w:rPr>
        <w:t>0.44</w:t>
      </w:r>
      <w:r>
        <w:rPr>
          <w:rFonts w:hint="eastAsia" w:ascii="Times New Roman" w:hAnsi="Times New Roman" w:eastAsia="方正仿宋_GBK" w:cs="Times New Roman"/>
          <w:color w:val="auto"/>
          <w:kern w:val="0"/>
          <w:sz w:val="33"/>
          <w:szCs w:val="33"/>
          <w:highlight w:val="none"/>
        </w:rPr>
        <w:t>万元、政府采购工程支出</w:t>
      </w:r>
      <w:r>
        <w:rPr>
          <w:rFonts w:hint="eastAsia" w:ascii="Times New Roman" w:hAnsi="Times New Roman" w:eastAsia="方正仿宋_GBK" w:cs="Times New Roman"/>
          <w:color w:val="auto"/>
          <w:kern w:val="0"/>
          <w:sz w:val="33"/>
          <w:szCs w:val="33"/>
          <w:highlight w:val="none"/>
          <w:lang w:val="en-US" w:eastAsia="zh-CN"/>
        </w:rPr>
        <w:t>0</w:t>
      </w:r>
      <w:r>
        <w:rPr>
          <w:rFonts w:hint="eastAsia" w:ascii="Times New Roman" w:hAnsi="Times New Roman" w:eastAsia="方正仿宋_GBK" w:cs="Times New Roman"/>
          <w:color w:val="auto"/>
          <w:kern w:val="0"/>
          <w:sz w:val="33"/>
          <w:szCs w:val="33"/>
          <w:highlight w:val="none"/>
        </w:rPr>
        <w:t>万元、政府采购服务支出</w:t>
      </w:r>
      <w:r>
        <w:rPr>
          <w:rFonts w:hint="eastAsia" w:ascii="Times New Roman" w:hAnsi="Times New Roman" w:eastAsia="方正仿宋_GBK" w:cs="Times New Roman"/>
          <w:color w:val="auto"/>
          <w:kern w:val="0"/>
          <w:sz w:val="33"/>
          <w:szCs w:val="33"/>
          <w:highlight w:val="none"/>
          <w:lang w:val="en-US" w:eastAsia="zh-CN"/>
        </w:rPr>
        <w:t>0</w:t>
      </w:r>
      <w:r>
        <w:rPr>
          <w:rFonts w:hint="eastAsia" w:ascii="Times New Roman" w:hAnsi="Times New Roman" w:eastAsia="方正仿宋_GBK" w:cs="Times New Roman"/>
          <w:color w:val="auto"/>
          <w:kern w:val="0"/>
          <w:sz w:val="33"/>
          <w:szCs w:val="33"/>
          <w:highlight w:val="none"/>
        </w:rPr>
        <w:t>万元。主要用于</w:t>
      </w:r>
      <w:r>
        <w:rPr>
          <w:rFonts w:hint="eastAsia" w:ascii="Times New Roman" w:hAnsi="Times New Roman" w:eastAsia="方正仿宋_GBK" w:cs="Times New Roman"/>
          <w:color w:val="auto"/>
          <w:kern w:val="0"/>
          <w:sz w:val="33"/>
          <w:szCs w:val="33"/>
          <w:highlight w:val="none"/>
          <w:lang w:eastAsia="zh-CN"/>
        </w:rPr>
        <w:t>日常办公</w:t>
      </w:r>
      <w:r>
        <w:rPr>
          <w:rFonts w:hint="eastAsia" w:ascii="Times New Roman" w:hAnsi="Times New Roman" w:eastAsia="方正仿宋_GBK" w:cs="Times New Roman"/>
          <w:color w:val="auto"/>
          <w:kern w:val="0"/>
          <w:sz w:val="33"/>
          <w:szCs w:val="33"/>
          <w:highlight w:val="none"/>
        </w:rPr>
        <w:t>。授予中小企业合同金额</w:t>
      </w:r>
      <w:r>
        <w:rPr>
          <w:rFonts w:hint="eastAsia" w:ascii="Times New Roman" w:hAnsi="Times New Roman" w:eastAsia="方正仿宋_GBK" w:cs="Times New Roman"/>
          <w:color w:val="auto"/>
          <w:kern w:val="0"/>
          <w:sz w:val="33"/>
          <w:szCs w:val="33"/>
          <w:highlight w:val="none"/>
          <w:lang w:val="en-US" w:eastAsia="zh-CN"/>
        </w:rPr>
        <w:t>0</w:t>
      </w:r>
      <w:r>
        <w:rPr>
          <w:rFonts w:hint="eastAsia" w:ascii="Times New Roman" w:hAnsi="Times New Roman" w:eastAsia="方正仿宋_GBK" w:cs="Times New Roman"/>
          <w:color w:val="auto"/>
          <w:kern w:val="0"/>
          <w:sz w:val="33"/>
          <w:szCs w:val="33"/>
          <w:highlight w:val="none"/>
        </w:rPr>
        <w:t>万元，占政府采购支出总额的</w:t>
      </w:r>
      <w:r>
        <w:rPr>
          <w:rFonts w:hint="eastAsia" w:ascii="Times New Roman" w:hAnsi="Times New Roman" w:eastAsia="方正仿宋_GBK" w:cs="Times New Roman"/>
          <w:color w:val="auto"/>
          <w:kern w:val="0"/>
          <w:sz w:val="33"/>
          <w:szCs w:val="33"/>
          <w:highlight w:val="none"/>
          <w:lang w:val="en-US" w:eastAsia="zh-CN"/>
        </w:rPr>
        <w:t>0</w:t>
      </w:r>
      <w:r>
        <w:rPr>
          <w:rFonts w:hint="eastAsia" w:ascii="Times New Roman" w:hAnsi="Times New Roman" w:eastAsia="方正仿宋_GBK" w:cs="Times New Roman"/>
          <w:color w:val="auto"/>
          <w:kern w:val="0"/>
          <w:sz w:val="33"/>
          <w:szCs w:val="33"/>
          <w:highlight w:val="none"/>
        </w:rPr>
        <w:t>%，其中：授予小微企业合同金额</w:t>
      </w:r>
      <w:r>
        <w:rPr>
          <w:rFonts w:hint="eastAsia" w:ascii="Times New Roman" w:hAnsi="Times New Roman" w:eastAsia="方正仿宋_GBK" w:cs="Times New Roman"/>
          <w:color w:val="auto"/>
          <w:kern w:val="0"/>
          <w:sz w:val="33"/>
          <w:szCs w:val="33"/>
          <w:highlight w:val="none"/>
          <w:lang w:val="en-US" w:eastAsia="zh-CN"/>
        </w:rPr>
        <w:t>0</w:t>
      </w:r>
      <w:r>
        <w:rPr>
          <w:rFonts w:hint="eastAsia" w:ascii="Times New Roman" w:hAnsi="Times New Roman" w:eastAsia="方正仿宋_GBK" w:cs="Times New Roman"/>
          <w:color w:val="auto"/>
          <w:kern w:val="0"/>
          <w:sz w:val="33"/>
          <w:szCs w:val="33"/>
          <w:highlight w:val="none"/>
        </w:rPr>
        <w:t>万元，占政府采购支出总额的</w:t>
      </w:r>
      <w:r>
        <w:rPr>
          <w:rFonts w:hint="eastAsia" w:ascii="Times New Roman" w:hAnsi="Times New Roman" w:eastAsia="方正仿宋_GBK" w:cs="Times New Roman"/>
          <w:color w:val="auto"/>
          <w:kern w:val="0"/>
          <w:sz w:val="33"/>
          <w:szCs w:val="33"/>
          <w:highlight w:val="none"/>
          <w:lang w:val="en-US" w:eastAsia="zh-CN"/>
        </w:rPr>
        <w:t>0</w:t>
      </w:r>
      <w:r>
        <w:rPr>
          <w:rFonts w:hint="eastAsia" w:ascii="Times New Roman" w:hAnsi="Times New Roman" w:eastAsia="方正仿宋_GBK" w:cs="Times New Roman"/>
          <w:color w:val="auto"/>
          <w:kern w:val="0"/>
          <w:sz w:val="33"/>
          <w:szCs w:val="33"/>
          <w:highlight w:val="none"/>
        </w:rPr>
        <w:t>%。</w:t>
      </w:r>
    </w:p>
    <w:p w14:paraId="3335B14F">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5" w:name="_Toc15377224"/>
      <w:r>
        <w:rPr>
          <w:rFonts w:hint="eastAsia" w:ascii="仿宋" w:hAnsi="仿宋" w:eastAsia="仿宋"/>
          <w:b/>
          <w:color w:val="auto"/>
          <w:sz w:val="32"/>
          <w:szCs w:val="32"/>
          <w:highlight w:val="none"/>
        </w:rPr>
        <w:t>（三）国有资产占有使用情况</w:t>
      </w:r>
      <w:bookmarkEnd w:id="55"/>
    </w:p>
    <w:p w14:paraId="03DA5284">
      <w:pPr>
        <w:snapToGrid w:val="0"/>
        <w:spacing w:line="590" w:lineRule="exact"/>
        <w:ind w:firstLine="660" w:firstLineChars="200"/>
        <w:rPr>
          <w:rFonts w:hint="eastAsia" w:ascii="Times New Roman" w:hAnsi="Times New Roman" w:eastAsia="方正仿宋_GBK" w:cs="Times New Roman"/>
          <w:color w:val="auto"/>
          <w:kern w:val="0"/>
          <w:sz w:val="33"/>
          <w:szCs w:val="33"/>
          <w:highlight w:val="none"/>
        </w:rPr>
      </w:pPr>
      <w:r>
        <w:rPr>
          <w:rFonts w:hint="eastAsia" w:ascii="Times New Roman" w:hAnsi="Times New Roman" w:eastAsia="方正仿宋_GBK" w:cs="Times New Roman"/>
          <w:color w:val="auto"/>
          <w:kern w:val="0"/>
          <w:sz w:val="33"/>
          <w:szCs w:val="33"/>
          <w:highlight w:val="none"/>
        </w:rPr>
        <w:t>截至20</w:t>
      </w:r>
      <w:r>
        <w:rPr>
          <w:rFonts w:hint="eastAsia" w:ascii="Times New Roman" w:hAnsi="Times New Roman" w:eastAsia="方正仿宋_GBK" w:cs="Times New Roman"/>
          <w:color w:val="auto"/>
          <w:kern w:val="0"/>
          <w:sz w:val="33"/>
          <w:szCs w:val="33"/>
          <w:highlight w:val="none"/>
          <w:lang w:val="en-US" w:eastAsia="zh-CN"/>
        </w:rPr>
        <w:t>21</w:t>
      </w:r>
      <w:r>
        <w:rPr>
          <w:rFonts w:hint="eastAsia" w:ascii="Times New Roman" w:hAnsi="Times New Roman" w:eastAsia="方正仿宋_GBK" w:cs="Times New Roman"/>
          <w:color w:val="auto"/>
          <w:kern w:val="0"/>
          <w:sz w:val="33"/>
          <w:szCs w:val="33"/>
          <w:highlight w:val="none"/>
        </w:rPr>
        <w:t>年12月31日，</w:t>
      </w:r>
      <w:r>
        <w:rPr>
          <w:rFonts w:hint="eastAsia" w:ascii="Times New Roman" w:hAnsi="Times New Roman" w:eastAsia="方正仿宋_GBK" w:cs="Times New Roman"/>
          <w:color w:val="auto"/>
          <w:kern w:val="0"/>
          <w:sz w:val="33"/>
          <w:szCs w:val="33"/>
          <w:highlight w:val="none"/>
          <w:lang w:eastAsia="zh-CN"/>
        </w:rPr>
        <w:t>市驻蓉办</w:t>
      </w:r>
      <w:r>
        <w:rPr>
          <w:rFonts w:hint="eastAsia" w:ascii="Times New Roman" w:hAnsi="Times New Roman" w:eastAsia="方正仿宋_GBK" w:cs="Times New Roman"/>
          <w:color w:val="auto"/>
          <w:kern w:val="0"/>
          <w:sz w:val="33"/>
          <w:szCs w:val="33"/>
          <w:highlight w:val="none"/>
        </w:rPr>
        <w:t>共有车辆</w:t>
      </w:r>
      <w:r>
        <w:rPr>
          <w:rFonts w:hint="eastAsia" w:ascii="Times New Roman" w:hAnsi="Times New Roman" w:eastAsia="方正仿宋_GBK" w:cs="Times New Roman"/>
          <w:color w:val="auto"/>
          <w:kern w:val="0"/>
          <w:sz w:val="33"/>
          <w:szCs w:val="33"/>
          <w:highlight w:val="none"/>
          <w:lang w:val="en-US" w:eastAsia="zh-CN"/>
        </w:rPr>
        <w:t>1</w:t>
      </w:r>
      <w:r>
        <w:rPr>
          <w:rFonts w:hint="eastAsia" w:ascii="Times New Roman" w:hAnsi="Times New Roman" w:eastAsia="方正仿宋_GBK" w:cs="Times New Roman"/>
          <w:color w:val="auto"/>
          <w:kern w:val="0"/>
          <w:sz w:val="33"/>
          <w:szCs w:val="33"/>
          <w:highlight w:val="none"/>
        </w:rPr>
        <w:t>辆，其中：主要领导干部用车</w:t>
      </w:r>
      <w:r>
        <w:rPr>
          <w:rFonts w:hint="eastAsia" w:ascii="Times New Roman" w:hAnsi="Times New Roman" w:eastAsia="方正仿宋_GBK" w:cs="Times New Roman"/>
          <w:color w:val="auto"/>
          <w:kern w:val="0"/>
          <w:sz w:val="33"/>
          <w:szCs w:val="33"/>
          <w:highlight w:val="none"/>
          <w:lang w:val="en-US" w:eastAsia="zh-CN"/>
        </w:rPr>
        <w:t>0</w:t>
      </w:r>
      <w:r>
        <w:rPr>
          <w:rFonts w:hint="eastAsia" w:ascii="Times New Roman" w:hAnsi="Times New Roman" w:eastAsia="方正仿宋_GBK" w:cs="Times New Roman"/>
          <w:color w:val="auto"/>
          <w:kern w:val="0"/>
          <w:sz w:val="33"/>
          <w:szCs w:val="33"/>
          <w:highlight w:val="none"/>
        </w:rPr>
        <w:t>辆、机要通信用车</w:t>
      </w:r>
      <w:r>
        <w:rPr>
          <w:rFonts w:hint="eastAsia" w:ascii="Times New Roman" w:hAnsi="Times New Roman" w:eastAsia="方正仿宋_GBK" w:cs="Times New Roman"/>
          <w:color w:val="auto"/>
          <w:kern w:val="0"/>
          <w:sz w:val="33"/>
          <w:szCs w:val="33"/>
          <w:highlight w:val="none"/>
          <w:lang w:val="en-US" w:eastAsia="zh-CN"/>
        </w:rPr>
        <w:t>0</w:t>
      </w:r>
      <w:r>
        <w:rPr>
          <w:rFonts w:hint="eastAsia" w:ascii="Times New Roman" w:hAnsi="Times New Roman" w:eastAsia="方正仿宋_GBK" w:cs="Times New Roman"/>
          <w:color w:val="auto"/>
          <w:kern w:val="0"/>
          <w:sz w:val="33"/>
          <w:szCs w:val="33"/>
          <w:highlight w:val="none"/>
        </w:rPr>
        <w:t>辆、应急保障用车</w:t>
      </w:r>
      <w:r>
        <w:rPr>
          <w:rFonts w:hint="eastAsia" w:ascii="Times New Roman" w:hAnsi="Times New Roman" w:eastAsia="方正仿宋_GBK" w:cs="Times New Roman"/>
          <w:color w:val="auto"/>
          <w:kern w:val="0"/>
          <w:sz w:val="33"/>
          <w:szCs w:val="33"/>
          <w:highlight w:val="none"/>
          <w:lang w:val="en-US" w:eastAsia="zh-CN"/>
        </w:rPr>
        <w:t>1</w:t>
      </w:r>
      <w:r>
        <w:rPr>
          <w:rFonts w:hint="eastAsia" w:ascii="Times New Roman" w:hAnsi="Times New Roman" w:eastAsia="方正仿宋_GBK" w:cs="Times New Roman"/>
          <w:color w:val="auto"/>
          <w:kern w:val="0"/>
          <w:sz w:val="33"/>
          <w:szCs w:val="33"/>
          <w:highlight w:val="none"/>
        </w:rPr>
        <w:t>辆、其他用车</w:t>
      </w:r>
      <w:r>
        <w:rPr>
          <w:rFonts w:hint="eastAsia" w:ascii="Times New Roman" w:hAnsi="Times New Roman" w:eastAsia="方正仿宋_GBK" w:cs="Times New Roman"/>
          <w:color w:val="auto"/>
          <w:kern w:val="0"/>
          <w:sz w:val="33"/>
          <w:szCs w:val="33"/>
          <w:highlight w:val="none"/>
          <w:lang w:val="en-US" w:eastAsia="zh-CN"/>
        </w:rPr>
        <w:t>0</w:t>
      </w:r>
      <w:r>
        <w:rPr>
          <w:rFonts w:hint="eastAsia" w:ascii="Times New Roman" w:hAnsi="Times New Roman" w:eastAsia="方正仿宋_GBK" w:cs="Times New Roman"/>
          <w:color w:val="auto"/>
          <w:kern w:val="0"/>
          <w:sz w:val="33"/>
          <w:szCs w:val="33"/>
          <w:highlight w:val="none"/>
        </w:rPr>
        <w:t>辆</w:t>
      </w:r>
      <w:r>
        <w:rPr>
          <w:rFonts w:hint="eastAsia" w:ascii="Times New Roman" w:hAnsi="Times New Roman" w:eastAsia="方正仿宋_GBK" w:cs="Times New Roman"/>
          <w:color w:val="auto"/>
          <w:kern w:val="0"/>
          <w:sz w:val="33"/>
          <w:szCs w:val="33"/>
          <w:highlight w:val="none"/>
          <w:lang w:val="en-US" w:eastAsia="zh-CN"/>
        </w:rPr>
        <w:t>.</w:t>
      </w:r>
      <w:r>
        <w:rPr>
          <w:rFonts w:hint="eastAsia" w:ascii="Times New Roman" w:hAnsi="Times New Roman" w:eastAsia="方正仿宋_GBK" w:cs="Times New Roman"/>
          <w:color w:val="auto"/>
          <w:kern w:val="0"/>
          <w:sz w:val="33"/>
          <w:szCs w:val="33"/>
          <w:highlight w:val="none"/>
        </w:rPr>
        <w:t>单价50万元以上通用设备</w:t>
      </w:r>
      <w:r>
        <w:rPr>
          <w:rFonts w:hint="eastAsia" w:ascii="Times New Roman" w:hAnsi="Times New Roman" w:eastAsia="方正仿宋_GBK" w:cs="Times New Roman"/>
          <w:color w:val="auto"/>
          <w:kern w:val="0"/>
          <w:sz w:val="33"/>
          <w:szCs w:val="33"/>
          <w:highlight w:val="none"/>
          <w:lang w:val="en-US" w:eastAsia="zh-CN"/>
        </w:rPr>
        <w:t>0</w:t>
      </w:r>
      <w:r>
        <w:rPr>
          <w:rFonts w:hint="eastAsia" w:ascii="Times New Roman" w:hAnsi="Times New Roman" w:eastAsia="方正仿宋_GBK" w:cs="Times New Roman"/>
          <w:color w:val="auto"/>
          <w:kern w:val="0"/>
          <w:sz w:val="33"/>
          <w:szCs w:val="33"/>
          <w:highlight w:val="none"/>
        </w:rPr>
        <w:t>台（套），单价100万元以上专用设备</w:t>
      </w:r>
      <w:r>
        <w:rPr>
          <w:rFonts w:hint="eastAsia" w:ascii="Times New Roman" w:hAnsi="Times New Roman" w:eastAsia="方正仿宋_GBK" w:cs="Times New Roman"/>
          <w:color w:val="auto"/>
          <w:kern w:val="0"/>
          <w:sz w:val="33"/>
          <w:szCs w:val="33"/>
          <w:highlight w:val="none"/>
          <w:lang w:val="en-US" w:eastAsia="zh-CN"/>
        </w:rPr>
        <w:t>0</w:t>
      </w:r>
      <w:r>
        <w:rPr>
          <w:rFonts w:hint="eastAsia" w:ascii="Times New Roman" w:hAnsi="Times New Roman" w:eastAsia="方正仿宋_GBK" w:cs="Times New Roman"/>
          <w:color w:val="auto"/>
          <w:kern w:val="0"/>
          <w:sz w:val="33"/>
          <w:szCs w:val="33"/>
          <w:highlight w:val="none"/>
        </w:rPr>
        <w:t>台（套）。</w:t>
      </w:r>
    </w:p>
    <w:p w14:paraId="7AC4DE34">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14:paraId="4C255137">
      <w:pPr>
        <w:snapToGrid w:val="0"/>
        <w:spacing w:line="590" w:lineRule="exact"/>
        <w:ind w:firstLine="660" w:firstLineChars="200"/>
        <w:rPr>
          <w:rFonts w:hint="eastAsia" w:ascii="Times New Roman" w:hAnsi="Times New Roman" w:eastAsia="方正仿宋_GBK" w:cs="Times New Roman"/>
          <w:color w:val="auto"/>
          <w:kern w:val="0"/>
          <w:sz w:val="33"/>
          <w:szCs w:val="33"/>
          <w:highlight w:val="none"/>
        </w:rPr>
      </w:pPr>
      <w:r>
        <w:rPr>
          <w:rFonts w:hint="eastAsia" w:ascii="Times New Roman" w:hAnsi="Times New Roman" w:eastAsia="方正仿宋_GBK" w:cs="Times New Roman"/>
          <w:color w:val="auto"/>
          <w:kern w:val="0"/>
          <w:sz w:val="33"/>
          <w:szCs w:val="33"/>
          <w:highlight w:val="none"/>
        </w:rPr>
        <w:t>根据预算绩效管理要求，市驻蓉办在年初预算编制阶段，组织对招商引资项目、信访维稳项目开展了预算事前绩效评估，对两个项目全部编制了绩效目标，预算执行过程中，对两个项目全部开展绩效监控，年终执行完毕后，对两个项目全部开展了绩效目标完成情况自评。</w:t>
      </w:r>
    </w:p>
    <w:p w14:paraId="46324D16">
      <w:pPr>
        <w:snapToGrid w:val="0"/>
        <w:spacing w:line="590" w:lineRule="exact"/>
        <w:ind w:firstLine="660" w:firstLineChars="200"/>
        <w:rPr>
          <w:rFonts w:hint="eastAsia" w:ascii="Times New Roman" w:hAnsi="Times New Roman" w:eastAsia="方正仿宋_GBK" w:cs="Times New Roman"/>
          <w:color w:val="auto"/>
          <w:kern w:val="0"/>
          <w:sz w:val="33"/>
          <w:szCs w:val="33"/>
          <w:highlight w:val="none"/>
        </w:rPr>
      </w:pPr>
      <w:r>
        <w:rPr>
          <w:rFonts w:hint="eastAsia" w:ascii="Times New Roman" w:hAnsi="Times New Roman" w:eastAsia="方正仿宋_GBK" w:cs="Times New Roman"/>
          <w:color w:val="auto"/>
          <w:kern w:val="0"/>
          <w:sz w:val="33"/>
          <w:szCs w:val="33"/>
          <w:highlight w:val="none"/>
        </w:rPr>
        <w:t>本部门按要求对202</w:t>
      </w:r>
      <w:r>
        <w:rPr>
          <w:rFonts w:hint="eastAsia" w:ascii="Times New Roman" w:hAnsi="Times New Roman" w:eastAsia="方正仿宋_GBK" w:cs="Times New Roman"/>
          <w:color w:val="auto"/>
          <w:kern w:val="0"/>
          <w:sz w:val="33"/>
          <w:szCs w:val="33"/>
          <w:highlight w:val="none"/>
          <w:lang w:val="en-US" w:eastAsia="zh-CN"/>
        </w:rPr>
        <w:t>1</w:t>
      </w:r>
      <w:r>
        <w:rPr>
          <w:rFonts w:hint="eastAsia" w:ascii="Times New Roman" w:hAnsi="Times New Roman" w:eastAsia="方正仿宋_GBK" w:cs="Times New Roman"/>
          <w:color w:val="auto"/>
          <w:kern w:val="0"/>
          <w:sz w:val="33"/>
          <w:szCs w:val="33"/>
          <w:highlight w:val="none"/>
        </w:rPr>
        <w:t>年部门整体支出开展绩效自评，从评价情况来看</w:t>
      </w:r>
      <w:r>
        <w:rPr>
          <w:rFonts w:hint="eastAsia" w:ascii="Times New Roman" w:hAnsi="Times New Roman" w:eastAsia="方正仿宋_GBK" w:cs="Times New Roman"/>
          <w:color w:val="auto"/>
          <w:kern w:val="0"/>
          <w:sz w:val="33"/>
          <w:szCs w:val="33"/>
          <w:highlight w:val="none"/>
          <w:lang w:eastAsia="zh-CN"/>
        </w:rPr>
        <w:t>，</w:t>
      </w:r>
      <w:r>
        <w:rPr>
          <w:rFonts w:hint="eastAsia" w:ascii="Times New Roman" w:hAnsi="Times New Roman" w:eastAsia="方正仿宋_GBK" w:cs="Times New Roman"/>
          <w:color w:val="auto"/>
          <w:kern w:val="0"/>
          <w:sz w:val="33"/>
          <w:szCs w:val="33"/>
          <w:highlight w:val="none"/>
        </w:rPr>
        <w:t>程序严密、规划合理、分配科学、分配及时，专项绩效目标基本完成，达到了预期的效果。本部门还自行组织了</w:t>
      </w:r>
      <w:r>
        <w:rPr>
          <w:rFonts w:hint="eastAsia" w:ascii="Times New Roman" w:hAnsi="Times New Roman" w:eastAsia="方正仿宋_GBK" w:cs="Times New Roman"/>
          <w:color w:val="auto"/>
          <w:kern w:val="0"/>
          <w:sz w:val="33"/>
          <w:szCs w:val="33"/>
          <w:highlight w:val="none"/>
          <w:lang w:eastAsia="zh-CN"/>
        </w:rPr>
        <w:t>两</w:t>
      </w:r>
      <w:r>
        <w:rPr>
          <w:rFonts w:hint="eastAsia" w:ascii="Times New Roman" w:hAnsi="Times New Roman" w:eastAsia="方正仿宋_GBK" w:cs="Times New Roman"/>
          <w:color w:val="auto"/>
          <w:kern w:val="0"/>
          <w:sz w:val="33"/>
          <w:szCs w:val="33"/>
          <w:highlight w:val="none"/>
        </w:rPr>
        <w:t>个项目支出绩效评价，</w:t>
      </w:r>
      <w:r>
        <w:rPr>
          <w:rFonts w:hint="eastAsia" w:ascii="Times New Roman" w:hAnsi="Times New Roman" w:eastAsia="方正仿宋_GBK" w:cs="Times New Roman"/>
          <w:color w:val="auto"/>
          <w:kern w:val="0"/>
          <w:sz w:val="33"/>
          <w:szCs w:val="33"/>
          <w:highlight w:val="none"/>
          <w:lang w:eastAsia="zh-CN"/>
        </w:rPr>
        <w:t>对</w:t>
      </w:r>
      <w:r>
        <w:rPr>
          <w:rFonts w:hint="eastAsia" w:ascii="Times New Roman" w:hAnsi="Times New Roman" w:eastAsia="方正仿宋_GBK" w:cs="Times New Roman"/>
          <w:color w:val="auto"/>
          <w:kern w:val="0"/>
          <w:sz w:val="33"/>
          <w:szCs w:val="33"/>
          <w:highlight w:val="none"/>
        </w:rPr>
        <w:t>招商引资专项业务项目开展了绩效评价，市驻蓉办在202</w:t>
      </w:r>
      <w:r>
        <w:rPr>
          <w:rFonts w:hint="eastAsia" w:ascii="Times New Roman" w:hAnsi="Times New Roman" w:eastAsia="方正仿宋_GBK" w:cs="Times New Roman"/>
          <w:color w:val="auto"/>
          <w:kern w:val="0"/>
          <w:sz w:val="33"/>
          <w:szCs w:val="33"/>
          <w:highlight w:val="none"/>
          <w:lang w:val="en-US" w:eastAsia="zh-CN"/>
        </w:rPr>
        <w:t>1</w:t>
      </w:r>
      <w:r>
        <w:rPr>
          <w:rFonts w:hint="eastAsia" w:ascii="Times New Roman" w:hAnsi="Times New Roman" w:eastAsia="方正仿宋_GBK" w:cs="Times New Roman"/>
          <w:color w:val="auto"/>
          <w:kern w:val="0"/>
          <w:sz w:val="33"/>
          <w:szCs w:val="33"/>
          <w:highlight w:val="none"/>
        </w:rPr>
        <w:t>年度中，充分发挥地域优势，强化内部职能，严格执行八项规定，厉行节约，大力开展招商引资工作，助力推动广安高质量发展，取得了良好的社会效益。</w:t>
      </w:r>
    </w:p>
    <w:p w14:paraId="0368E848">
      <w:pPr>
        <w:snapToGrid w:val="0"/>
        <w:spacing w:line="590" w:lineRule="exact"/>
        <w:ind w:firstLine="660" w:firstLineChars="200"/>
        <w:rPr>
          <w:rFonts w:hint="eastAsia" w:eastAsia="方正仿宋_GBK"/>
          <w:color w:val="auto"/>
          <w:kern w:val="0"/>
          <w:sz w:val="33"/>
          <w:szCs w:val="33"/>
          <w:highlight w:val="none"/>
        </w:rPr>
      </w:pPr>
      <w:r>
        <w:rPr>
          <w:rFonts w:hint="eastAsia" w:ascii="Times New Roman" w:hAnsi="Times New Roman" w:eastAsia="方正仿宋_GBK" w:cs="Times New Roman"/>
          <w:color w:val="auto"/>
          <w:kern w:val="0"/>
          <w:sz w:val="33"/>
          <w:szCs w:val="33"/>
          <w:highlight w:val="none"/>
        </w:rPr>
        <w:t>202</w:t>
      </w:r>
      <w:r>
        <w:rPr>
          <w:rFonts w:hint="eastAsia" w:ascii="Times New Roman" w:hAnsi="Times New Roman" w:eastAsia="方正仿宋_GBK" w:cs="Times New Roman"/>
          <w:color w:val="auto"/>
          <w:kern w:val="0"/>
          <w:sz w:val="33"/>
          <w:szCs w:val="33"/>
          <w:highlight w:val="none"/>
          <w:lang w:val="en-US" w:eastAsia="zh-CN"/>
        </w:rPr>
        <w:t>1</w:t>
      </w:r>
      <w:r>
        <w:rPr>
          <w:rFonts w:hint="eastAsia" w:ascii="Times New Roman" w:hAnsi="Times New Roman" w:eastAsia="方正仿宋_GBK" w:cs="Times New Roman"/>
          <w:color w:val="auto"/>
          <w:kern w:val="0"/>
          <w:sz w:val="33"/>
          <w:szCs w:val="33"/>
          <w:highlight w:val="none"/>
        </w:rPr>
        <w:t>年度市驻蓉办在信访维稳专项工作中，深入分析研判信访形势，提前做好应对，坚持了早发现、早报告、早控制的“三早”预警处理机制。工作人员冷静应对，耐心说服，热情处理好每件信访工作，专款专用信访经费，有效保障了省市重大会议、商务活动等的顺利开展，维护了</w:t>
      </w:r>
      <w:r>
        <w:rPr>
          <w:rFonts w:hint="eastAsia" w:eastAsia="方正仿宋_GBK"/>
          <w:color w:val="auto"/>
          <w:kern w:val="0"/>
          <w:sz w:val="33"/>
          <w:szCs w:val="33"/>
          <w:highlight w:val="none"/>
        </w:rPr>
        <w:t>社会和谐稳定，取得了良好的社会效益。</w:t>
      </w:r>
    </w:p>
    <w:p w14:paraId="5FDA1031">
      <w:pPr>
        <w:snapToGrid w:val="0"/>
        <w:spacing w:line="590" w:lineRule="exact"/>
        <w:ind w:firstLine="660" w:firstLineChars="200"/>
        <w:rPr>
          <w:rFonts w:hint="eastAsia" w:eastAsia="方正仿宋_GBK"/>
          <w:color w:val="auto"/>
          <w:kern w:val="0"/>
          <w:sz w:val="33"/>
          <w:szCs w:val="33"/>
          <w:highlight w:val="none"/>
          <w:lang w:eastAsia="zh-CN"/>
        </w:rPr>
      </w:pPr>
      <w:r>
        <w:rPr>
          <w:rFonts w:hint="eastAsia" w:eastAsia="方正仿宋_GBK"/>
          <w:color w:val="auto"/>
          <w:kern w:val="0"/>
          <w:sz w:val="33"/>
          <w:szCs w:val="33"/>
          <w:highlight w:val="none"/>
          <w:lang w:val="en-US" w:eastAsia="zh-CN"/>
        </w:rPr>
        <w:t>1、</w:t>
      </w:r>
      <w:r>
        <w:rPr>
          <w:rFonts w:hint="eastAsia" w:eastAsia="方正仿宋_GBK"/>
          <w:color w:val="auto"/>
          <w:kern w:val="0"/>
          <w:sz w:val="33"/>
          <w:szCs w:val="33"/>
          <w:highlight w:val="none"/>
        </w:rPr>
        <w:t>项目绩效目标完成情况。</w:t>
      </w:r>
    </w:p>
    <w:p w14:paraId="7A2FD2E2">
      <w:pPr>
        <w:snapToGrid w:val="0"/>
        <w:spacing w:line="590" w:lineRule="exact"/>
        <w:ind w:firstLine="660" w:firstLineChars="200"/>
        <w:rPr>
          <w:rFonts w:hint="eastAsia" w:eastAsia="方正仿宋_GBK"/>
          <w:color w:val="auto"/>
          <w:kern w:val="0"/>
          <w:sz w:val="33"/>
          <w:szCs w:val="33"/>
          <w:highlight w:val="none"/>
        </w:rPr>
      </w:pPr>
      <w:r>
        <w:rPr>
          <w:rFonts w:hint="eastAsia" w:eastAsia="方正仿宋_GBK"/>
          <w:color w:val="auto"/>
          <w:kern w:val="0"/>
          <w:sz w:val="33"/>
          <w:szCs w:val="33"/>
          <w:highlight w:val="none"/>
        </w:rPr>
        <w:t>本部门在202</w:t>
      </w:r>
      <w:r>
        <w:rPr>
          <w:rFonts w:hint="eastAsia" w:eastAsia="方正仿宋_GBK"/>
          <w:color w:val="auto"/>
          <w:kern w:val="0"/>
          <w:sz w:val="33"/>
          <w:szCs w:val="33"/>
          <w:highlight w:val="none"/>
          <w:lang w:val="en-US" w:eastAsia="zh-CN"/>
        </w:rPr>
        <w:t>1</w:t>
      </w:r>
      <w:r>
        <w:rPr>
          <w:rFonts w:hint="eastAsia" w:eastAsia="方正仿宋_GBK"/>
          <w:color w:val="auto"/>
          <w:kern w:val="0"/>
          <w:sz w:val="33"/>
          <w:szCs w:val="33"/>
          <w:highlight w:val="none"/>
        </w:rPr>
        <w:t>年度部门决算中反映“</w:t>
      </w:r>
      <w:r>
        <w:rPr>
          <w:rFonts w:hint="eastAsia" w:eastAsia="方正仿宋_GBK"/>
          <w:color w:val="auto"/>
          <w:kern w:val="0"/>
          <w:sz w:val="33"/>
          <w:szCs w:val="33"/>
          <w:highlight w:val="none"/>
          <w:lang w:eastAsia="zh-CN"/>
        </w:rPr>
        <w:t>招商引资</w:t>
      </w:r>
      <w:r>
        <w:rPr>
          <w:rFonts w:hint="eastAsia" w:eastAsia="方正仿宋_GBK"/>
          <w:color w:val="auto"/>
          <w:kern w:val="0"/>
          <w:sz w:val="33"/>
          <w:szCs w:val="33"/>
          <w:highlight w:val="none"/>
        </w:rPr>
        <w:t>””</w:t>
      </w:r>
      <w:r>
        <w:rPr>
          <w:rFonts w:hint="eastAsia" w:eastAsia="方正仿宋_GBK"/>
          <w:color w:val="auto"/>
          <w:kern w:val="0"/>
          <w:sz w:val="33"/>
          <w:szCs w:val="33"/>
          <w:highlight w:val="none"/>
          <w:lang w:eastAsia="zh-CN"/>
        </w:rPr>
        <w:t>信访维稳</w:t>
      </w:r>
      <w:r>
        <w:rPr>
          <w:rFonts w:hint="eastAsia" w:eastAsia="方正仿宋_GBK"/>
          <w:color w:val="auto"/>
          <w:kern w:val="0"/>
          <w:sz w:val="33"/>
          <w:szCs w:val="33"/>
          <w:highlight w:val="none"/>
        </w:rPr>
        <w:t>”等</w:t>
      </w:r>
      <w:r>
        <w:rPr>
          <w:rFonts w:hint="eastAsia" w:eastAsia="方正仿宋_GBK"/>
          <w:color w:val="auto"/>
          <w:kern w:val="0"/>
          <w:sz w:val="33"/>
          <w:szCs w:val="33"/>
          <w:highlight w:val="none"/>
          <w:lang w:eastAsia="zh-CN"/>
        </w:rPr>
        <w:t>两</w:t>
      </w:r>
      <w:r>
        <w:rPr>
          <w:rFonts w:hint="eastAsia" w:eastAsia="方正仿宋_GBK"/>
          <w:color w:val="auto"/>
          <w:kern w:val="0"/>
          <w:sz w:val="33"/>
          <w:szCs w:val="33"/>
          <w:highlight w:val="none"/>
        </w:rPr>
        <w:t>个项目绩效目标实际完成情况。（本部门项目绩效目标全部进行公开，公开内容包括全部项目完成情况综述和完成情况表）。</w:t>
      </w:r>
    </w:p>
    <w:p w14:paraId="0661AD55">
      <w:pPr>
        <w:snapToGrid w:val="0"/>
        <w:spacing w:line="590" w:lineRule="exact"/>
        <w:ind w:firstLine="660" w:firstLineChars="200"/>
        <w:rPr>
          <w:rFonts w:hint="eastAsia" w:eastAsia="方正仿宋_GBK"/>
          <w:color w:val="auto"/>
          <w:kern w:val="0"/>
          <w:sz w:val="33"/>
          <w:szCs w:val="33"/>
          <w:highlight w:val="none"/>
          <w:lang w:val="zh-CN"/>
        </w:rPr>
      </w:pPr>
      <w:r>
        <w:rPr>
          <w:rFonts w:hint="eastAsia" w:eastAsia="方正仿宋_GBK"/>
          <w:color w:val="auto"/>
          <w:kern w:val="0"/>
          <w:sz w:val="33"/>
          <w:szCs w:val="33"/>
          <w:highlight w:val="none"/>
          <w:lang w:eastAsia="zh-CN"/>
        </w:rPr>
        <w:t>招商引资</w:t>
      </w:r>
      <w:r>
        <w:rPr>
          <w:rFonts w:hint="eastAsia" w:eastAsia="方正仿宋_GBK"/>
          <w:color w:val="auto"/>
          <w:kern w:val="0"/>
          <w:sz w:val="33"/>
          <w:szCs w:val="33"/>
          <w:highlight w:val="none"/>
        </w:rPr>
        <w:t>项目绩效目标完成情况综述。项目全年预算数</w:t>
      </w:r>
      <w:r>
        <w:rPr>
          <w:rFonts w:hint="eastAsia" w:eastAsia="方正仿宋_GBK"/>
          <w:color w:val="auto"/>
          <w:kern w:val="0"/>
          <w:sz w:val="33"/>
          <w:szCs w:val="33"/>
          <w:highlight w:val="none"/>
          <w:lang w:val="en-US" w:eastAsia="zh-CN"/>
        </w:rPr>
        <w:t>130</w:t>
      </w:r>
      <w:r>
        <w:rPr>
          <w:rFonts w:hint="eastAsia" w:eastAsia="方正仿宋_GBK"/>
          <w:color w:val="auto"/>
          <w:kern w:val="0"/>
          <w:sz w:val="33"/>
          <w:szCs w:val="33"/>
          <w:highlight w:val="none"/>
        </w:rPr>
        <w:t>万元，执行数为</w:t>
      </w:r>
      <w:r>
        <w:rPr>
          <w:rFonts w:hint="eastAsia" w:eastAsia="方正仿宋_GBK"/>
          <w:color w:val="auto"/>
          <w:kern w:val="0"/>
          <w:sz w:val="33"/>
          <w:szCs w:val="33"/>
          <w:highlight w:val="none"/>
          <w:lang w:val="en-US" w:eastAsia="zh-CN"/>
        </w:rPr>
        <w:t>83.29</w:t>
      </w:r>
      <w:r>
        <w:rPr>
          <w:rFonts w:hint="eastAsia" w:eastAsia="方正仿宋_GBK"/>
          <w:color w:val="auto"/>
          <w:kern w:val="0"/>
          <w:sz w:val="33"/>
          <w:szCs w:val="33"/>
          <w:highlight w:val="none"/>
        </w:rPr>
        <w:t>万元，完成预算的</w:t>
      </w:r>
      <w:r>
        <w:rPr>
          <w:rFonts w:hint="eastAsia" w:eastAsia="方正仿宋_GBK"/>
          <w:color w:val="auto"/>
          <w:kern w:val="0"/>
          <w:sz w:val="33"/>
          <w:szCs w:val="33"/>
          <w:highlight w:val="none"/>
          <w:lang w:val="en-US" w:eastAsia="zh-CN"/>
        </w:rPr>
        <w:t>64.07</w:t>
      </w:r>
      <w:r>
        <w:rPr>
          <w:rFonts w:hint="eastAsia" w:eastAsia="方正仿宋_GBK"/>
          <w:color w:val="auto"/>
          <w:kern w:val="0"/>
          <w:sz w:val="33"/>
          <w:szCs w:val="33"/>
          <w:highlight w:val="none"/>
        </w:rPr>
        <w:t>%。通过项目实施，市驻蓉办全面完成年初下达的招商引资工作目标。主办协办区域专题投资推介活动</w:t>
      </w:r>
      <w:r>
        <w:rPr>
          <w:rFonts w:hint="eastAsia" w:eastAsia="方正仿宋_GBK"/>
          <w:color w:val="auto"/>
          <w:kern w:val="0"/>
          <w:sz w:val="33"/>
          <w:szCs w:val="33"/>
          <w:highlight w:val="none"/>
          <w:lang w:val="en-US" w:eastAsia="zh-CN"/>
        </w:rPr>
        <w:t>5</w:t>
      </w:r>
      <w:r>
        <w:rPr>
          <w:rFonts w:hint="eastAsia" w:eastAsia="方正仿宋_GBK"/>
          <w:color w:val="auto"/>
          <w:kern w:val="0"/>
          <w:sz w:val="33"/>
          <w:szCs w:val="33"/>
          <w:highlight w:val="none"/>
        </w:rPr>
        <w:t>次，完成目标任务</w:t>
      </w:r>
      <w:r>
        <w:rPr>
          <w:rFonts w:hint="eastAsia" w:eastAsia="方正仿宋_GBK"/>
          <w:color w:val="auto"/>
          <w:kern w:val="0"/>
          <w:sz w:val="33"/>
          <w:szCs w:val="33"/>
          <w:highlight w:val="none"/>
          <w:lang w:val="en-US" w:eastAsia="zh-CN"/>
        </w:rPr>
        <w:t>166</w:t>
      </w:r>
      <w:r>
        <w:rPr>
          <w:rFonts w:hint="eastAsia" w:eastAsia="方正仿宋_GBK"/>
          <w:color w:val="auto"/>
          <w:kern w:val="0"/>
          <w:sz w:val="33"/>
          <w:szCs w:val="33"/>
          <w:highlight w:val="none"/>
        </w:rPr>
        <w:t>%。促成</w:t>
      </w:r>
      <w:r>
        <w:rPr>
          <w:rFonts w:hint="eastAsia" w:eastAsia="方正仿宋_GBK"/>
          <w:color w:val="auto"/>
          <w:kern w:val="0"/>
          <w:sz w:val="33"/>
          <w:szCs w:val="33"/>
          <w:highlight w:val="none"/>
          <w:lang w:val="en-US" w:eastAsia="zh-CN"/>
        </w:rPr>
        <w:t>成都思佳维科技有限公司、四川博斯威尔药业有限责任公司、成都金宏达快运有限责任公司</w:t>
      </w:r>
      <w:r>
        <w:rPr>
          <w:rFonts w:hint="eastAsia" w:eastAsia="方正仿宋_GBK"/>
          <w:color w:val="auto"/>
          <w:kern w:val="0"/>
          <w:sz w:val="33"/>
          <w:szCs w:val="33"/>
          <w:highlight w:val="none"/>
        </w:rPr>
        <w:t>等</w:t>
      </w:r>
      <w:r>
        <w:rPr>
          <w:rFonts w:hint="eastAsia" w:eastAsia="方正仿宋_GBK"/>
          <w:color w:val="auto"/>
          <w:kern w:val="0"/>
          <w:sz w:val="33"/>
          <w:szCs w:val="33"/>
          <w:highlight w:val="none"/>
          <w:lang w:val="en-US" w:eastAsia="zh-CN"/>
        </w:rPr>
        <w:t>7</w:t>
      </w:r>
      <w:r>
        <w:rPr>
          <w:rFonts w:hint="eastAsia" w:eastAsia="方正仿宋_GBK"/>
          <w:color w:val="auto"/>
          <w:kern w:val="0"/>
          <w:sz w:val="33"/>
          <w:szCs w:val="33"/>
          <w:highlight w:val="none"/>
        </w:rPr>
        <w:t>家企业落地投资，完成目标任务1</w:t>
      </w:r>
      <w:r>
        <w:rPr>
          <w:rFonts w:hint="eastAsia" w:eastAsia="方正仿宋_GBK"/>
          <w:color w:val="auto"/>
          <w:kern w:val="0"/>
          <w:sz w:val="33"/>
          <w:szCs w:val="33"/>
          <w:highlight w:val="none"/>
          <w:lang w:val="en-US" w:eastAsia="zh-CN"/>
        </w:rPr>
        <w:t>16</w:t>
      </w:r>
      <w:r>
        <w:rPr>
          <w:rFonts w:hint="eastAsia" w:eastAsia="方正仿宋_GBK"/>
          <w:color w:val="auto"/>
          <w:kern w:val="0"/>
          <w:sz w:val="33"/>
          <w:szCs w:val="33"/>
          <w:highlight w:val="none"/>
        </w:rPr>
        <w:t>%。完成年初下达的信息目标任务，在市委办《每日要情》刊发</w:t>
      </w:r>
      <w:r>
        <w:rPr>
          <w:rFonts w:hint="eastAsia" w:eastAsia="方正仿宋_GBK"/>
          <w:color w:val="auto"/>
          <w:kern w:val="0"/>
          <w:sz w:val="33"/>
          <w:szCs w:val="33"/>
          <w:highlight w:val="none"/>
          <w:lang w:val="en-US" w:eastAsia="zh-CN"/>
        </w:rPr>
        <w:t>4</w:t>
      </w:r>
      <w:r>
        <w:rPr>
          <w:rFonts w:hint="eastAsia" w:eastAsia="方正仿宋_GBK"/>
          <w:color w:val="auto"/>
          <w:kern w:val="0"/>
          <w:sz w:val="33"/>
          <w:szCs w:val="33"/>
          <w:highlight w:val="none"/>
        </w:rPr>
        <w:t>篇，完成</w:t>
      </w:r>
      <w:r>
        <w:rPr>
          <w:rFonts w:hint="eastAsia" w:eastAsia="方正仿宋_GBK"/>
          <w:color w:val="auto"/>
          <w:kern w:val="0"/>
          <w:sz w:val="33"/>
          <w:szCs w:val="33"/>
          <w:highlight w:val="none"/>
          <w:lang w:val="en-US" w:eastAsia="zh-CN"/>
        </w:rPr>
        <w:t>招商引资情况</w:t>
      </w:r>
      <w:r>
        <w:rPr>
          <w:rFonts w:hint="eastAsia" w:eastAsia="方正仿宋_GBK"/>
          <w:color w:val="auto"/>
          <w:kern w:val="0"/>
          <w:sz w:val="33"/>
          <w:szCs w:val="33"/>
          <w:highlight w:val="none"/>
        </w:rPr>
        <w:t>调研报告1篇，报送招商信息</w:t>
      </w:r>
      <w:r>
        <w:rPr>
          <w:rFonts w:hint="eastAsia" w:eastAsia="方正仿宋_GBK"/>
          <w:color w:val="auto"/>
          <w:kern w:val="0"/>
          <w:sz w:val="33"/>
          <w:szCs w:val="33"/>
          <w:highlight w:val="none"/>
          <w:lang w:val="en-US" w:eastAsia="zh-CN"/>
        </w:rPr>
        <w:t>4</w:t>
      </w:r>
      <w:r>
        <w:rPr>
          <w:rFonts w:hint="eastAsia" w:eastAsia="方正仿宋_GBK"/>
          <w:color w:val="auto"/>
          <w:kern w:val="0"/>
          <w:sz w:val="33"/>
          <w:szCs w:val="33"/>
          <w:highlight w:val="none"/>
        </w:rPr>
        <w:t>0余条</w:t>
      </w:r>
      <w:r>
        <w:rPr>
          <w:rFonts w:hint="eastAsia" w:eastAsia="方正仿宋_GBK"/>
          <w:color w:val="auto"/>
          <w:kern w:val="0"/>
          <w:sz w:val="33"/>
          <w:szCs w:val="33"/>
          <w:highlight w:val="none"/>
          <w:lang w:val="zh-CN"/>
        </w:rPr>
        <w:t>。</w:t>
      </w:r>
    </w:p>
    <w:p w14:paraId="14042A26">
      <w:pPr>
        <w:snapToGrid w:val="0"/>
        <w:spacing w:line="590" w:lineRule="exact"/>
        <w:ind w:firstLine="660" w:firstLineChars="200"/>
        <w:rPr>
          <w:rFonts w:ascii="仿宋_GB2312" w:hAnsi="仿宋_GB2312" w:eastAsia="仿宋_GB2312" w:cs="仿宋_GB2312"/>
          <w:sz w:val="32"/>
          <w:szCs w:val="32"/>
        </w:rPr>
      </w:pPr>
      <w:r>
        <w:rPr>
          <w:rFonts w:hint="eastAsia" w:eastAsia="方正仿宋_GBK"/>
          <w:color w:val="auto"/>
          <w:kern w:val="0"/>
          <w:sz w:val="33"/>
          <w:szCs w:val="33"/>
          <w:highlight w:val="none"/>
          <w:lang w:eastAsia="zh-CN"/>
        </w:rPr>
        <w:t>信访维稳</w:t>
      </w:r>
      <w:r>
        <w:rPr>
          <w:rFonts w:hint="eastAsia" w:eastAsia="方正仿宋_GBK"/>
          <w:color w:val="auto"/>
          <w:kern w:val="0"/>
          <w:sz w:val="33"/>
          <w:szCs w:val="33"/>
          <w:highlight w:val="none"/>
        </w:rPr>
        <w:t>项目绩效目标完成情况综述。项目全年预算数</w:t>
      </w:r>
      <w:r>
        <w:rPr>
          <w:rFonts w:hint="eastAsia" w:eastAsia="方正仿宋_GBK"/>
          <w:color w:val="auto"/>
          <w:kern w:val="0"/>
          <w:sz w:val="33"/>
          <w:szCs w:val="33"/>
          <w:highlight w:val="none"/>
          <w:lang w:val="en-US" w:eastAsia="zh-CN"/>
        </w:rPr>
        <w:t>20</w:t>
      </w:r>
      <w:r>
        <w:rPr>
          <w:rFonts w:hint="eastAsia" w:eastAsia="方正仿宋_GBK"/>
          <w:color w:val="auto"/>
          <w:kern w:val="0"/>
          <w:sz w:val="33"/>
          <w:szCs w:val="33"/>
          <w:highlight w:val="none"/>
        </w:rPr>
        <w:t>万元，执行数为</w:t>
      </w:r>
      <w:r>
        <w:rPr>
          <w:rFonts w:hint="eastAsia" w:eastAsia="方正仿宋_GBK"/>
          <w:color w:val="auto"/>
          <w:kern w:val="0"/>
          <w:sz w:val="33"/>
          <w:szCs w:val="33"/>
          <w:highlight w:val="none"/>
          <w:lang w:val="en-US" w:eastAsia="zh-CN"/>
        </w:rPr>
        <w:t>5.68</w:t>
      </w:r>
      <w:r>
        <w:rPr>
          <w:rFonts w:hint="eastAsia" w:eastAsia="方正仿宋_GBK"/>
          <w:color w:val="auto"/>
          <w:kern w:val="0"/>
          <w:sz w:val="33"/>
          <w:szCs w:val="33"/>
          <w:highlight w:val="none"/>
        </w:rPr>
        <w:t>万元，完成预算的</w:t>
      </w:r>
      <w:r>
        <w:rPr>
          <w:rFonts w:hint="eastAsia" w:eastAsia="方正仿宋_GBK"/>
          <w:color w:val="auto"/>
          <w:kern w:val="0"/>
          <w:sz w:val="33"/>
          <w:szCs w:val="33"/>
          <w:highlight w:val="none"/>
          <w:lang w:val="en-US" w:eastAsia="zh-CN"/>
        </w:rPr>
        <w:t>28.4</w:t>
      </w:r>
      <w:r>
        <w:rPr>
          <w:rFonts w:hint="eastAsia" w:eastAsia="方正仿宋_GBK"/>
          <w:color w:val="auto"/>
          <w:kern w:val="0"/>
          <w:sz w:val="33"/>
          <w:szCs w:val="33"/>
          <w:highlight w:val="none"/>
        </w:rPr>
        <w:t>%。通过项目实施，市驻蓉办高度重视信访维稳工作，畅通与省信访局、省信访分流中心、市信访局的联系通道，密切关注最新信访工作动态，做好突发信访、特殊信访以及集体接访工作，做到及时接访，文明劝访，202</w:t>
      </w:r>
      <w:r>
        <w:rPr>
          <w:rFonts w:hint="eastAsia" w:eastAsia="方正仿宋_GBK"/>
          <w:color w:val="auto"/>
          <w:kern w:val="0"/>
          <w:sz w:val="33"/>
          <w:szCs w:val="33"/>
          <w:highlight w:val="none"/>
          <w:lang w:val="en-US" w:eastAsia="zh-CN"/>
        </w:rPr>
        <w:t>1</w:t>
      </w:r>
      <w:r>
        <w:rPr>
          <w:rFonts w:hint="eastAsia" w:eastAsia="方正仿宋_GBK"/>
          <w:color w:val="auto"/>
          <w:kern w:val="0"/>
          <w:sz w:val="33"/>
          <w:szCs w:val="33"/>
          <w:highlight w:val="none"/>
        </w:rPr>
        <w:t>年来共接访1</w:t>
      </w:r>
      <w:r>
        <w:rPr>
          <w:rFonts w:hint="eastAsia" w:eastAsia="方正仿宋_GBK"/>
          <w:color w:val="auto"/>
          <w:kern w:val="0"/>
          <w:sz w:val="33"/>
          <w:szCs w:val="33"/>
          <w:highlight w:val="none"/>
          <w:lang w:val="en-US" w:eastAsia="zh-CN"/>
        </w:rPr>
        <w:t>50</w:t>
      </w:r>
      <w:r>
        <w:rPr>
          <w:rFonts w:hint="eastAsia" w:eastAsia="方正仿宋_GBK"/>
          <w:color w:val="auto"/>
          <w:kern w:val="0"/>
          <w:sz w:val="33"/>
          <w:szCs w:val="33"/>
          <w:highlight w:val="none"/>
        </w:rPr>
        <w:t>余人次，协助区市县和市级相关部门做好赴省上访人员的劝返和息诉息访工作，切实维护群众合法权益和我市良好社会形象。无论工作日还是节假日、无论上下班时间，接到省信访局、省信访分流中心、省级有关部门关于广安籍人员到蓉上访的通知</w:t>
      </w:r>
      <w:r>
        <w:rPr>
          <w:rFonts w:hint="eastAsia" w:eastAsia="方正仿宋_GBK"/>
          <w:kern w:val="0"/>
          <w:sz w:val="33"/>
          <w:szCs w:val="33"/>
        </w:rPr>
        <w:t>后，市驻蓉办的同志总是第一时间赶赴现场做好协调及劝返工作。</w:t>
      </w: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4CDE0A1F">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7EB3BD19">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14:paraId="361A6DC0">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(202</w:t>
            </w:r>
            <w:r>
              <w:rPr>
                <w:rFonts w:hint="eastAsia" w:ascii="宋体" w:hAnsi="宋体" w:cs="宋体"/>
                <w:color w:val="000000"/>
                <w:kern w:val="0"/>
                <w:sz w:val="36"/>
                <w:szCs w:val="36"/>
                <w:lang w:val="en-US" w:eastAsia="zh-CN"/>
              </w:rPr>
              <w:t>1</w:t>
            </w:r>
            <w:r>
              <w:rPr>
                <w:rFonts w:hint="eastAsia" w:ascii="宋体" w:hAnsi="宋体" w:cs="宋体"/>
                <w:color w:val="000000"/>
                <w:kern w:val="0"/>
                <w:sz w:val="36"/>
                <w:szCs w:val="36"/>
              </w:rPr>
              <w:t>年度)</w:t>
            </w:r>
          </w:p>
        </w:tc>
      </w:tr>
      <w:tr w14:paraId="2E54714B">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2A7A48">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5C76A2">
            <w:pPr>
              <w:widowControl/>
              <w:jc w:val="center"/>
              <w:textAlignment w:val="center"/>
              <w:rPr>
                <w:rFonts w:ascii="宋体" w:hAnsi="宋体" w:cs="宋体"/>
                <w:color w:val="000000"/>
                <w:sz w:val="24"/>
              </w:rPr>
            </w:pPr>
            <w:r>
              <w:rPr>
                <w:rFonts w:ascii="宋体" w:hAnsi="宋体" w:cs="宋体"/>
                <w:color w:val="000000"/>
                <w:sz w:val="24"/>
              </w:rPr>
              <w:t>招商引资项目</w:t>
            </w:r>
          </w:p>
        </w:tc>
      </w:tr>
      <w:tr w14:paraId="3A73DCA7">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FCC17E">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D77B2A">
            <w:pPr>
              <w:widowControl/>
              <w:jc w:val="center"/>
              <w:textAlignment w:val="center"/>
              <w:rPr>
                <w:rFonts w:ascii="宋体" w:hAnsi="宋体" w:cs="宋体"/>
                <w:color w:val="000000"/>
                <w:sz w:val="24"/>
              </w:rPr>
            </w:pPr>
            <w:r>
              <w:rPr>
                <w:rFonts w:ascii="宋体" w:hAnsi="宋体" w:cs="宋体"/>
                <w:color w:val="000000"/>
                <w:sz w:val="24"/>
              </w:rPr>
              <w:t>广安市人民政府驻成都办事处</w:t>
            </w:r>
          </w:p>
        </w:tc>
      </w:tr>
      <w:tr w14:paraId="49D45079">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988FAB">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17225F">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6BF536">
            <w:pPr>
              <w:widowControl/>
              <w:jc w:val="center"/>
              <w:textAlignment w:val="center"/>
              <w:rPr>
                <w:rFonts w:ascii="宋体" w:hAnsi="宋体" w:cs="宋体"/>
                <w:color w:val="000000"/>
                <w:sz w:val="24"/>
              </w:rPr>
            </w:pPr>
            <w:r>
              <w:rPr>
                <w:rFonts w:hint="eastAsia" w:ascii="宋体" w:hAnsi="宋体" w:cs="宋体"/>
                <w:color w:val="000000"/>
                <w:sz w:val="24"/>
              </w:rPr>
              <w:t>130万元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7358BE">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4232A8">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83.29</w:t>
            </w:r>
            <w:r>
              <w:rPr>
                <w:rFonts w:hint="eastAsia" w:ascii="宋体" w:hAnsi="宋体" w:cs="宋体"/>
                <w:color w:val="000000"/>
                <w:sz w:val="24"/>
              </w:rPr>
              <w:t>万元</w:t>
            </w:r>
          </w:p>
        </w:tc>
      </w:tr>
      <w:tr w14:paraId="40E04F12">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26BCC">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DDA481">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2D9EC9">
            <w:pPr>
              <w:widowControl/>
              <w:jc w:val="center"/>
              <w:textAlignment w:val="center"/>
              <w:rPr>
                <w:rFonts w:ascii="宋体" w:hAnsi="宋体" w:cs="宋体"/>
                <w:color w:val="000000"/>
                <w:sz w:val="24"/>
              </w:rPr>
            </w:pPr>
            <w:r>
              <w:rPr>
                <w:rFonts w:hint="eastAsia" w:ascii="宋体" w:hAnsi="宋体" w:cs="宋体"/>
                <w:color w:val="000000"/>
                <w:sz w:val="24"/>
              </w:rPr>
              <w:t>130万元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23A975">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2112E0">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83.29</w:t>
            </w:r>
            <w:r>
              <w:rPr>
                <w:rFonts w:hint="eastAsia" w:ascii="宋体" w:hAnsi="宋体" w:cs="宋体"/>
                <w:color w:val="000000"/>
                <w:sz w:val="24"/>
              </w:rPr>
              <w:t>万元</w:t>
            </w:r>
          </w:p>
        </w:tc>
      </w:tr>
      <w:tr w14:paraId="35D9A107">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A22DE">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FBEBA8">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678B0E">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D81F4">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81DA5">
            <w:pPr>
              <w:jc w:val="center"/>
              <w:rPr>
                <w:rFonts w:ascii="宋体" w:hAnsi="宋体" w:cs="宋体"/>
                <w:color w:val="000000"/>
                <w:sz w:val="24"/>
              </w:rPr>
            </w:pPr>
          </w:p>
        </w:tc>
      </w:tr>
      <w:tr w14:paraId="6B798D54">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55734">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DF8CD">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6BF2EA">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0C489C4E">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9B8213">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DD74B1">
            <w:pPr>
              <w:widowControl/>
              <w:jc w:val="center"/>
              <w:textAlignment w:val="center"/>
              <w:rPr>
                <w:rFonts w:hint="eastAsia" w:ascii="宋体" w:hAnsi="宋体" w:cs="宋体"/>
                <w:color w:val="000000"/>
                <w:sz w:val="24"/>
              </w:rPr>
            </w:pPr>
            <w:r>
              <w:rPr>
                <w:rFonts w:hint="eastAsia" w:ascii="宋体" w:hAnsi="宋体" w:cs="宋体"/>
                <w:color w:val="000000"/>
                <w:sz w:val="24"/>
              </w:rPr>
              <w:t>1、主动拜访发达地区在蓉商会协会、企业和川东北在蓉商会、企业等，走访广安在蓉商会、企业，完成调研文章；</w:t>
            </w:r>
          </w:p>
          <w:p w14:paraId="46B69FA7">
            <w:pPr>
              <w:widowControl/>
              <w:jc w:val="center"/>
              <w:textAlignment w:val="center"/>
              <w:rPr>
                <w:rFonts w:hint="eastAsia" w:ascii="宋体" w:hAnsi="宋体" w:cs="宋体"/>
                <w:color w:val="000000"/>
                <w:sz w:val="24"/>
              </w:rPr>
            </w:pPr>
            <w:r>
              <w:rPr>
                <w:rFonts w:hint="eastAsia" w:ascii="宋体" w:hAnsi="宋体" w:cs="宋体"/>
                <w:color w:val="000000"/>
                <w:sz w:val="24"/>
              </w:rPr>
              <w:t>2、协助市级部门在蓉举办展示展销推介活动，利用各类平台举办医药、农业等招商项目推介会；</w:t>
            </w:r>
          </w:p>
          <w:p w14:paraId="5186100C">
            <w:pPr>
              <w:widowControl/>
              <w:jc w:val="center"/>
              <w:textAlignment w:val="center"/>
              <w:rPr>
                <w:rFonts w:hint="eastAsia" w:ascii="宋体" w:hAnsi="宋体" w:cs="宋体"/>
                <w:color w:val="000000"/>
                <w:sz w:val="24"/>
              </w:rPr>
            </w:pPr>
            <w:r>
              <w:rPr>
                <w:rFonts w:hint="eastAsia" w:ascii="宋体" w:hAnsi="宋体" w:cs="宋体"/>
                <w:color w:val="000000"/>
                <w:sz w:val="24"/>
              </w:rPr>
              <w:t>3、收集招商信息，编撰印发《天府资讯》，学习先进地区招商工作先进经验，组织参加相关招商培训；</w:t>
            </w:r>
          </w:p>
          <w:p w14:paraId="1A6549EF">
            <w:pPr>
              <w:widowControl/>
              <w:jc w:val="center"/>
              <w:textAlignment w:val="center"/>
              <w:rPr>
                <w:rFonts w:hint="eastAsia" w:ascii="宋体" w:hAnsi="宋体" w:cs="宋体"/>
                <w:color w:val="000000"/>
                <w:sz w:val="24"/>
              </w:rPr>
            </w:pPr>
            <w:r>
              <w:rPr>
                <w:rFonts w:hint="eastAsia" w:ascii="宋体" w:hAnsi="宋体" w:cs="宋体"/>
                <w:color w:val="000000"/>
                <w:sz w:val="24"/>
              </w:rPr>
              <w:t>4、构建企业生态圈，积极与中省和成都市机关、企事业单位、金融机构、法律等对接，搭建政银企三方平台，为广安在蓉商会、企业提供优质服务；</w:t>
            </w:r>
          </w:p>
          <w:p w14:paraId="66E1148C">
            <w:pPr>
              <w:widowControl/>
              <w:jc w:val="center"/>
              <w:textAlignment w:val="center"/>
              <w:rPr>
                <w:rFonts w:hint="eastAsia" w:ascii="宋体" w:hAnsi="宋体" w:cs="宋体"/>
                <w:color w:val="000000"/>
                <w:sz w:val="24"/>
              </w:rPr>
            </w:pPr>
            <w:r>
              <w:rPr>
                <w:rFonts w:hint="eastAsia" w:ascii="宋体" w:hAnsi="宋体" w:cs="宋体"/>
                <w:color w:val="000000"/>
                <w:sz w:val="24"/>
              </w:rPr>
              <w:t>5、配合市级部门做好“十四五”专项规划工作，在成渝地区双城经济圈建设中主动作为，构建与商会、协会、金融机构等的沟通协调机制，积极与异地政府驻蓉办对接，促进信息共享，挖掘有价值招商信息；</w:t>
            </w:r>
          </w:p>
          <w:p w14:paraId="2041C5A9">
            <w:pPr>
              <w:widowControl/>
              <w:jc w:val="center"/>
              <w:textAlignment w:val="center"/>
              <w:rPr>
                <w:rFonts w:hint="eastAsia" w:ascii="宋体" w:hAnsi="宋体" w:cs="宋体"/>
                <w:color w:val="000000"/>
                <w:sz w:val="24"/>
              </w:rPr>
            </w:pPr>
            <w:r>
              <w:rPr>
                <w:rFonts w:hint="eastAsia" w:ascii="宋体" w:hAnsi="宋体" w:cs="宋体"/>
                <w:color w:val="000000"/>
                <w:sz w:val="24"/>
              </w:rPr>
              <w:t>6、积极参加广安在蓉企业家联席会、川东北经济区企业家联席会和沿海发达地区企业联席会，宣传广安“四张名片”，推介广安开展招商引资。</w:t>
            </w:r>
          </w:p>
          <w:p w14:paraId="031BD15F">
            <w:pPr>
              <w:widowControl/>
              <w:jc w:val="center"/>
              <w:textAlignment w:val="center"/>
              <w:rPr>
                <w:rFonts w:hint="eastAsia" w:ascii="宋体" w:hAnsi="宋体" w:cs="宋体"/>
                <w:color w:val="000000"/>
                <w:sz w:val="24"/>
              </w:rPr>
            </w:pPr>
            <w:r>
              <w:rPr>
                <w:rFonts w:hint="eastAsia" w:ascii="宋体" w:hAnsi="宋体" w:cs="宋体"/>
                <w:color w:val="000000"/>
                <w:sz w:val="24"/>
              </w:rPr>
              <w:t>7、积极传达市委市政府重要文件和会议精神，传递市委市政府关心和慰问；</w:t>
            </w:r>
          </w:p>
          <w:p w14:paraId="4E79D9CA">
            <w:pPr>
              <w:widowControl/>
              <w:jc w:val="center"/>
              <w:textAlignment w:val="center"/>
              <w:rPr>
                <w:rFonts w:hint="eastAsia" w:ascii="宋体" w:hAnsi="宋体" w:cs="宋体"/>
                <w:color w:val="000000"/>
                <w:sz w:val="24"/>
              </w:rPr>
            </w:pPr>
            <w:r>
              <w:rPr>
                <w:rFonts w:hint="eastAsia" w:ascii="宋体" w:hAnsi="宋体" w:cs="宋体"/>
                <w:color w:val="000000"/>
                <w:sz w:val="24"/>
              </w:rPr>
              <w:t>8、购买法律顾问服务，为在蓉流动党员和农民工提供法律咨询、权益维护、务工就业和信息等服务；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2E773">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202</w:t>
            </w:r>
            <w:r>
              <w:rPr>
                <w:rFonts w:hint="eastAsia" w:ascii="宋体" w:hAnsi="宋体" w:cs="宋体"/>
                <w:color w:val="000000"/>
                <w:sz w:val="24"/>
                <w:lang w:val="en-US" w:eastAsia="zh-CN"/>
              </w:rPr>
              <w:t>1</w:t>
            </w:r>
            <w:r>
              <w:rPr>
                <w:rFonts w:hint="eastAsia" w:ascii="宋体" w:hAnsi="宋体" w:cs="宋体"/>
                <w:color w:val="000000"/>
                <w:sz w:val="24"/>
              </w:rPr>
              <w:t>年，市驻蓉办全面完成年初下达的招商引资工作目标。主办协办区域专题投资推介活动</w:t>
            </w:r>
            <w:r>
              <w:rPr>
                <w:rFonts w:hint="eastAsia" w:ascii="宋体" w:hAnsi="宋体" w:cs="宋体"/>
                <w:color w:val="000000"/>
                <w:sz w:val="24"/>
                <w:lang w:val="en-US" w:eastAsia="zh-CN"/>
              </w:rPr>
              <w:t>5</w:t>
            </w:r>
            <w:r>
              <w:rPr>
                <w:rFonts w:hint="eastAsia" w:ascii="宋体" w:hAnsi="宋体" w:cs="宋体"/>
                <w:color w:val="000000"/>
                <w:sz w:val="24"/>
              </w:rPr>
              <w:t>次，完成目标任务</w:t>
            </w:r>
            <w:r>
              <w:rPr>
                <w:rFonts w:hint="eastAsia" w:ascii="宋体" w:hAnsi="宋体" w:cs="宋体"/>
                <w:color w:val="000000"/>
                <w:sz w:val="24"/>
                <w:lang w:val="en-US" w:eastAsia="zh-CN"/>
              </w:rPr>
              <w:t>166</w:t>
            </w:r>
            <w:r>
              <w:rPr>
                <w:rFonts w:hint="eastAsia" w:ascii="宋体" w:hAnsi="宋体" w:cs="宋体"/>
                <w:color w:val="000000"/>
                <w:sz w:val="24"/>
              </w:rPr>
              <w:t>%。促成</w:t>
            </w:r>
            <w:r>
              <w:rPr>
                <w:rFonts w:hint="eastAsia" w:ascii="宋体" w:hAnsi="宋体" w:cs="宋体"/>
                <w:color w:val="000000"/>
                <w:sz w:val="24"/>
                <w:lang w:val="en-US" w:eastAsia="zh-CN"/>
              </w:rPr>
              <w:t>成都思佳维科技有限公司、四川博斯威尔药业有限责任公司、成都金宏达快运有限责任公司</w:t>
            </w:r>
            <w:r>
              <w:rPr>
                <w:rFonts w:hint="eastAsia" w:ascii="宋体" w:hAnsi="宋体" w:cs="宋体"/>
                <w:color w:val="000000"/>
                <w:sz w:val="24"/>
              </w:rPr>
              <w:t>等</w:t>
            </w:r>
            <w:r>
              <w:rPr>
                <w:rFonts w:hint="eastAsia" w:ascii="宋体" w:hAnsi="宋体" w:cs="宋体"/>
                <w:color w:val="000000"/>
                <w:sz w:val="24"/>
                <w:lang w:val="en-US" w:eastAsia="zh-CN"/>
              </w:rPr>
              <w:t>7</w:t>
            </w:r>
            <w:r>
              <w:rPr>
                <w:rFonts w:hint="eastAsia" w:ascii="宋体" w:hAnsi="宋体" w:cs="宋体"/>
                <w:color w:val="000000"/>
                <w:sz w:val="24"/>
              </w:rPr>
              <w:t>家企业落地投资，完成目标任务1</w:t>
            </w:r>
            <w:r>
              <w:rPr>
                <w:rFonts w:hint="eastAsia" w:ascii="宋体" w:hAnsi="宋体" w:cs="宋体"/>
                <w:color w:val="000000"/>
                <w:sz w:val="24"/>
                <w:lang w:val="en-US" w:eastAsia="zh-CN"/>
              </w:rPr>
              <w:t>16</w:t>
            </w:r>
            <w:r>
              <w:rPr>
                <w:rFonts w:hint="eastAsia" w:ascii="宋体" w:hAnsi="宋体" w:cs="宋体"/>
                <w:color w:val="000000"/>
                <w:sz w:val="24"/>
              </w:rPr>
              <w:t>%。完成年初下达的信息目标任务，在市委办《每日要情》刊发</w:t>
            </w:r>
            <w:r>
              <w:rPr>
                <w:rFonts w:hint="eastAsia" w:ascii="宋体" w:hAnsi="宋体" w:cs="宋体"/>
                <w:color w:val="000000"/>
                <w:sz w:val="24"/>
                <w:lang w:val="en-US" w:eastAsia="zh-CN"/>
              </w:rPr>
              <w:t>4</w:t>
            </w:r>
            <w:r>
              <w:rPr>
                <w:rFonts w:hint="eastAsia" w:ascii="宋体" w:hAnsi="宋体" w:cs="宋体"/>
                <w:color w:val="000000"/>
                <w:sz w:val="24"/>
              </w:rPr>
              <w:t>篇，完成</w:t>
            </w:r>
            <w:r>
              <w:rPr>
                <w:rFonts w:hint="eastAsia" w:ascii="宋体" w:hAnsi="宋体" w:cs="宋体"/>
                <w:color w:val="000000"/>
                <w:sz w:val="24"/>
                <w:lang w:val="en-US" w:eastAsia="zh-CN"/>
              </w:rPr>
              <w:t>招商引资情况</w:t>
            </w:r>
            <w:r>
              <w:rPr>
                <w:rFonts w:hint="eastAsia" w:ascii="宋体" w:hAnsi="宋体" w:cs="宋体"/>
                <w:color w:val="000000"/>
                <w:sz w:val="24"/>
              </w:rPr>
              <w:t>调研报告1篇，报送招商信息</w:t>
            </w:r>
            <w:r>
              <w:rPr>
                <w:rFonts w:hint="eastAsia" w:ascii="宋体" w:hAnsi="宋体" w:cs="宋体"/>
                <w:color w:val="000000"/>
                <w:sz w:val="24"/>
                <w:lang w:val="en-US" w:eastAsia="zh-CN"/>
              </w:rPr>
              <w:t>4</w:t>
            </w:r>
            <w:r>
              <w:rPr>
                <w:rFonts w:hint="eastAsia" w:ascii="宋体" w:hAnsi="宋体" w:cs="宋体"/>
                <w:color w:val="000000"/>
                <w:sz w:val="24"/>
              </w:rPr>
              <w:t>0余条</w:t>
            </w:r>
            <w:r>
              <w:rPr>
                <w:rFonts w:hint="eastAsia" w:ascii="宋体" w:hAnsi="宋体" w:cs="宋体"/>
                <w:color w:val="000000"/>
                <w:sz w:val="24"/>
                <w:lang w:eastAsia="zh-CN"/>
              </w:rPr>
              <w:t>。</w:t>
            </w:r>
          </w:p>
        </w:tc>
      </w:tr>
      <w:tr w14:paraId="0607D702">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7BAACC8">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631FE8">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3BE31F">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D9B08">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C0BEEC">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BE552">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2E013CB7">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EDDC109">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444F8">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281AB2">
            <w:pPr>
              <w:widowControl/>
              <w:jc w:val="center"/>
              <w:textAlignment w:val="center"/>
              <w:rPr>
                <w:rFonts w:ascii="宋体" w:hAnsi="宋体" w:cs="宋体"/>
                <w:color w:val="000000"/>
                <w:sz w:val="24"/>
              </w:rPr>
            </w:pPr>
            <w:r>
              <w:rPr>
                <w:rFonts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C0133E">
            <w:pPr>
              <w:widowControl/>
              <w:jc w:val="center"/>
              <w:textAlignment w:val="center"/>
              <w:rPr>
                <w:rFonts w:ascii="宋体" w:hAnsi="宋体" w:cs="宋体"/>
                <w:color w:val="000000"/>
                <w:sz w:val="24"/>
              </w:rPr>
            </w:pPr>
            <w:r>
              <w:rPr>
                <w:rFonts w:hint="eastAsia" w:ascii="宋体" w:hAnsi="宋体" w:cs="宋体"/>
                <w:color w:val="000000"/>
                <w:sz w:val="24"/>
              </w:rPr>
              <w:t>完成有效项目信息(三抓信息）</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6A8101">
            <w:pPr>
              <w:widowControl/>
              <w:jc w:val="center"/>
              <w:textAlignment w:val="center"/>
              <w:rPr>
                <w:rFonts w:ascii="宋体" w:hAnsi="宋体" w:cs="宋体"/>
                <w:color w:val="000000"/>
                <w:sz w:val="24"/>
              </w:rPr>
            </w:pPr>
            <w:r>
              <w:rPr>
                <w:rFonts w:hint="eastAsia" w:ascii="宋体" w:hAnsi="宋体" w:cs="宋体"/>
                <w:color w:val="000000"/>
                <w:sz w:val="24"/>
              </w:rPr>
              <w:t>6个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6E4F4">
            <w:pPr>
              <w:widowControl/>
              <w:jc w:val="center"/>
              <w:textAlignment w:val="center"/>
              <w:rPr>
                <w:rFonts w:ascii="宋体" w:hAnsi="宋体" w:cs="宋体"/>
                <w:color w:val="000000"/>
                <w:sz w:val="24"/>
              </w:rPr>
            </w:pPr>
            <w:r>
              <w:rPr>
                <w:rFonts w:hint="eastAsia" w:ascii="宋体" w:hAnsi="宋体" w:cs="宋体"/>
                <w:color w:val="000000"/>
                <w:sz w:val="24"/>
              </w:rPr>
              <w:t>6个</w:t>
            </w:r>
          </w:p>
        </w:tc>
      </w:tr>
      <w:tr w14:paraId="280552B8">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8B5440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B26A8A">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A38F69">
            <w:pPr>
              <w:widowControl/>
              <w:jc w:val="center"/>
              <w:textAlignment w:val="center"/>
              <w:rPr>
                <w:rFonts w:ascii="宋体" w:hAnsi="宋体" w:cs="宋体"/>
                <w:color w:val="000000"/>
                <w:sz w:val="24"/>
              </w:rPr>
            </w:pPr>
            <w:r>
              <w:rPr>
                <w:rFonts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7317DB">
            <w:pPr>
              <w:widowControl/>
              <w:jc w:val="center"/>
              <w:textAlignment w:val="center"/>
              <w:rPr>
                <w:rFonts w:ascii="宋体" w:hAnsi="宋体" w:cs="宋体"/>
                <w:color w:val="000000"/>
                <w:sz w:val="24"/>
              </w:rPr>
            </w:pPr>
            <w:r>
              <w:rPr>
                <w:rFonts w:hint="eastAsia" w:ascii="宋体" w:hAnsi="宋体" w:cs="宋体"/>
                <w:color w:val="000000"/>
                <w:sz w:val="24"/>
              </w:rPr>
              <w:t>在成都举办项目推介会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77C22">
            <w:pPr>
              <w:widowControl/>
              <w:jc w:val="center"/>
              <w:textAlignment w:val="center"/>
              <w:rPr>
                <w:rFonts w:ascii="宋体" w:hAnsi="宋体" w:cs="宋体"/>
                <w:color w:val="000000"/>
                <w:sz w:val="24"/>
              </w:rPr>
            </w:pPr>
            <w:r>
              <w:rPr>
                <w:rFonts w:hint="eastAsia" w:ascii="宋体" w:hAnsi="宋体" w:cs="宋体"/>
                <w:color w:val="000000"/>
                <w:sz w:val="24"/>
              </w:rPr>
              <w:t>8次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EC81E1">
            <w:pPr>
              <w:widowControl/>
              <w:jc w:val="center"/>
              <w:textAlignment w:val="center"/>
              <w:rPr>
                <w:rFonts w:ascii="宋体" w:hAnsi="宋体" w:cs="宋体"/>
                <w:color w:val="000000"/>
                <w:sz w:val="24"/>
              </w:rPr>
            </w:pPr>
            <w:r>
              <w:rPr>
                <w:rFonts w:hint="eastAsia" w:ascii="宋体" w:hAnsi="宋体" w:cs="宋体"/>
                <w:color w:val="000000"/>
                <w:sz w:val="24"/>
              </w:rPr>
              <w:t>8次</w:t>
            </w:r>
          </w:p>
        </w:tc>
      </w:tr>
      <w:tr w14:paraId="0D7C3E0E">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02FA602">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542E65">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A476FC">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676DFD">
            <w:pPr>
              <w:widowControl/>
              <w:jc w:val="center"/>
              <w:textAlignment w:val="center"/>
              <w:rPr>
                <w:rFonts w:ascii="宋体" w:hAnsi="宋体" w:cs="宋体"/>
                <w:color w:val="000000"/>
                <w:sz w:val="24"/>
              </w:rPr>
            </w:pPr>
            <w:r>
              <w:rPr>
                <w:rFonts w:hint="eastAsia" w:ascii="宋体" w:hAnsi="宋体" w:cs="宋体"/>
                <w:color w:val="000000"/>
                <w:sz w:val="24"/>
              </w:rPr>
              <w:t>完善沟通对接机制，举办好相关会议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667A45">
            <w:pPr>
              <w:widowControl/>
              <w:jc w:val="center"/>
              <w:textAlignment w:val="center"/>
              <w:rPr>
                <w:rFonts w:ascii="宋体" w:hAnsi="宋体" w:cs="宋体"/>
                <w:color w:val="000000"/>
                <w:sz w:val="24"/>
              </w:rPr>
            </w:pPr>
            <w:r>
              <w:rPr>
                <w:rFonts w:hint="eastAsia" w:ascii="宋体" w:hAnsi="宋体" w:cs="宋体"/>
                <w:color w:val="000000"/>
                <w:sz w:val="24"/>
              </w:rPr>
              <w:t>健章立制，有效保障工作效率和质量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7C4230">
            <w:pPr>
              <w:widowControl/>
              <w:jc w:val="center"/>
              <w:textAlignment w:val="center"/>
              <w:rPr>
                <w:rFonts w:ascii="宋体" w:hAnsi="宋体" w:cs="宋体"/>
                <w:color w:val="000000"/>
                <w:sz w:val="24"/>
              </w:rPr>
            </w:pPr>
            <w:r>
              <w:rPr>
                <w:rFonts w:hint="eastAsia" w:ascii="宋体" w:hAnsi="宋体" w:cs="宋体"/>
                <w:color w:val="000000"/>
                <w:sz w:val="24"/>
              </w:rPr>
              <w:t>健章立制，有效保障工作效率和质量</w:t>
            </w:r>
          </w:p>
        </w:tc>
      </w:tr>
      <w:tr w14:paraId="270275BA">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7C07071">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E3FDF8">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3B361">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F643B4">
            <w:pPr>
              <w:widowControl/>
              <w:jc w:val="center"/>
              <w:textAlignment w:val="center"/>
              <w:rPr>
                <w:rFonts w:ascii="宋体" w:hAnsi="宋体" w:cs="宋体"/>
                <w:color w:val="000000"/>
                <w:sz w:val="24"/>
              </w:rPr>
            </w:pPr>
            <w:r>
              <w:rPr>
                <w:rFonts w:hint="eastAsia" w:ascii="宋体" w:hAnsi="宋体" w:cs="宋体"/>
                <w:color w:val="00000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AEDE6E">
            <w:pPr>
              <w:widowControl/>
              <w:jc w:val="center"/>
              <w:textAlignment w:val="center"/>
              <w:rPr>
                <w:rFonts w:ascii="宋体" w:hAnsi="宋体" w:cs="宋体"/>
                <w:color w:val="000000"/>
                <w:sz w:val="24"/>
              </w:rPr>
            </w:pPr>
            <w:r>
              <w:rPr>
                <w:rFonts w:hint="eastAsia" w:ascii="宋体" w:hAnsi="宋体" w:cs="宋体"/>
                <w:color w:val="000000"/>
                <w:sz w:val="24"/>
              </w:rPr>
              <w:t>202</w:t>
            </w:r>
            <w:r>
              <w:rPr>
                <w:rFonts w:hint="eastAsia" w:ascii="宋体" w:hAnsi="宋体" w:cs="宋体"/>
                <w:color w:val="000000"/>
                <w:sz w:val="24"/>
                <w:lang w:val="en-US" w:eastAsia="zh-CN"/>
              </w:rPr>
              <w:t>1</w:t>
            </w:r>
            <w:r>
              <w:rPr>
                <w:rFonts w:hint="eastAsia" w:ascii="宋体" w:hAnsi="宋体" w:cs="宋体"/>
                <w:color w:val="000000"/>
                <w:sz w:val="24"/>
              </w:rPr>
              <w:t>年12月31日前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943FCC">
            <w:pPr>
              <w:widowControl/>
              <w:jc w:val="center"/>
              <w:textAlignment w:val="center"/>
              <w:rPr>
                <w:rFonts w:ascii="宋体" w:hAnsi="宋体" w:cs="宋体"/>
                <w:color w:val="000000"/>
                <w:sz w:val="24"/>
              </w:rPr>
            </w:pPr>
            <w:r>
              <w:rPr>
                <w:rFonts w:hint="eastAsia" w:ascii="宋体" w:hAnsi="宋体" w:cs="宋体"/>
                <w:color w:val="000000"/>
                <w:sz w:val="24"/>
              </w:rPr>
              <w:t>202</w:t>
            </w:r>
            <w:r>
              <w:rPr>
                <w:rFonts w:hint="eastAsia" w:ascii="宋体" w:hAnsi="宋体" w:cs="宋体"/>
                <w:color w:val="000000"/>
                <w:sz w:val="24"/>
                <w:lang w:val="en-US" w:eastAsia="zh-CN"/>
              </w:rPr>
              <w:t>1</w:t>
            </w:r>
            <w:r>
              <w:rPr>
                <w:rFonts w:hint="eastAsia" w:ascii="宋体" w:hAnsi="宋体" w:cs="宋体"/>
                <w:color w:val="000000"/>
                <w:sz w:val="24"/>
              </w:rPr>
              <w:t>年12月31日前</w:t>
            </w:r>
          </w:p>
        </w:tc>
      </w:tr>
      <w:tr w14:paraId="5498AE03">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5D9FF88">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511AC9">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C54E62">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2EEC22">
            <w:pPr>
              <w:widowControl/>
              <w:jc w:val="center"/>
              <w:textAlignment w:val="center"/>
              <w:rPr>
                <w:rFonts w:ascii="宋体" w:hAnsi="宋体" w:cs="宋体"/>
                <w:color w:val="000000"/>
                <w:sz w:val="24"/>
              </w:rPr>
            </w:pPr>
            <w:r>
              <w:rPr>
                <w:rFonts w:hint="eastAsia" w:ascii="宋体" w:hAnsi="宋体" w:cs="宋体"/>
                <w:color w:val="000000"/>
                <w:sz w:val="24"/>
              </w:rPr>
              <w:t>专项</w:t>
            </w:r>
            <w:r>
              <w:rPr>
                <w:rFonts w:ascii="宋体" w:hAnsi="宋体" w:cs="宋体"/>
                <w:color w:val="000000"/>
                <w:sz w:val="24"/>
              </w:rPr>
              <w:t>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AA5CD">
            <w:pPr>
              <w:widowControl/>
              <w:jc w:val="center"/>
              <w:textAlignment w:val="center"/>
              <w:rPr>
                <w:rFonts w:ascii="宋体" w:hAnsi="宋体" w:cs="宋体"/>
                <w:color w:val="000000"/>
                <w:sz w:val="24"/>
              </w:rPr>
            </w:pPr>
            <w:r>
              <w:rPr>
                <w:rFonts w:hint="eastAsia" w:ascii="宋体" w:hAnsi="宋体" w:cs="宋体"/>
                <w:color w:val="000000"/>
                <w:sz w:val="24"/>
              </w:rPr>
              <w:t>130万元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F667A7">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83.29</w:t>
            </w:r>
            <w:r>
              <w:rPr>
                <w:rFonts w:hint="eastAsia" w:ascii="宋体" w:hAnsi="宋体" w:cs="宋体"/>
                <w:color w:val="000000"/>
                <w:sz w:val="24"/>
              </w:rPr>
              <w:t>万元</w:t>
            </w:r>
          </w:p>
        </w:tc>
      </w:tr>
      <w:tr w14:paraId="3053228F">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632945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154DCC">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B5EDA2">
            <w:pPr>
              <w:widowControl/>
              <w:jc w:val="center"/>
              <w:textAlignment w:val="center"/>
              <w:rPr>
                <w:rFonts w:ascii="宋体" w:hAnsi="宋体" w:cs="宋体"/>
                <w:color w:val="000000"/>
                <w:sz w:val="24"/>
              </w:rPr>
            </w:pPr>
            <w:r>
              <w:rPr>
                <w:rFonts w:hint="eastAsia" w:ascii="宋体" w:hAnsi="宋体" w:cs="宋体"/>
                <w:color w:val="000000"/>
                <w:sz w:val="24"/>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C5566B">
            <w:pPr>
              <w:widowControl/>
              <w:jc w:val="center"/>
              <w:textAlignment w:val="center"/>
              <w:rPr>
                <w:rFonts w:ascii="宋体" w:hAnsi="宋体" w:cs="宋体"/>
                <w:color w:val="000000"/>
                <w:sz w:val="24"/>
              </w:rPr>
            </w:pPr>
            <w:r>
              <w:rPr>
                <w:rFonts w:hint="eastAsia" w:ascii="宋体" w:hAnsi="宋体" w:cs="宋体"/>
                <w:color w:val="000000"/>
                <w:sz w:val="24"/>
              </w:rPr>
              <w:t>企业生态</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8F67D6">
            <w:pPr>
              <w:widowControl/>
              <w:jc w:val="center"/>
              <w:textAlignment w:val="center"/>
              <w:rPr>
                <w:rFonts w:ascii="宋体" w:hAnsi="宋体" w:cs="宋体"/>
                <w:color w:val="000000"/>
                <w:sz w:val="24"/>
              </w:rPr>
            </w:pPr>
            <w:r>
              <w:rPr>
                <w:rFonts w:hint="eastAsia" w:ascii="宋体" w:hAnsi="宋体" w:cs="宋体"/>
                <w:color w:val="000000"/>
                <w:sz w:val="24"/>
              </w:rPr>
              <w:t>提高企业业绩、经营效益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D2DDA">
            <w:pPr>
              <w:widowControl/>
              <w:jc w:val="center"/>
              <w:textAlignment w:val="center"/>
              <w:rPr>
                <w:rFonts w:ascii="宋体" w:hAnsi="宋体" w:cs="宋体"/>
                <w:color w:val="000000"/>
                <w:sz w:val="24"/>
              </w:rPr>
            </w:pPr>
            <w:r>
              <w:rPr>
                <w:rFonts w:hint="eastAsia" w:ascii="宋体" w:hAnsi="宋体" w:cs="宋体"/>
                <w:color w:val="000000"/>
                <w:sz w:val="24"/>
              </w:rPr>
              <w:t>提高企业业绩、经营效益</w:t>
            </w:r>
          </w:p>
        </w:tc>
      </w:tr>
      <w:tr w14:paraId="7FFD2469">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727E47B">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96F9D2">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A958C2">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516CD2">
            <w:pPr>
              <w:widowControl/>
              <w:jc w:val="center"/>
              <w:textAlignment w:val="center"/>
              <w:rPr>
                <w:rFonts w:ascii="宋体" w:hAnsi="宋体" w:cs="宋体"/>
                <w:color w:val="000000"/>
                <w:sz w:val="24"/>
              </w:rPr>
            </w:pPr>
            <w:r>
              <w:rPr>
                <w:rFonts w:hint="eastAsia" w:ascii="宋体" w:hAnsi="宋体" w:cs="宋体"/>
                <w:color w:val="000000"/>
                <w:sz w:val="24"/>
              </w:rPr>
              <w:t>企业生态专项业务费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88AAA">
            <w:pPr>
              <w:widowControl/>
              <w:jc w:val="center"/>
              <w:textAlignment w:val="center"/>
              <w:rPr>
                <w:rFonts w:ascii="宋体" w:hAnsi="宋体" w:cs="宋体"/>
                <w:color w:val="000000"/>
                <w:sz w:val="24"/>
              </w:rPr>
            </w:pPr>
            <w:r>
              <w:rPr>
                <w:rFonts w:hint="eastAsia" w:ascii="宋体" w:hAnsi="宋体" w:cs="宋体"/>
                <w:color w:val="000000"/>
                <w:sz w:val="24"/>
              </w:rPr>
              <w:t>促进在蓉企业发展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46E31D">
            <w:pPr>
              <w:widowControl/>
              <w:jc w:val="center"/>
              <w:textAlignment w:val="center"/>
              <w:rPr>
                <w:rFonts w:ascii="宋体" w:hAnsi="宋体" w:cs="宋体"/>
                <w:color w:val="000000"/>
                <w:sz w:val="24"/>
              </w:rPr>
            </w:pPr>
            <w:r>
              <w:rPr>
                <w:rFonts w:hint="eastAsia" w:ascii="宋体" w:hAnsi="宋体" w:cs="宋体"/>
                <w:color w:val="000000"/>
                <w:sz w:val="24"/>
              </w:rPr>
              <w:t>促进在蓉企业发展</w:t>
            </w:r>
          </w:p>
        </w:tc>
      </w:tr>
      <w:tr w14:paraId="5063529D">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17559B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74D4A4">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3861FB">
            <w:pPr>
              <w:widowControl/>
              <w:jc w:val="center"/>
              <w:textAlignment w:val="center"/>
              <w:rPr>
                <w:rFonts w:ascii="宋体" w:hAnsi="宋体" w:cs="宋体"/>
                <w:color w:val="000000"/>
                <w:sz w:val="24"/>
              </w:rPr>
            </w:pPr>
            <w:r>
              <w:rPr>
                <w:rFonts w:hint="eastAsia" w:ascii="宋体" w:hAnsi="宋体" w:cs="宋体"/>
                <w:color w:val="000000"/>
                <w:sz w:val="24"/>
              </w:rPr>
              <w:t>可持续性</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D2422A">
            <w:pPr>
              <w:widowControl/>
              <w:jc w:val="center"/>
              <w:textAlignment w:val="center"/>
              <w:rPr>
                <w:rFonts w:ascii="宋体" w:hAnsi="宋体" w:cs="宋体"/>
                <w:color w:val="000000"/>
                <w:sz w:val="24"/>
              </w:rPr>
            </w:pPr>
            <w:r>
              <w:rPr>
                <w:rFonts w:hint="eastAsia" w:ascii="宋体" w:hAnsi="宋体" w:cs="宋体"/>
                <w:color w:val="000000"/>
                <w:sz w:val="24"/>
              </w:rPr>
              <w:t>招商引资专项工作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84DC30">
            <w:pPr>
              <w:widowControl/>
              <w:jc w:val="center"/>
              <w:textAlignment w:val="center"/>
              <w:rPr>
                <w:rFonts w:ascii="宋体" w:hAnsi="宋体" w:cs="宋体"/>
                <w:color w:val="000000"/>
                <w:sz w:val="24"/>
              </w:rPr>
            </w:pPr>
            <w:r>
              <w:rPr>
                <w:rFonts w:hint="eastAsia" w:ascii="宋体" w:hAnsi="宋体" w:cs="宋体"/>
                <w:color w:val="000000"/>
                <w:sz w:val="24"/>
              </w:rPr>
              <w:t>≥1年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DC7B8C">
            <w:pPr>
              <w:widowControl/>
              <w:jc w:val="center"/>
              <w:textAlignment w:val="center"/>
              <w:rPr>
                <w:rFonts w:ascii="宋体" w:hAnsi="宋体" w:cs="宋体"/>
                <w:color w:val="000000"/>
                <w:sz w:val="24"/>
              </w:rPr>
            </w:pPr>
            <w:r>
              <w:rPr>
                <w:rFonts w:hint="eastAsia" w:ascii="宋体" w:hAnsi="宋体" w:cs="宋体"/>
                <w:color w:val="000000"/>
                <w:sz w:val="24"/>
              </w:rPr>
              <w:t>≥1年</w:t>
            </w:r>
          </w:p>
        </w:tc>
      </w:tr>
      <w:tr w14:paraId="4E73C1D4">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FA75858">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9EF973">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132B93">
            <w:pPr>
              <w:widowControl/>
              <w:jc w:val="center"/>
              <w:textAlignment w:val="center"/>
              <w:rPr>
                <w:rFonts w:ascii="宋体" w:hAnsi="宋体" w:cs="宋体"/>
                <w:color w:val="000000"/>
                <w:sz w:val="24"/>
              </w:rPr>
            </w:pPr>
            <w:r>
              <w:rPr>
                <w:rFonts w:hint="eastAsia" w:ascii="宋体" w:hAnsi="宋体" w:cs="宋体"/>
                <w:color w:val="000000"/>
                <w:sz w:val="24"/>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B4B6DD">
            <w:pPr>
              <w:widowControl/>
              <w:jc w:val="center"/>
              <w:textAlignment w:val="center"/>
              <w:rPr>
                <w:rFonts w:ascii="宋体" w:hAnsi="宋体" w:cs="宋体"/>
                <w:color w:val="000000"/>
                <w:sz w:val="24"/>
              </w:rPr>
            </w:pPr>
            <w:r>
              <w:rPr>
                <w:rFonts w:hint="eastAsia" w:ascii="宋体" w:hAnsi="宋体" w:cs="宋体"/>
                <w:color w:val="000000"/>
                <w:sz w:val="24"/>
              </w:rPr>
              <w:t>招商引资专项工作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C9E255">
            <w:pPr>
              <w:widowControl/>
              <w:jc w:val="center"/>
              <w:textAlignment w:val="center"/>
              <w:rPr>
                <w:rFonts w:ascii="宋体" w:hAnsi="宋体" w:cs="宋体"/>
                <w:color w:val="000000"/>
                <w:sz w:val="24"/>
              </w:rPr>
            </w:pPr>
            <w:r>
              <w:rPr>
                <w:rFonts w:hint="eastAsia" w:ascii="宋体" w:hAnsi="宋体" w:cs="宋体"/>
                <w:color w:val="000000"/>
                <w:sz w:val="24"/>
              </w:rPr>
              <w:t>达到预期目标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D2004B">
            <w:pPr>
              <w:widowControl/>
              <w:jc w:val="center"/>
              <w:textAlignment w:val="center"/>
              <w:rPr>
                <w:rFonts w:ascii="宋体" w:hAnsi="宋体" w:cs="宋体"/>
                <w:color w:val="000000"/>
                <w:sz w:val="24"/>
              </w:rPr>
            </w:pPr>
            <w:r>
              <w:rPr>
                <w:rFonts w:hint="eastAsia" w:ascii="宋体" w:hAnsi="宋体" w:cs="宋体"/>
                <w:color w:val="000000"/>
                <w:sz w:val="24"/>
              </w:rPr>
              <w:t>达到预期目标</w:t>
            </w:r>
          </w:p>
        </w:tc>
      </w:tr>
      <w:tr w14:paraId="636AFE95">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2FA202E9">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02323">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151CE">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4D4203">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F29713">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7AAE7">
            <w:pPr>
              <w:widowControl/>
              <w:jc w:val="center"/>
              <w:textAlignment w:val="center"/>
              <w:rPr>
                <w:rFonts w:ascii="宋体" w:hAnsi="宋体" w:cs="宋体"/>
                <w:color w:val="000000"/>
                <w:sz w:val="24"/>
              </w:rPr>
            </w:pPr>
            <w:r>
              <w:rPr>
                <w:rFonts w:hint="eastAsia" w:ascii="宋体" w:hAnsi="宋体" w:cs="宋体"/>
                <w:color w:val="000000"/>
                <w:sz w:val="24"/>
              </w:rPr>
              <w:t>≥95%</w:t>
            </w:r>
          </w:p>
        </w:tc>
      </w:tr>
    </w:tbl>
    <w:p w14:paraId="6B0FD888">
      <w:pPr>
        <w:pStyle w:val="8"/>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74930A3D">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262654BB">
            <w:pPr>
              <w:widowControl/>
              <w:textAlignment w:val="center"/>
              <w:rPr>
                <w:rFonts w:ascii="宋体" w:hAnsi="宋体" w:cs="宋体"/>
                <w:b/>
                <w:bCs/>
                <w:color w:val="000000"/>
                <w:kern w:val="0"/>
                <w:sz w:val="36"/>
                <w:szCs w:val="36"/>
              </w:rPr>
            </w:pPr>
          </w:p>
          <w:p w14:paraId="26075631">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14:paraId="41C96B4F">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(202</w:t>
            </w:r>
            <w:r>
              <w:rPr>
                <w:rFonts w:hint="eastAsia" w:ascii="宋体" w:hAnsi="宋体" w:cs="宋体"/>
                <w:color w:val="000000"/>
                <w:kern w:val="0"/>
                <w:sz w:val="36"/>
                <w:szCs w:val="36"/>
                <w:lang w:val="en-US" w:eastAsia="zh-CN"/>
              </w:rPr>
              <w:t>1</w:t>
            </w:r>
            <w:r>
              <w:rPr>
                <w:rFonts w:hint="eastAsia" w:ascii="宋体" w:hAnsi="宋体" w:cs="宋体"/>
                <w:color w:val="000000"/>
                <w:kern w:val="0"/>
                <w:sz w:val="36"/>
                <w:szCs w:val="36"/>
              </w:rPr>
              <w:t>年度)</w:t>
            </w:r>
          </w:p>
        </w:tc>
      </w:tr>
      <w:tr w14:paraId="117C9F6E">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99B0E1">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1B023F">
            <w:pPr>
              <w:widowControl/>
              <w:jc w:val="center"/>
              <w:textAlignment w:val="center"/>
              <w:rPr>
                <w:rFonts w:ascii="宋体" w:hAnsi="宋体" w:cs="宋体"/>
                <w:color w:val="000000"/>
                <w:sz w:val="24"/>
              </w:rPr>
            </w:pPr>
            <w:r>
              <w:rPr>
                <w:rFonts w:hint="eastAsia" w:ascii="宋体" w:hAnsi="宋体" w:cs="宋体"/>
                <w:color w:val="000000"/>
                <w:sz w:val="24"/>
              </w:rPr>
              <w:t>信访</w:t>
            </w:r>
            <w:r>
              <w:rPr>
                <w:rFonts w:ascii="宋体" w:hAnsi="宋体" w:cs="宋体"/>
                <w:color w:val="000000"/>
                <w:sz w:val="24"/>
              </w:rPr>
              <w:t>维稳项目</w:t>
            </w:r>
          </w:p>
        </w:tc>
      </w:tr>
      <w:tr w14:paraId="63481CFF">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0EE571">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5A05BA">
            <w:pPr>
              <w:widowControl/>
              <w:jc w:val="center"/>
              <w:textAlignment w:val="center"/>
              <w:rPr>
                <w:rFonts w:ascii="宋体" w:hAnsi="宋体" w:cs="宋体"/>
                <w:color w:val="000000"/>
                <w:sz w:val="24"/>
              </w:rPr>
            </w:pPr>
            <w:r>
              <w:rPr>
                <w:rFonts w:ascii="宋体" w:hAnsi="宋体" w:cs="宋体"/>
                <w:color w:val="000000"/>
                <w:sz w:val="24"/>
              </w:rPr>
              <w:t>广安市人民政府驻成都办事处</w:t>
            </w:r>
          </w:p>
        </w:tc>
      </w:tr>
      <w:tr w14:paraId="7F20E9CE">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6631A">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424980">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1F1532">
            <w:pPr>
              <w:widowControl/>
              <w:jc w:val="center"/>
              <w:textAlignment w:val="center"/>
              <w:rPr>
                <w:rFonts w:ascii="宋体" w:hAnsi="宋体" w:cs="宋体"/>
                <w:color w:val="000000"/>
                <w:sz w:val="24"/>
              </w:rPr>
            </w:pPr>
            <w:r>
              <w:rPr>
                <w:rFonts w:hint="eastAsia" w:ascii="宋体" w:hAnsi="宋体" w:cs="宋体"/>
                <w:color w:val="000000"/>
                <w:sz w:val="24"/>
              </w:rPr>
              <w:t>20万元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76962">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3AAA69">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5.68</w:t>
            </w:r>
            <w:r>
              <w:rPr>
                <w:rFonts w:hint="eastAsia" w:ascii="宋体" w:hAnsi="宋体" w:cs="宋体"/>
                <w:color w:val="000000"/>
                <w:sz w:val="24"/>
              </w:rPr>
              <w:t>万元</w:t>
            </w:r>
          </w:p>
        </w:tc>
      </w:tr>
      <w:tr w14:paraId="1EB76B8B">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25C0FB">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41A7C1">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E1F294">
            <w:pPr>
              <w:widowControl/>
              <w:jc w:val="center"/>
              <w:textAlignment w:val="center"/>
              <w:rPr>
                <w:rFonts w:ascii="宋体" w:hAnsi="宋体" w:cs="宋体"/>
                <w:color w:val="000000"/>
                <w:sz w:val="24"/>
              </w:rPr>
            </w:pPr>
            <w:r>
              <w:rPr>
                <w:rFonts w:hint="eastAsia" w:ascii="宋体" w:hAnsi="宋体" w:cs="宋体"/>
                <w:color w:val="000000"/>
                <w:sz w:val="24"/>
              </w:rPr>
              <w:t>20万元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64800">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FF17F6">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5.68</w:t>
            </w:r>
            <w:r>
              <w:rPr>
                <w:rFonts w:hint="eastAsia" w:ascii="宋体" w:hAnsi="宋体" w:cs="宋体"/>
                <w:color w:val="000000"/>
                <w:sz w:val="24"/>
              </w:rPr>
              <w:t>万元</w:t>
            </w:r>
          </w:p>
        </w:tc>
      </w:tr>
      <w:tr w14:paraId="726725B8">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881B41">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2C6D6C">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DD6BE2">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C1B8E2">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5C1032">
            <w:pPr>
              <w:jc w:val="center"/>
              <w:rPr>
                <w:rFonts w:ascii="宋体" w:hAnsi="宋体" w:cs="宋体"/>
                <w:color w:val="000000"/>
                <w:sz w:val="24"/>
              </w:rPr>
            </w:pPr>
          </w:p>
        </w:tc>
      </w:tr>
      <w:tr w14:paraId="79105FE4">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55910">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12F631">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3D19D4">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22E3BFF3">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BAEFE7">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88BAFD">
            <w:pPr>
              <w:widowControl/>
              <w:jc w:val="center"/>
              <w:textAlignment w:val="center"/>
              <w:rPr>
                <w:rFonts w:ascii="宋体" w:hAnsi="宋体" w:cs="宋体"/>
                <w:color w:val="000000"/>
                <w:sz w:val="24"/>
              </w:rPr>
            </w:pPr>
            <w:r>
              <w:rPr>
                <w:rFonts w:hint="eastAsia" w:ascii="宋体" w:hAnsi="宋体" w:cs="宋体"/>
                <w:color w:val="000000"/>
                <w:sz w:val="24"/>
              </w:rPr>
              <w:t>1、健全完善联合接访机制；2、强化素质能力建设，进一步加大信访干部队伍的轮训力度，不断提高信访干部的综合素质；3、在重大政务商务活动期间，指派专人负责信访维稳工作，及时排查化解矛盾纠纷。</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B15D0F">
            <w:pPr>
              <w:widowControl/>
              <w:jc w:val="center"/>
              <w:textAlignment w:val="center"/>
              <w:rPr>
                <w:rFonts w:ascii="宋体" w:hAnsi="宋体" w:cs="宋体"/>
                <w:color w:val="000000"/>
                <w:sz w:val="24"/>
              </w:rPr>
            </w:pPr>
            <w:r>
              <w:rPr>
                <w:rFonts w:hint="eastAsia" w:ascii="宋体" w:hAnsi="宋体" w:cs="宋体"/>
                <w:color w:val="000000"/>
                <w:sz w:val="24"/>
              </w:rPr>
              <w:t>市驻蓉办高度重视信访维稳工作，畅通与省信访局、省信访分流中心、市信访局的联系通道，密切关注最新信访工作动态，做好突发信访、特殊信访以及集体接访工作，做到及时接访，文明劝访，202</w:t>
            </w:r>
            <w:r>
              <w:rPr>
                <w:rFonts w:hint="eastAsia" w:ascii="宋体" w:hAnsi="宋体" w:cs="宋体"/>
                <w:color w:val="000000"/>
                <w:sz w:val="24"/>
                <w:lang w:val="en-US" w:eastAsia="zh-CN"/>
              </w:rPr>
              <w:t>1</w:t>
            </w:r>
            <w:r>
              <w:rPr>
                <w:rFonts w:hint="eastAsia" w:ascii="宋体" w:hAnsi="宋体" w:cs="宋体"/>
                <w:color w:val="000000"/>
                <w:sz w:val="24"/>
              </w:rPr>
              <w:t>年来共接访1</w:t>
            </w:r>
            <w:r>
              <w:rPr>
                <w:rFonts w:hint="eastAsia" w:ascii="宋体" w:hAnsi="宋体" w:cs="宋体"/>
                <w:color w:val="000000"/>
                <w:sz w:val="24"/>
                <w:lang w:val="en-US" w:eastAsia="zh-CN"/>
              </w:rPr>
              <w:t>50</w:t>
            </w:r>
            <w:r>
              <w:rPr>
                <w:rFonts w:hint="eastAsia" w:ascii="宋体" w:hAnsi="宋体" w:cs="宋体"/>
                <w:color w:val="000000"/>
                <w:sz w:val="24"/>
              </w:rPr>
              <w:t>余人次，协助区市县和市级相关部门做好赴省上访人员的劝返和息诉息访工作，切实维护群众合法权益和我市良好社会形象。无论工作日还是节假日、无论上下班时间，接到省信访局、省信访分流中心、省级有关部门关于广安籍人员到蓉上访的通知后，市驻蓉办的同志总是第一时间赶赴现场做好协调及劝返工作。项目</w:t>
            </w:r>
            <w:r>
              <w:rPr>
                <w:rFonts w:hint="eastAsia" w:ascii="宋体" w:hAnsi="宋体" w:cs="宋体"/>
                <w:color w:val="000000"/>
                <w:sz w:val="24"/>
                <w:lang w:val="zh-CN"/>
              </w:rPr>
              <w:t>完成数量、质量、实效、效益等指标均达到预期。</w:t>
            </w:r>
          </w:p>
        </w:tc>
      </w:tr>
      <w:tr w14:paraId="38EB493D">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6C6C42C1">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C774C8">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E14017">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7415E">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F7B13E">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ACE4AF">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5C4DB2F1">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16EFC12">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A24B1">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BE9CE3">
            <w:pPr>
              <w:widowControl/>
              <w:jc w:val="center"/>
              <w:textAlignment w:val="center"/>
              <w:rPr>
                <w:rFonts w:ascii="宋体" w:hAnsi="宋体" w:cs="宋体"/>
                <w:color w:val="000000"/>
                <w:sz w:val="24"/>
              </w:rPr>
            </w:pPr>
            <w:r>
              <w:rPr>
                <w:rFonts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FD823">
            <w:pPr>
              <w:jc w:val="center"/>
              <w:rPr>
                <w:sz w:val="20"/>
                <w:szCs w:val="20"/>
              </w:rPr>
            </w:pPr>
          </w:p>
          <w:p w14:paraId="3CED2E45">
            <w:pPr>
              <w:widowControl/>
              <w:jc w:val="center"/>
              <w:textAlignment w:val="center"/>
              <w:rPr>
                <w:rFonts w:ascii="宋体" w:hAnsi="宋体" w:cs="宋体"/>
                <w:color w:val="000000"/>
                <w:sz w:val="24"/>
              </w:rPr>
            </w:pPr>
            <w:r>
              <w:rPr>
                <w:rFonts w:hint="eastAsia" w:ascii="宋体" w:hAnsi="宋体" w:cs="宋体"/>
                <w:color w:val="000000"/>
                <w:sz w:val="24"/>
              </w:rPr>
              <w:t>健全完善联合接访机制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660BFC">
            <w:pPr>
              <w:widowControl/>
              <w:jc w:val="center"/>
              <w:textAlignment w:val="center"/>
              <w:rPr>
                <w:rFonts w:ascii="宋体" w:hAnsi="宋体" w:cs="宋体"/>
                <w:color w:val="000000"/>
                <w:sz w:val="24"/>
              </w:rPr>
            </w:pPr>
            <w:r>
              <w:rPr>
                <w:rFonts w:hint="eastAsia" w:ascii="宋体" w:hAnsi="宋体" w:cs="宋体"/>
                <w:color w:val="000000"/>
                <w:sz w:val="24"/>
              </w:rPr>
              <w:t>加强市、县、乡、村四级联合协作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2F84D9">
            <w:pPr>
              <w:widowControl/>
              <w:jc w:val="center"/>
              <w:textAlignment w:val="center"/>
              <w:rPr>
                <w:rFonts w:ascii="宋体" w:hAnsi="宋体" w:cs="宋体"/>
                <w:color w:val="000000"/>
                <w:sz w:val="24"/>
              </w:rPr>
            </w:pPr>
            <w:r>
              <w:rPr>
                <w:rFonts w:hint="eastAsia" w:ascii="宋体" w:hAnsi="宋体" w:cs="宋体"/>
                <w:color w:val="000000"/>
                <w:sz w:val="24"/>
              </w:rPr>
              <w:t>加强市、县、乡、村四级联合协作</w:t>
            </w:r>
          </w:p>
        </w:tc>
      </w:tr>
      <w:tr w14:paraId="6412888C">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A62F74C">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4BC1E7">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AEC63C">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7627BD">
            <w:pPr>
              <w:widowControl/>
              <w:jc w:val="center"/>
              <w:textAlignment w:val="center"/>
              <w:rPr>
                <w:rFonts w:ascii="宋体" w:hAnsi="宋体" w:cs="宋体"/>
                <w:color w:val="000000"/>
                <w:sz w:val="24"/>
              </w:rPr>
            </w:pPr>
            <w:r>
              <w:rPr>
                <w:rFonts w:hint="eastAsia" w:ascii="宋体" w:hAnsi="宋体" w:cs="宋体"/>
                <w:color w:val="000000"/>
                <w:sz w:val="24"/>
              </w:rPr>
              <w:t>信访维稳专项工作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160EC8">
            <w:pPr>
              <w:widowControl/>
              <w:jc w:val="center"/>
              <w:textAlignment w:val="center"/>
              <w:rPr>
                <w:rFonts w:ascii="宋体" w:hAnsi="宋体" w:cs="宋体"/>
                <w:color w:val="000000"/>
                <w:sz w:val="24"/>
              </w:rPr>
            </w:pPr>
            <w:r>
              <w:rPr>
                <w:rFonts w:hint="eastAsia" w:ascii="宋体" w:hAnsi="宋体" w:cs="宋体"/>
                <w:color w:val="000000"/>
                <w:sz w:val="24"/>
              </w:rPr>
              <w:t>健章立制，用制度的力量保障工作效率和质量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57FFE">
            <w:pPr>
              <w:widowControl/>
              <w:jc w:val="center"/>
              <w:textAlignment w:val="center"/>
              <w:rPr>
                <w:rFonts w:ascii="宋体" w:hAnsi="宋体" w:cs="宋体"/>
                <w:color w:val="000000"/>
                <w:sz w:val="24"/>
              </w:rPr>
            </w:pPr>
            <w:r>
              <w:rPr>
                <w:rFonts w:hint="eastAsia" w:ascii="宋体" w:hAnsi="宋体" w:cs="宋体"/>
                <w:color w:val="000000"/>
                <w:sz w:val="24"/>
              </w:rPr>
              <w:t>健章立制，用制度的力量保障工作效率和质量</w:t>
            </w:r>
          </w:p>
        </w:tc>
      </w:tr>
      <w:tr w14:paraId="180A5A8E">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CFABE5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A76848">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B07CDE">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1CE37">
            <w:pPr>
              <w:widowControl/>
              <w:jc w:val="center"/>
              <w:textAlignment w:val="center"/>
              <w:rPr>
                <w:rFonts w:ascii="宋体" w:hAnsi="宋体" w:cs="宋体"/>
                <w:color w:val="000000"/>
                <w:sz w:val="24"/>
              </w:rPr>
            </w:pPr>
            <w:r>
              <w:rPr>
                <w:rFonts w:hint="eastAsia" w:ascii="宋体" w:hAnsi="宋体" w:cs="宋体"/>
                <w:color w:val="000000"/>
                <w:sz w:val="24"/>
              </w:rPr>
              <w:t>信访维稳专项工作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1C1406">
            <w:pPr>
              <w:widowControl/>
              <w:jc w:val="center"/>
              <w:textAlignment w:val="center"/>
              <w:rPr>
                <w:rFonts w:ascii="宋体" w:hAnsi="宋体" w:cs="宋体"/>
                <w:color w:val="000000"/>
                <w:sz w:val="24"/>
              </w:rPr>
            </w:pPr>
            <w:r>
              <w:rPr>
                <w:rFonts w:hint="eastAsia" w:ascii="宋体" w:hAnsi="宋体" w:cs="宋体"/>
                <w:color w:val="000000"/>
                <w:sz w:val="24"/>
              </w:rPr>
              <w:t>信息有效，项目落地数量有所提高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5F4945">
            <w:pPr>
              <w:widowControl/>
              <w:jc w:val="center"/>
              <w:textAlignment w:val="center"/>
              <w:rPr>
                <w:rFonts w:ascii="宋体" w:hAnsi="宋体" w:cs="宋体"/>
                <w:color w:val="000000"/>
                <w:sz w:val="24"/>
              </w:rPr>
            </w:pPr>
            <w:r>
              <w:rPr>
                <w:rFonts w:hint="eastAsia" w:ascii="宋体" w:hAnsi="宋体" w:cs="宋体"/>
                <w:color w:val="000000"/>
                <w:sz w:val="24"/>
              </w:rPr>
              <w:t>信息有效，项目落地数量有所提高</w:t>
            </w:r>
          </w:p>
        </w:tc>
      </w:tr>
      <w:tr w14:paraId="59EDD3F8">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6E46FE1">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5B8F22">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5A7117">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DDA48">
            <w:pPr>
              <w:widowControl/>
              <w:jc w:val="center"/>
              <w:textAlignment w:val="center"/>
              <w:rPr>
                <w:rFonts w:ascii="宋体" w:hAnsi="宋体" w:cs="宋体"/>
                <w:color w:val="000000"/>
                <w:sz w:val="24"/>
              </w:rPr>
            </w:pPr>
            <w:r>
              <w:rPr>
                <w:rFonts w:hint="eastAsia" w:ascii="宋体" w:hAnsi="宋体" w:cs="宋体"/>
                <w:color w:val="00000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760A20">
            <w:pPr>
              <w:widowControl/>
              <w:jc w:val="center"/>
              <w:textAlignment w:val="center"/>
              <w:rPr>
                <w:rFonts w:ascii="宋体" w:hAnsi="宋体" w:cs="宋体"/>
                <w:color w:val="000000"/>
                <w:sz w:val="24"/>
              </w:rPr>
            </w:pPr>
            <w:r>
              <w:rPr>
                <w:rFonts w:hint="eastAsia" w:ascii="宋体" w:hAnsi="宋体" w:cs="宋体"/>
                <w:color w:val="000000"/>
                <w:sz w:val="24"/>
              </w:rPr>
              <w:t>202</w:t>
            </w:r>
            <w:r>
              <w:rPr>
                <w:rFonts w:hint="eastAsia" w:ascii="宋体" w:hAnsi="宋体" w:cs="宋体"/>
                <w:color w:val="000000"/>
                <w:sz w:val="24"/>
                <w:lang w:val="en-US" w:eastAsia="zh-CN"/>
              </w:rPr>
              <w:t>1</w:t>
            </w:r>
            <w:r>
              <w:rPr>
                <w:rFonts w:hint="eastAsia" w:ascii="宋体" w:hAnsi="宋体" w:cs="宋体"/>
                <w:color w:val="000000"/>
                <w:sz w:val="24"/>
              </w:rPr>
              <w:t>年12月31日前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CBED8A">
            <w:pPr>
              <w:widowControl/>
              <w:jc w:val="center"/>
              <w:textAlignment w:val="center"/>
              <w:rPr>
                <w:rFonts w:ascii="宋体" w:hAnsi="宋体" w:cs="宋体"/>
                <w:color w:val="000000"/>
                <w:sz w:val="24"/>
              </w:rPr>
            </w:pPr>
            <w:r>
              <w:rPr>
                <w:rFonts w:hint="eastAsia" w:ascii="宋体" w:hAnsi="宋体" w:cs="宋体"/>
                <w:color w:val="000000"/>
                <w:sz w:val="24"/>
              </w:rPr>
              <w:t>202</w:t>
            </w:r>
            <w:r>
              <w:rPr>
                <w:rFonts w:hint="eastAsia" w:ascii="宋体" w:hAnsi="宋体" w:cs="宋体"/>
                <w:color w:val="000000"/>
                <w:sz w:val="24"/>
                <w:lang w:val="en-US" w:eastAsia="zh-CN"/>
              </w:rPr>
              <w:t>1</w:t>
            </w:r>
            <w:r>
              <w:rPr>
                <w:rFonts w:hint="eastAsia" w:ascii="宋体" w:hAnsi="宋体" w:cs="宋体"/>
                <w:color w:val="000000"/>
                <w:sz w:val="24"/>
              </w:rPr>
              <w:t>年12月31日前</w:t>
            </w:r>
          </w:p>
        </w:tc>
      </w:tr>
      <w:tr w14:paraId="4BFF031D">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AAA12AA">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0943DE">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8B2100">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260DE5">
            <w:pPr>
              <w:widowControl/>
              <w:jc w:val="center"/>
              <w:textAlignment w:val="center"/>
              <w:rPr>
                <w:rFonts w:ascii="宋体" w:hAnsi="宋体" w:cs="宋体"/>
                <w:color w:val="000000"/>
                <w:sz w:val="24"/>
              </w:rPr>
            </w:pPr>
            <w:r>
              <w:rPr>
                <w:rFonts w:hint="eastAsia" w:ascii="宋体" w:hAnsi="宋体" w:cs="宋体"/>
                <w:color w:val="000000"/>
                <w:sz w:val="24"/>
              </w:rPr>
              <w:t>专项</w:t>
            </w:r>
            <w:r>
              <w:rPr>
                <w:rFonts w:ascii="宋体" w:hAnsi="宋体" w:cs="宋体"/>
                <w:color w:val="000000"/>
                <w:sz w:val="24"/>
              </w:rPr>
              <w:t>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1DE1D9">
            <w:pPr>
              <w:widowControl/>
              <w:jc w:val="center"/>
              <w:textAlignment w:val="center"/>
              <w:rPr>
                <w:rFonts w:ascii="宋体" w:hAnsi="宋体" w:cs="宋体"/>
                <w:color w:val="000000"/>
                <w:sz w:val="24"/>
              </w:rPr>
            </w:pPr>
            <w:r>
              <w:rPr>
                <w:rFonts w:hint="eastAsia" w:ascii="宋体" w:hAnsi="宋体" w:cs="宋体"/>
                <w:color w:val="000000"/>
                <w:sz w:val="24"/>
              </w:rPr>
              <w:t>20万元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F58520">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5.68</w:t>
            </w:r>
            <w:r>
              <w:rPr>
                <w:rFonts w:hint="eastAsia" w:ascii="宋体" w:hAnsi="宋体" w:cs="宋体"/>
                <w:color w:val="000000"/>
                <w:sz w:val="24"/>
              </w:rPr>
              <w:t>万元</w:t>
            </w:r>
          </w:p>
        </w:tc>
      </w:tr>
      <w:tr w14:paraId="27692C8E">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8ABB4AB">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E8511">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99305">
            <w:pPr>
              <w:widowControl/>
              <w:jc w:val="center"/>
              <w:textAlignment w:val="center"/>
              <w:rPr>
                <w:rFonts w:ascii="宋体" w:hAnsi="宋体" w:cs="宋体"/>
                <w:color w:val="000000"/>
                <w:sz w:val="24"/>
              </w:rPr>
            </w:pPr>
            <w:r>
              <w:rPr>
                <w:rFonts w:hint="eastAsia" w:ascii="宋体" w:hAnsi="宋体" w:cs="宋体"/>
                <w:color w:val="000000"/>
                <w:sz w:val="24"/>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9A85FC">
            <w:pPr>
              <w:widowControl/>
              <w:jc w:val="center"/>
              <w:textAlignment w:val="center"/>
              <w:rPr>
                <w:rFonts w:ascii="宋体" w:hAnsi="宋体" w:cs="宋体"/>
                <w:color w:val="000000"/>
                <w:sz w:val="24"/>
              </w:rPr>
            </w:pPr>
            <w:r>
              <w:rPr>
                <w:rFonts w:hint="eastAsia" w:ascii="宋体" w:hAnsi="宋体" w:cs="宋体"/>
                <w:color w:val="000000"/>
                <w:sz w:val="24"/>
              </w:rPr>
              <w:t>信访维稳专项工作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108856">
            <w:pPr>
              <w:widowControl/>
              <w:jc w:val="center"/>
              <w:textAlignment w:val="center"/>
              <w:rPr>
                <w:rFonts w:ascii="宋体" w:hAnsi="宋体" w:cs="宋体"/>
                <w:color w:val="000000"/>
                <w:sz w:val="24"/>
              </w:rPr>
            </w:pPr>
            <w:r>
              <w:rPr>
                <w:rFonts w:hint="eastAsia" w:ascii="宋体" w:hAnsi="宋体" w:cs="宋体"/>
                <w:color w:val="000000"/>
                <w:sz w:val="24"/>
              </w:rPr>
              <w:t>促进社会和谐发展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89098">
            <w:pPr>
              <w:widowControl/>
              <w:jc w:val="center"/>
              <w:textAlignment w:val="center"/>
              <w:rPr>
                <w:rFonts w:ascii="宋体" w:hAnsi="宋体" w:cs="宋体"/>
                <w:color w:val="000000"/>
                <w:sz w:val="24"/>
              </w:rPr>
            </w:pPr>
            <w:r>
              <w:rPr>
                <w:rFonts w:hint="eastAsia" w:ascii="宋体" w:hAnsi="宋体" w:cs="宋体"/>
                <w:color w:val="000000"/>
                <w:sz w:val="24"/>
              </w:rPr>
              <w:t>促进社会和谐发展</w:t>
            </w:r>
          </w:p>
        </w:tc>
      </w:tr>
      <w:tr w14:paraId="2F6F75CC">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0D3F592">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C753A2">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596F75">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AE9C3">
            <w:pPr>
              <w:widowControl/>
              <w:jc w:val="center"/>
              <w:textAlignment w:val="center"/>
              <w:rPr>
                <w:rFonts w:ascii="宋体" w:hAnsi="宋体" w:cs="宋体"/>
                <w:color w:val="000000"/>
                <w:sz w:val="24"/>
              </w:rPr>
            </w:pPr>
            <w:r>
              <w:rPr>
                <w:rFonts w:hint="eastAsia" w:ascii="宋体" w:hAnsi="宋体" w:cs="宋体"/>
                <w:color w:val="000000"/>
                <w:sz w:val="24"/>
              </w:rPr>
              <w:t>信访维稳专项工作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73E14C">
            <w:pPr>
              <w:widowControl/>
              <w:jc w:val="center"/>
              <w:textAlignment w:val="center"/>
              <w:rPr>
                <w:rFonts w:ascii="宋体" w:hAnsi="宋体" w:cs="宋体"/>
                <w:color w:val="000000"/>
                <w:sz w:val="24"/>
              </w:rPr>
            </w:pPr>
            <w:r>
              <w:rPr>
                <w:rFonts w:hint="eastAsia" w:ascii="宋体" w:hAnsi="宋体" w:cs="宋体"/>
                <w:color w:val="000000"/>
                <w:sz w:val="24"/>
              </w:rPr>
              <w:t>有效维护社会和谐稳定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23332">
            <w:pPr>
              <w:widowControl/>
              <w:jc w:val="center"/>
              <w:textAlignment w:val="center"/>
              <w:rPr>
                <w:rFonts w:ascii="宋体" w:hAnsi="宋体" w:cs="宋体"/>
                <w:color w:val="000000"/>
                <w:sz w:val="24"/>
              </w:rPr>
            </w:pPr>
            <w:r>
              <w:rPr>
                <w:rFonts w:hint="eastAsia" w:ascii="宋体" w:hAnsi="宋体" w:cs="宋体"/>
                <w:color w:val="000000"/>
                <w:sz w:val="24"/>
              </w:rPr>
              <w:t>有效维护社会和谐稳定</w:t>
            </w:r>
          </w:p>
        </w:tc>
      </w:tr>
      <w:tr w14:paraId="325A735E">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89F646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E6AA14">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A6E767">
            <w:pPr>
              <w:widowControl/>
              <w:jc w:val="center"/>
              <w:textAlignment w:val="center"/>
              <w:rPr>
                <w:rFonts w:ascii="宋体" w:hAnsi="宋体" w:cs="宋体"/>
                <w:color w:val="000000"/>
                <w:sz w:val="24"/>
              </w:rPr>
            </w:pPr>
            <w:r>
              <w:rPr>
                <w:rFonts w:hint="eastAsia" w:ascii="宋体" w:hAnsi="宋体" w:cs="宋体"/>
                <w:color w:val="000000"/>
                <w:sz w:val="24"/>
              </w:rPr>
              <w:t>可持续性</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102DB7">
            <w:pPr>
              <w:widowControl/>
              <w:jc w:val="center"/>
              <w:textAlignment w:val="center"/>
              <w:rPr>
                <w:rFonts w:ascii="宋体" w:hAnsi="宋体" w:cs="宋体"/>
                <w:color w:val="000000"/>
                <w:sz w:val="24"/>
              </w:rPr>
            </w:pPr>
            <w:r>
              <w:rPr>
                <w:rFonts w:hint="eastAsia" w:ascii="宋体" w:hAnsi="宋体" w:cs="宋体"/>
                <w:color w:val="000000"/>
                <w:sz w:val="24"/>
              </w:rPr>
              <w:t>信访维稳专项工作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2E3330">
            <w:pPr>
              <w:widowControl/>
              <w:jc w:val="center"/>
              <w:textAlignment w:val="center"/>
              <w:rPr>
                <w:rFonts w:ascii="宋体" w:hAnsi="宋体" w:cs="宋体"/>
                <w:color w:val="000000"/>
                <w:sz w:val="24"/>
              </w:rPr>
            </w:pPr>
            <w:r>
              <w:rPr>
                <w:rFonts w:hint="eastAsia" w:ascii="宋体" w:hAnsi="宋体" w:cs="宋体"/>
                <w:color w:val="000000"/>
                <w:sz w:val="24"/>
              </w:rPr>
              <w:t>≥1年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485E0">
            <w:pPr>
              <w:widowControl/>
              <w:jc w:val="center"/>
              <w:textAlignment w:val="center"/>
              <w:rPr>
                <w:rFonts w:ascii="宋体" w:hAnsi="宋体" w:cs="宋体"/>
                <w:color w:val="000000"/>
                <w:sz w:val="24"/>
              </w:rPr>
            </w:pPr>
            <w:r>
              <w:rPr>
                <w:rFonts w:hint="eastAsia" w:ascii="宋体" w:hAnsi="宋体" w:cs="宋体"/>
                <w:color w:val="000000"/>
                <w:sz w:val="24"/>
              </w:rPr>
              <w:t>≥1年</w:t>
            </w:r>
          </w:p>
        </w:tc>
      </w:tr>
      <w:tr w14:paraId="6CAB40DC">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BF6D3A1">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BFFF18">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8B02F4">
            <w:pPr>
              <w:widowControl/>
              <w:jc w:val="center"/>
              <w:textAlignment w:val="center"/>
              <w:rPr>
                <w:rFonts w:ascii="宋体" w:hAnsi="宋体" w:cs="宋体"/>
                <w:color w:val="000000"/>
                <w:sz w:val="24"/>
              </w:rPr>
            </w:pPr>
            <w:r>
              <w:rPr>
                <w:rFonts w:hint="eastAsia" w:ascii="宋体" w:hAnsi="宋体" w:cs="宋体"/>
                <w:color w:val="000000"/>
                <w:sz w:val="24"/>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8EEB30">
            <w:pPr>
              <w:widowControl/>
              <w:jc w:val="center"/>
              <w:textAlignment w:val="center"/>
              <w:rPr>
                <w:rFonts w:ascii="宋体" w:hAnsi="宋体" w:cs="宋体"/>
                <w:color w:val="000000"/>
                <w:sz w:val="24"/>
              </w:rPr>
            </w:pPr>
            <w:r>
              <w:rPr>
                <w:rFonts w:hint="eastAsia" w:ascii="宋体" w:hAnsi="宋体" w:cs="宋体"/>
                <w:color w:val="000000"/>
                <w:sz w:val="24"/>
              </w:rPr>
              <w:t>信访维稳专项工作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258F5F">
            <w:pPr>
              <w:widowControl/>
              <w:jc w:val="center"/>
              <w:textAlignment w:val="center"/>
              <w:rPr>
                <w:rFonts w:ascii="宋体" w:hAnsi="宋体" w:cs="宋体"/>
                <w:color w:val="000000"/>
                <w:sz w:val="24"/>
              </w:rPr>
            </w:pPr>
            <w:r>
              <w:rPr>
                <w:rFonts w:hint="eastAsia" w:ascii="宋体" w:hAnsi="宋体" w:cs="宋体"/>
                <w:color w:val="000000"/>
                <w:sz w:val="24"/>
              </w:rPr>
              <w:t>达到预期目标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FFDD79">
            <w:pPr>
              <w:widowControl/>
              <w:jc w:val="center"/>
              <w:textAlignment w:val="center"/>
              <w:rPr>
                <w:rFonts w:ascii="宋体" w:hAnsi="宋体" w:cs="宋体"/>
                <w:color w:val="000000"/>
                <w:sz w:val="24"/>
              </w:rPr>
            </w:pPr>
            <w:r>
              <w:rPr>
                <w:rFonts w:hint="eastAsia" w:ascii="宋体" w:hAnsi="宋体" w:cs="宋体"/>
                <w:color w:val="000000"/>
                <w:sz w:val="24"/>
              </w:rPr>
              <w:t>达到预期目标</w:t>
            </w:r>
          </w:p>
        </w:tc>
      </w:tr>
      <w:tr w14:paraId="2E8600FB">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6B4184F">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21685E">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0709D5">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4A15B6">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EFCAF1">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7E4134">
            <w:pPr>
              <w:widowControl/>
              <w:jc w:val="center"/>
              <w:textAlignment w:val="center"/>
              <w:rPr>
                <w:rFonts w:ascii="宋体" w:hAnsi="宋体" w:cs="宋体"/>
                <w:color w:val="000000"/>
                <w:sz w:val="24"/>
              </w:rPr>
            </w:pPr>
            <w:r>
              <w:rPr>
                <w:rFonts w:hint="eastAsia" w:ascii="宋体" w:hAnsi="宋体" w:cs="宋体"/>
                <w:color w:val="000000"/>
                <w:sz w:val="24"/>
              </w:rPr>
              <w:t>≥95%</w:t>
            </w:r>
          </w:p>
        </w:tc>
      </w:tr>
    </w:tbl>
    <w:p w14:paraId="23AD868C">
      <w:pPr>
        <w:pStyle w:val="23"/>
        <w:spacing w:line="560" w:lineRule="exact"/>
        <w:rPr>
          <w:rFonts w:hint="eastAsia" w:ascii="Times New Roman" w:hAnsi="Times New Roman" w:eastAsia="方正仿宋_GBK" w:cs="Times New Roman"/>
          <w:color w:val="auto"/>
          <w:kern w:val="0"/>
          <w:sz w:val="33"/>
          <w:szCs w:val="33"/>
          <w:lang w:val="zh-CN" w:eastAsia="zh-CN" w:bidi="ar-SA"/>
        </w:rPr>
      </w:pPr>
      <w:r>
        <w:rPr>
          <w:rFonts w:ascii="仿宋_GB2312" w:eastAsia="仿宋_GB2312"/>
          <w:b/>
          <w:color w:val="auto"/>
          <w:sz w:val="32"/>
          <w:szCs w:val="32"/>
          <w:highlight w:val="none"/>
        </w:rPr>
        <w:br w:type="page"/>
      </w:r>
      <w:r>
        <w:rPr>
          <w:rFonts w:hint="eastAsia" w:ascii="仿宋_GB2312" w:eastAsia="仿宋_GB2312"/>
          <w:b/>
          <w:color w:val="auto"/>
          <w:sz w:val="32"/>
          <w:szCs w:val="32"/>
          <w:highlight w:val="none"/>
          <w:lang w:val="en-US" w:eastAsia="zh-CN"/>
        </w:rPr>
        <w:t xml:space="preserve">   </w:t>
      </w:r>
      <w:r>
        <w:rPr>
          <w:rFonts w:hint="eastAsia" w:ascii="Times New Roman" w:hAnsi="Times New Roman" w:eastAsia="方正仿宋_GBK" w:cs="Times New Roman"/>
          <w:color w:val="auto"/>
          <w:kern w:val="0"/>
          <w:sz w:val="33"/>
          <w:szCs w:val="33"/>
          <w:lang w:val="en-US" w:eastAsia="zh-CN" w:bidi="ar-SA"/>
        </w:rPr>
        <w:t xml:space="preserve"> </w:t>
      </w:r>
      <w:r>
        <w:rPr>
          <w:rFonts w:hint="eastAsia" w:ascii="Times New Roman" w:hAnsi="Times New Roman" w:eastAsia="方正仿宋_GBK" w:cs="Times New Roman"/>
          <w:color w:val="auto"/>
          <w:kern w:val="0"/>
          <w:sz w:val="33"/>
          <w:szCs w:val="33"/>
          <w:lang w:val="zh-CN" w:eastAsia="zh-CN" w:bidi="ar-SA"/>
        </w:rPr>
        <w:t>2.部门绩效评价结果。</w:t>
      </w:r>
    </w:p>
    <w:p w14:paraId="4048B6BA">
      <w:pPr>
        <w:pStyle w:val="23"/>
        <w:spacing w:line="560" w:lineRule="exact"/>
        <w:ind w:firstLine="660" w:firstLineChars="200"/>
        <w:rPr>
          <w:rFonts w:hint="eastAsia" w:ascii="Times New Roman" w:hAnsi="Times New Roman" w:eastAsia="方正仿宋_GBK" w:cs="Times New Roman"/>
          <w:color w:val="auto"/>
          <w:kern w:val="0"/>
          <w:sz w:val="33"/>
          <w:szCs w:val="33"/>
          <w:lang w:val="zh-CN" w:eastAsia="zh-CN" w:bidi="ar-SA"/>
        </w:rPr>
      </w:pPr>
      <w:r>
        <w:rPr>
          <w:rFonts w:hint="eastAsia" w:ascii="Times New Roman" w:hAnsi="Times New Roman" w:eastAsia="方正仿宋_GBK" w:cs="Times New Roman"/>
          <w:color w:val="auto"/>
          <w:kern w:val="0"/>
          <w:sz w:val="33"/>
          <w:szCs w:val="33"/>
          <w:lang w:val="zh-CN" w:eastAsia="zh-CN" w:bidi="ar-SA"/>
        </w:rPr>
        <w:t>市驻蓉办按要求对202</w:t>
      </w:r>
      <w:r>
        <w:rPr>
          <w:rFonts w:hint="eastAsia" w:ascii="Times New Roman" w:hAnsi="Times New Roman" w:eastAsia="方正仿宋_GBK" w:cs="Times New Roman"/>
          <w:color w:val="auto"/>
          <w:kern w:val="0"/>
          <w:sz w:val="33"/>
          <w:szCs w:val="33"/>
          <w:lang w:val="en-US" w:eastAsia="zh-CN" w:bidi="ar-SA"/>
        </w:rPr>
        <w:t>1</w:t>
      </w:r>
      <w:r>
        <w:rPr>
          <w:rFonts w:hint="eastAsia" w:ascii="Times New Roman" w:hAnsi="Times New Roman" w:eastAsia="方正仿宋_GBK" w:cs="Times New Roman"/>
          <w:color w:val="auto"/>
          <w:kern w:val="0"/>
          <w:sz w:val="33"/>
          <w:szCs w:val="33"/>
          <w:lang w:val="zh-CN" w:eastAsia="zh-CN" w:bidi="ar-SA"/>
        </w:rPr>
        <w:t>年部门整体支出绩效评价情况开展自评，《广安市人民政府驻成都办事处202</w:t>
      </w:r>
      <w:r>
        <w:rPr>
          <w:rFonts w:hint="eastAsia" w:ascii="Times New Roman" w:hAnsi="Times New Roman" w:eastAsia="方正仿宋_GBK" w:cs="Times New Roman"/>
          <w:color w:val="auto"/>
          <w:kern w:val="0"/>
          <w:sz w:val="33"/>
          <w:szCs w:val="33"/>
          <w:lang w:val="en-US" w:eastAsia="zh-CN" w:bidi="ar-SA"/>
        </w:rPr>
        <w:t>1</w:t>
      </w:r>
      <w:r>
        <w:rPr>
          <w:rFonts w:hint="eastAsia" w:ascii="Times New Roman" w:hAnsi="Times New Roman" w:eastAsia="方正仿宋_GBK" w:cs="Times New Roman"/>
          <w:color w:val="auto"/>
          <w:kern w:val="0"/>
          <w:sz w:val="33"/>
          <w:szCs w:val="33"/>
          <w:lang w:val="zh-CN" w:eastAsia="zh-CN" w:bidi="ar-SA"/>
        </w:rPr>
        <w:t>年部门整体支出绩效评价报告》见附件（附件1）。</w:t>
      </w:r>
    </w:p>
    <w:p w14:paraId="7745CFA7">
      <w:pPr>
        <w:pStyle w:val="23"/>
        <w:spacing w:line="560" w:lineRule="exact"/>
        <w:ind w:firstLine="660" w:firstLineChars="200"/>
        <w:rPr>
          <w:rFonts w:hint="eastAsia" w:ascii="Times New Roman" w:hAnsi="Times New Roman" w:eastAsia="方正仿宋_GBK" w:cs="Times New Roman"/>
          <w:color w:val="auto"/>
          <w:kern w:val="0"/>
          <w:sz w:val="33"/>
          <w:szCs w:val="33"/>
          <w:lang w:val="zh-CN" w:eastAsia="zh-CN" w:bidi="ar-SA"/>
        </w:rPr>
      </w:pPr>
      <w:r>
        <w:rPr>
          <w:rFonts w:hint="eastAsia" w:ascii="Times New Roman" w:hAnsi="Times New Roman" w:eastAsia="方正仿宋_GBK" w:cs="Times New Roman"/>
          <w:color w:val="auto"/>
          <w:kern w:val="0"/>
          <w:sz w:val="33"/>
          <w:szCs w:val="33"/>
          <w:lang w:val="zh-CN" w:eastAsia="zh-CN" w:bidi="ar-SA"/>
        </w:rPr>
        <w:t>市驻蓉办自行组织对招商引资项目、信访维稳项目开展了绩效评价，《招商引资项目202</w:t>
      </w:r>
      <w:r>
        <w:rPr>
          <w:rFonts w:hint="eastAsia" w:ascii="Times New Roman" w:hAnsi="Times New Roman" w:eastAsia="方正仿宋_GBK" w:cs="Times New Roman"/>
          <w:color w:val="auto"/>
          <w:kern w:val="0"/>
          <w:sz w:val="33"/>
          <w:szCs w:val="33"/>
          <w:lang w:val="en-US" w:eastAsia="zh-CN" w:bidi="ar-SA"/>
        </w:rPr>
        <w:t>1</w:t>
      </w:r>
      <w:r>
        <w:rPr>
          <w:rFonts w:hint="eastAsia" w:ascii="Times New Roman" w:hAnsi="Times New Roman" w:eastAsia="方正仿宋_GBK" w:cs="Times New Roman"/>
          <w:color w:val="auto"/>
          <w:kern w:val="0"/>
          <w:sz w:val="33"/>
          <w:szCs w:val="33"/>
          <w:lang w:val="zh-CN" w:eastAsia="zh-CN" w:bidi="ar-SA"/>
        </w:rPr>
        <w:t>年绩效评价报告》、《信访维稳项目202</w:t>
      </w:r>
      <w:r>
        <w:rPr>
          <w:rFonts w:hint="eastAsia" w:ascii="Times New Roman" w:hAnsi="Times New Roman" w:eastAsia="方正仿宋_GBK" w:cs="Times New Roman"/>
          <w:color w:val="auto"/>
          <w:kern w:val="0"/>
          <w:sz w:val="33"/>
          <w:szCs w:val="33"/>
          <w:lang w:val="en-US" w:eastAsia="zh-CN" w:bidi="ar-SA"/>
        </w:rPr>
        <w:t>1</w:t>
      </w:r>
      <w:r>
        <w:rPr>
          <w:rFonts w:hint="eastAsia" w:ascii="Times New Roman" w:hAnsi="Times New Roman" w:eastAsia="方正仿宋_GBK" w:cs="Times New Roman"/>
          <w:color w:val="auto"/>
          <w:kern w:val="0"/>
          <w:sz w:val="33"/>
          <w:szCs w:val="33"/>
          <w:lang w:val="zh-CN" w:eastAsia="zh-CN" w:bidi="ar-SA"/>
        </w:rPr>
        <w:t>年绩效评价报告》见附件（附件2）。</w:t>
      </w:r>
    </w:p>
    <w:p w14:paraId="41B189DF">
      <w:pPr>
        <w:pStyle w:val="23"/>
        <w:spacing w:line="560" w:lineRule="exact"/>
        <w:ind w:firstLine="660" w:firstLineChars="200"/>
        <w:rPr>
          <w:rFonts w:hint="eastAsia" w:ascii="Times New Roman" w:hAnsi="Times New Roman" w:eastAsia="方正仿宋_GBK" w:cs="Times New Roman"/>
          <w:color w:val="auto"/>
          <w:kern w:val="0"/>
          <w:sz w:val="33"/>
          <w:szCs w:val="33"/>
          <w:lang w:val="en-US" w:eastAsia="zh-CN" w:bidi="ar-SA"/>
        </w:rPr>
      </w:pPr>
      <w:r>
        <w:rPr>
          <w:rFonts w:hint="eastAsia" w:ascii="Times New Roman" w:hAnsi="Times New Roman" w:eastAsia="方正仿宋_GBK" w:cs="Times New Roman"/>
          <w:color w:val="auto"/>
          <w:kern w:val="0"/>
          <w:sz w:val="33"/>
          <w:szCs w:val="33"/>
          <w:lang w:val="en-US" w:eastAsia="zh-CN" w:bidi="ar-SA"/>
        </w:rPr>
        <w:t>市驻蓉办《100万元以上（含）特定目标类部门预算项目绩效目标自评表》（附件3）。</w:t>
      </w:r>
    </w:p>
    <w:p w14:paraId="058615F1">
      <w:pPr>
        <w:spacing w:line="580" w:lineRule="exact"/>
        <w:ind w:firstLine="643" w:firstLineChars="200"/>
        <w:rPr>
          <w:rFonts w:ascii="仿宋_GB2312" w:eastAsia="仿宋_GB2312"/>
          <w:b/>
          <w:color w:val="000000"/>
          <w:sz w:val="32"/>
          <w:szCs w:val="32"/>
        </w:rPr>
      </w:pPr>
    </w:p>
    <w:p w14:paraId="3476C841">
      <w:pPr>
        <w:widowControl/>
        <w:jc w:val="left"/>
        <w:rPr>
          <w:rFonts w:ascii="仿宋_GB2312" w:eastAsia="仿宋_GB2312"/>
          <w:b/>
          <w:color w:val="auto"/>
          <w:sz w:val="32"/>
          <w:szCs w:val="32"/>
          <w:highlight w:val="none"/>
        </w:rPr>
      </w:pPr>
    </w:p>
    <w:p w14:paraId="6531107B">
      <w:pPr>
        <w:numPr>
          <w:ilvl w:val="0"/>
          <w:numId w:val="4"/>
        </w:numPr>
        <w:spacing w:line="600" w:lineRule="exact"/>
        <w:ind w:firstLine="660" w:firstLineChars="150"/>
        <w:jc w:val="center"/>
        <w:outlineLvl w:val="0"/>
        <w:rPr>
          <w:rStyle w:val="25"/>
          <w:rFonts w:ascii="黑体" w:hAnsi="黑体" w:eastAsia="黑体"/>
          <w:b w:val="0"/>
          <w:color w:val="auto"/>
          <w:highlight w:val="none"/>
        </w:rPr>
      </w:pPr>
      <w:bookmarkStart w:id="56" w:name="_Toc15377225"/>
      <w:bookmarkStart w:id="57" w:name="_Toc15396613"/>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56"/>
      <w:bookmarkEnd w:id="57"/>
    </w:p>
    <w:p w14:paraId="0070E8CF">
      <w:pPr>
        <w:spacing w:line="600" w:lineRule="exact"/>
        <w:jc w:val="left"/>
        <w:rPr>
          <w:rFonts w:ascii="宋体"/>
          <w:b/>
          <w:color w:val="auto"/>
          <w:sz w:val="44"/>
          <w:szCs w:val="44"/>
          <w:highlight w:val="none"/>
        </w:rPr>
      </w:pPr>
    </w:p>
    <w:p w14:paraId="390FD7ED">
      <w:pPr>
        <w:pStyle w:val="23"/>
        <w:spacing w:line="560" w:lineRule="exact"/>
        <w:ind w:firstLine="660" w:firstLineChars="200"/>
        <w:rPr>
          <w:rFonts w:hint="eastAsia" w:ascii="Times New Roman" w:hAnsi="Times New Roman" w:eastAsia="方正仿宋_GBK" w:cs="Times New Roman"/>
          <w:color w:val="auto"/>
          <w:kern w:val="0"/>
          <w:sz w:val="33"/>
          <w:szCs w:val="33"/>
          <w:lang w:val="zh-CN" w:eastAsia="zh-CN" w:bidi="ar-SA"/>
        </w:rPr>
      </w:pPr>
      <w:bookmarkStart w:id="58" w:name="_Toc15377226"/>
      <w:r>
        <w:rPr>
          <w:rFonts w:hint="eastAsia" w:ascii="Times New Roman" w:hAnsi="Times New Roman" w:eastAsia="方正仿宋_GBK" w:cs="Times New Roman"/>
          <w:color w:val="auto"/>
          <w:kern w:val="0"/>
          <w:sz w:val="33"/>
          <w:szCs w:val="33"/>
          <w:lang w:val="zh-CN" w:eastAsia="zh-CN" w:bidi="ar-SA"/>
        </w:rPr>
        <w:t>1.财政拨款收入：指单位从同级财政部门取得的财政预算资金。</w:t>
      </w:r>
    </w:p>
    <w:p w14:paraId="1A8EF052">
      <w:pPr>
        <w:pStyle w:val="23"/>
        <w:spacing w:line="560" w:lineRule="exact"/>
        <w:ind w:firstLine="660" w:firstLineChars="200"/>
        <w:rPr>
          <w:rFonts w:hint="eastAsia" w:ascii="Times New Roman" w:hAnsi="Times New Roman" w:eastAsia="方正仿宋_GBK" w:cs="Times New Roman"/>
          <w:color w:val="auto"/>
          <w:kern w:val="0"/>
          <w:sz w:val="33"/>
          <w:szCs w:val="33"/>
          <w:lang w:val="zh-CN" w:eastAsia="zh-CN" w:bidi="ar-SA"/>
        </w:rPr>
      </w:pPr>
      <w:r>
        <w:rPr>
          <w:rFonts w:hint="eastAsia" w:ascii="Times New Roman" w:hAnsi="Times New Roman" w:eastAsia="方正仿宋_GBK" w:cs="Times New Roman"/>
          <w:color w:val="auto"/>
          <w:kern w:val="0"/>
          <w:sz w:val="33"/>
          <w:szCs w:val="33"/>
          <w:lang w:val="zh-CN" w:eastAsia="zh-CN" w:bidi="ar-SA"/>
        </w:rPr>
        <w:t>2.事业收入：指事业单位开展专业业务活动及辅助活动取得的收入。</w:t>
      </w:r>
    </w:p>
    <w:p w14:paraId="3BF04528">
      <w:pPr>
        <w:pStyle w:val="23"/>
        <w:spacing w:line="560" w:lineRule="exact"/>
        <w:ind w:firstLine="660" w:firstLineChars="200"/>
        <w:rPr>
          <w:rFonts w:hint="eastAsia" w:ascii="Times New Roman" w:hAnsi="Times New Roman" w:eastAsia="方正仿宋_GBK" w:cs="Times New Roman"/>
          <w:color w:val="auto"/>
          <w:kern w:val="0"/>
          <w:sz w:val="33"/>
          <w:szCs w:val="33"/>
          <w:lang w:val="zh-CN" w:eastAsia="zh-CN" w:bidi="ar-SA"/>
        </w:rPr>
      </w:pPr>
      <w:r>
        <w:rPr>
          <w:rFonts w:hint="eastAsia" w:ascii="Times New Roman" w:hAnsi="Times New Roman" w:eastAsia="方正仿宋_GBK" w:cs="Times New Roman"/>
          <w:color w:val="auto"/>
          <w:kern w:val="0"/>
          <w:sz w:val="33"/>
          <w:szCs w:val="33"/>
          <w:lang w:val="zh-CN" w:eastAsia="zh-CN" w:bidi="ar-SA"/>
        </w:rPr>
        <w:t>3.经营收入：指事业单位在专业业务活动及其辅助活动之外开展非独立核算经营活动取得的收入。</w:t>
      </w:r>
    </w:p>
    <w:p w14:paraId="00FDFA9A">
      <w:pPr>
        <w:pStyle w:val="23"/>
        <w:spacing w:line="560" w:lineRule="exact"/>
        <w:ind w:firstLine="660" w:firstLineChars="200"/>
        <w:rPr>
          <w:rFonts w:hint="eastAsia" w:ascii="Times New Roman" w:hAnsi="Times New Roman" w:eastAsia="方正仿宋_GBK" w:cs="Times New Roman"/>
          <w:color w:val="auto"/>
          <w:kern w:val="0"/>
          <w:sz w:val="33"/>
          <w:szCs w:val="33"/>
          <w:lang w:val="zh-CN" w:eastAsia="zh-CN" w:bidi="ar-SA"/>
        </w:rPr>
      </w:pPr>
      <w:r>
        <w:rPr>
          <w:rFonts w:hint="eastAsia" w:ascii="Times New Roman" w:hAnsi="Times New Roman" w:eastAsia="方正仿宋_GBK" w:cs="Times New Roman"/>
          <w:color w:val="auto"/>
          <w:kern w:val="0"/>
          <w:sz w:val="33"/>
          <w:szCs w:val="33"/>
          <w:lang w:val="zh-CN" w:eastAsia="zh-CN" w:bidi="ar-SA"/>
        </w:rPr>
        <w:t xml:space="preserve">4.其他收入：指单位取得的除上述收入以外的各项收入。 </w:t>
      </w:r>
    </w:p>
    <w:p w14:paraId="0D8D8A6B">
      <w:pPr>
        <w:pStyle w:val="23"/>
        <w:spacing w:line="560" w:lineRule="exact"/>
        <w:ind w:firstLine="660" w:firstLineChars="200"/>
        <w:rPr>
          <w:rFonts w:hint="eastAsia" w:ascii="Times New Roman" w:hAnsi="Times New Roman" w:eastAsia="方正仿宋_GBK" w:cs="Times New Roman"/>
          <w:color w:val="auto"/>
          <w:kern w:val="0"/>
          <w:sz w:val="33"/>
          <w:szCs w:val="33"/>
          <w:lang w:val="zh-CN" w:eastAsia="zh-CN" w:bidi="ar-SA"/>
        </w:rPr>
      </w:pPr>
      <w:r>
        <w:rPr>
          <w:rFonts w:hint="eastAsia" w:ascii="Times New Roman" w:hAnsi="Times New Roman" w:eastAsia="方正仿宋_GBK" w:cs="Times New Roman"/>
          <w:color w:val="auto"/>
          <w:kern w:val="0"/>
          <w:sz w:val="33"/>
          <w:szCs w:val="33"/>
          <w:lang w:val="zh-CN" w:eastAsia="zh-CN" w:bidi="ar-SA"/>
        </w:rPr>
        <w:t xml:space="preserve">5.使用非财政拨款结余：指事业单位使用以前年度积累的非财政拨款结余弥补当年收支差额的金额。 </w:t>
      </w:r>
    </w:p>
    <w:p w14:paraId="7DF3BA8A">
      <w:pPr>
        <w:pStyle w:val="23"/>
        <w:spacing w:line="560" w:lineRule="exact"/>
        <w:ind w:firstLine="660" w:firstLineChars="200"/>
        <w:rPr>
          <w:rFonts w:hint="eastAsia" w:ascii="Times New Roman" w:hAnsi="Times New Roman" w:eastAsia="方正仿宋_GBK" w:cs="Times New Roman"/>
          <w:color w:val="auto"/>
          <w:kern w:val="0"/>
          <w:sz w:val="33"/>
          <w:szCs w:val="33"/>
          <w:lang w:val="zh-CN" w:eastAsia="zh-CN" w:bidi="ar-SA"/>
        </w:rPr>
      </w:pPr>
      <w:r>
        <w:rPr>
          <w:rFonts w:hint="eastAsia" w:ascii="Times New Roman" w:hAnsi="Times New Roman" w:eastAsia="方正仿宋_GBK" w:cs="Times New Roman"/>
          <w:color w:val="auto"/>
          <w:kern w:val="0"/>
          <w:sz w:val="33"/>
          <w:szCs w:val="33"/>
          <w:lang w:val="zh-CN" w:eastAsia="zh-CN" w:bidi="ar-SA"/>
        </w:rPr>
        <w:t xml:space="preserve">6.年初结转和结余：指以前年度尚未完成、结转到本年按有关规定继续使用的资金。 </w:t>
      </w:r>
    </w:p>
    <w:p w14:paraId="0AA8803E">
      <w:pPr>
        <w:pStyle w:val="23"/>
        <w:spacing w:line="560" w:lineRule="exact"/>
        <w:ind w:firstLine="660" w:firstLineChars="200"/>
        <w:rPr>
          <w:rFonts w:hint="eastAsia" w:ascii="Times New Roman" w:hAnsi="Times New Roman" w:eastAsia="方正仿宋_GBK" w:cs="Times New Roman"/>
          <w:color w:val="auto"/>
          <w:kern w:val="0"/>
          <w:sz w:val="33"/>
          <w:szCs w:val="33"/>
          <w:lang w:val="zh-CN" w:eastAsia="zh-CN" w:bidi="ar-SA"/>
        </w:rPr>
      </w:pPr>
      <w:r>
        <w:rPr>
          <w:rFonts w:hint="eastAsia" w:ascii="Times New Roman" w:hAnsi="Times New Roman" w:eastAsia="方正仿宋_GBK" w:cs="Times New Roman"/>
          <w:color w:val="auto"/>
          <w:kern w:val="0"/>
          <w:sz w:val="33"/>
          <w:szCs w:val="33"/>
          <w:lang w:val="zh-CN" w:eastAsia="zh-CN" w:bidi="ar-SA"/>
        </w:rPr>
        <w:t>7.结余分配：指事业单位按照会计制度规定缴纳的所得税、提取的专用结余以及转入非财政拨款结余的金额等。</w:t>
      </w:r>
    </w:p>
    <w:p w14:paraId="48611E05">
      <w:pPr>
        <w:pStyle w:val="23"/>
        <w:spacing w:line="560" w:lineRule="exact"/>
        <w:ind w:firstLine="660" w:firstLineChars="200"/>
        <w:rPr>
          <w:rFonts w:hint="eastAsia" w:ascii="Times New Roman" w:hAnsi="Times New Roman" w:eastAsia="方正仿宋_GBK" w:cs="Times New Roman"/>
          <w:color w:val="auto"/>
          <w:kern w:val="0"/>
          <w:sz w:val="33"/>
          <w:szCs w:val="33"/>
          <w:lang w:val="zh-CN" w:eastAsia="zh-CN" w:bidi="ar-SA"/>
        </w:rPr>
      </w:pPr>
      <w:r>
        <w:rPr>
          <w:rFonts w:hint="eastAsia" w:ascii="Times New Roman" w:hAnsi="Times New Roman" w:eastAsia="方正仿宋_GBK" w:cs="Times New Roman"/>
          <w:color w:val="auto"/>
          <w:kern w:val="0"/>
          <w:sz w:val="33"/>
          <w:szCs w:val="33"/>
          <w:lang w:val="zh-CN" w:eastAsia="zh-CN" w:bidi="ar-SA"/>
        </w:rPr>
        <w:t>8.年末结转和结余：指单位按有关规定结转到下年或以后年度继续使用的资金。</w:t>
      </w:r>
    </w:p>
    <w:p w14:paraId="034BFAB3">
      <w:pPr>
        <w:pStyle w:val="23"/>
        <w:spacing w:line="560" w:lineRule="exact"/>
        <w:ind w:firstLine="660" w:firstLineChars="200"/>
        <w:rPr>
          <w:rFonts w:hint="eastAsia" w:ascii="Times New Roman" w:hAnsi="Times New Roman" w:eastAsia="方正仿宋_GBK" w:cs="Times New Roman"/>
          <w:color w:val="auto"/>
          <w:kern w:val="0"/>
          <w:sz w:val="33"/>
          <w:szCs w:val="33"/>
          <w:lang w:val="zh-CN" w:eastAsia="zh-CN" w:bidi="ar-SA"/>
        </w:rPr>
      </w:pPr>
      <w:r>
        <w:rPr>
          <w:rFonts w:hint="eastAsia" w:ascii="Times New Roman" w:hAnsi="Times New Roman" w:eastAsia="方正仿宋_GBK" w:cs="Times New Roman"/>
          <w:color w:val="auto"/>
          <w:kern w:val="0"/>
          <w:sz w:val="33"/>
          <w:szCs w:val="33"/>
          <w:lang w:val="zh-CN" w:eastAsia="zh-CN" w:bidi="ar-SA"/>
        </w:rPr>
        <w:t>9.一般公共服务（类）党委办公厅（室）及相关机构事务（款）事业运行（项）：指行政单位（含参照公务员法管理的事业单位）用于保障机构正常运行、开展日常工作的基本支出。</w:t>
      </w:r>
    </w:p>
    <w:p w14:paraId="35BC8CC6">
      <w:pPr>
        <w:pStyle w:val="23"/>
        <w:spacing w:line="560" w:lineRule="exact"/>
        <w:ind w:firstLine="660" w:firstLineChars="200"/>
        <w:rPr>
          <w:rFonts w:hint="eastAsia" w:ascii="Times New Roman" w:hAnsi="Times New Roman" w:eastAsia="方正仿宋_GBK" w:cs="Times New Roman"/>
          <w:color w:val="auto"/>
          <w:kern w:val="0"/>
          <w:sz w:val="33"/>
          <w:szCs w:val="33"/>
          <w:lang w:val="zh-CN" w:eastAsia="zh-CN" w:bidi="ar-SA"/>
        </w:rPr>
      </w:pPr>
      <w:r>
        <w:rPr>
          <w:rFonts w:hint="eastAsia" w:ascii="Times New Roman" w:hAnsi="Times New Roman" w:eastAsia="方正仿宋_GBK" w:cs="Times New Roman"/>
          <w:color w:val="auto"/>
          <w:kern w:val="0"/>
          <w:sz w:val="33"/>
          <w:szCs w:val="33"/>
          <w:lang w:val="zh-CN" w:eastAsia="zh-CN" w:bidi="ar-SA"/>
        </w:rPr>
        <w:t>10.社会保障和就业支出（类）行政事业单位养老支出（款）机关事业单位基本养老保险缴费支出（项）:指机关事业单位实施养老保险制度由单位缴纳的养老保险费的支出。</w:t>
      </w:r>
    </w:p>
    <w:p w14:paraId="3A4FC9BB">
      <w:pPr>
        <w:pStyle w:val="23"/>
        <w:spacing w:line="560" w:lineRule="exact"/>
        <w:ind w:firstLine="660" w:firstLineChars="200"/>
        <w:rPr>
          <w:rFonts w:hint="eastAsia" w:ascii="Times New Roman" w:hAnsi="Times New Roman" w:eastAsia="方正仿宋_GBK" w:cs="Times New Roman"/>
          <w:color w:val="auto"/>
          <w:kern w:val="0"/>
          <w:sz w:val="33"/>
          <w:szCs w:val="33"/>
          <w:lang w:val="zh-CN" w:eastAsia="zh-CN" w:bidi="ar-SA"/>
        </w:rPr>
      </w:pPr>
      <w:r>
        <w:rPr>
          <w:rFonts w:hint="eastAsia" w:ascii="Times New Roman" w:hAnsi="Times New Roman" w:eastAsia="方正仿宋_GBK" w:cs="Times New Roman"/>
          <w:color w:val="auto"/>
          <w:kern w:val="0"/>
          <w:sz w:val="33"/>
          <w:szCs w:val="33"/>
          <w:lang w:val="zh-CN" w:eastAsia="zh-CN" w:bidi="ar-SA"/>
        </w:rPr>
        <w:t>11.卫生健康支出（类）行政事业单位医疗（款）行政单位医疗（项）:指财政部门安排的行政单位（包括实行公务员管理的事业单位）基本医疗保险缴费经费，按国家规定享受离休人员、红军老战士待遇人员的医疗经费。</w:t>
      </w:r>
    </w:p>
    <w:p w14:paraId="25EB35A2">
      <w:pPr>
        <w:pStyle w:val="23"/>
        <w:spacing w:line="560" w:lineRule="exact"/>
        <w:ind w:firstLine="660" w:firstLineChars="200"/>
        <w:rPr>
          <w:rFonts w:hint="eastAsia" w:ascii="Times New Roman" w:hAnsi="Times New Roman" w:eastAsia="方正仿宋_GBK" w:cs="Times New Roman"/>
          <w:color w:val="auto"/>
          <w:kern w:val="0"/>
          <w:sz w:val="33"/>
          <w:szCs w:val="33"/>
          <w:lang w:val="zh-CN" w:eastAsia="zh-CN" w:bidi="ar-SA"/>
        </w:rPr>
      </w:pPr>
      <w:r>
        <w:rPr>
          <w:rFonts w:hint="eastAsia" w:ascii="Times New Roman" w:hAnsi="Times New Roman" w:eastAsia="方正仿宋_GBK" w:cs="Times New Roman"/>
          <w:color w:val="auto"/>
          <w:kern w:val="0"/>
          <w:sz w:val="33"/>
          <w:szCs w:val="33"/>
          <w:lang w:val="zh-CN" w:eastAsia="zh-CN" w:bidi="ar-SA"/>
        </w:rPr>
        <w:t>12.卫生健康支出（类）行政事业单位医疗（款）事业单位医疗（项）:指财政部门安排的事业单位基本医疗保险缴费经费，未参加医疗保险的事业单位的公费医疗经费，按国家规定享受离休人员待遇的医疗经费。</w:t>
      </w:r>
    </w:p>
    <w:p w14:paraId="19B6D2E3">
      <w:pPr>
        <w:pStyle w:val="23"/>
        <w:spacing w:line="560" w:lineRule="exact"/>
        <w:ind w:firstLine="660" w:firstLineChars="200"/>
        <w:rPr>
          <w:rFonts w:hint="eastAsia" w:ascii="Times New Roman" w:hAnsi="Times New Roman" w:eastAsia="方正仿宋_GBK" w:cs="Times New Roman"/>
          <w:color w:val="auto"/>
          <w:kern w:val="0"/>
          <w:sz w:val="33"/>
          <w:szCs w:val="33"/>
          <w:lang w:val="zh-CN" w:eastAsia="zh-CN" w:bidi="ar-SA"/>
        </w:rPr>
      </w:pPr>
      <w:r>
        <w:rPr>
          <w:rFonts w:hint="eastAsia" w:ascii="Times New Roman" w:hAnsi="Times New Roman" w:eastAsia="方正仿宋_GBK" w:cs="Times New Roman"/>
          <w:color w:val="auto"/>
          <w:kern w:val="0"/>
          <w:sz w:val="33"/>
          <w:szCs w:val="33"/>
          <w:lang w:val="zh-CN" w:eastAsia="zh-CN" w:bidi="ar-SA"/>
        </w:rPr>
        <w:t>13.其他支出（类）其他支出（款）其他支出（项）：指其他不能划分到具体功能科目中的支出项目。</w:t>
      </w:r>
    </w:p>
    <w:p w14:paraId="704C1DBC">
      <w:pPr>
        <w:pStyle w:val="23"/>
        <w:spacing w:line="560" w:lineRule="exact"/>
        <w:ind w:firstLine="660" w:firstLineChars="200"/>
        <w:rPr>
          <w:rFonts w:hint="eastAsia" w:ascii="Times New Roman" w:hAnsi="Times New Roman" w:eastAsia="方正仿宋_GBK" w:cs="Times New Roman"/>
          <w:color w:val="auto"/>
          <w:kern w:val="0"/>
          <w:sz w:val="33"/>
          <w:szCs w:val="33"/>
          <w:lang w:val="zh-CN" w:eastAsia="zh-CN" w:bidi="ar-SA"/>
        </w:rPr>
      </w:pPr>
      <w:r>
        <w:rPr>
          <w:rFonts w:hint="eastAsia" w:ascii="Times New Roman" w:hAnsi="Times New Roman" w:eastAsia="方正仿宋_GBK" w:cs="Times New Roman"/>
          <w:color w:val="auto"/>
          <w:kern w:val="0"/>
          <w:sz w:val="33"/>
          <w:szCs w:val="33"/>
          <w:lang w:val="zh-CN" w:eastAsia="zh-CN" w:bidi="ar-SA"/>
        </w:rPr>
        <w:t>14.基本支出：指为保障机构正常运转、完成日常工作任务而发生的人员支出和公用支出。</w:t>
      </w:r>
    </w:p>
    <w:p w14:paraId="50252D56">
      <w:pPr>
        <w:pStyle w:val="23"/>
        <w:spacing w:line="560" w:lineRule="exact"/>
        <w:ind w:firstLine="660" w:firstLineChars="200"/>
        <w:rPr>
          <w:rFonts w:hint="eastAsia" w:ascii="Times New Roman" w:hAnsi="Times New Roman" w:eastAsia="方正仿宋_GBK" w:cs="Times New Roman"/>
          <w:color w:val="auto"/>
          <w:kern w:val="0"/>
          <w:sz w:val="33"/>
          <w:szCs w:val="33"/>
          <w:lang w:val="zh-CN" w:eastAsia="zh-CN" w:bidi="ar-SA"/>
        </w:rPr>
      </w:pPr>
      <w:r>
        <w:rPr>
          <w:rFonts w:hint="eastAsia" w:ascii="Times New Roman" w:hAnsi="Times New Roman" w:eastAsia="方正仿宋_GBK" w:cs="Times New Roman"/>
          <w:color w:val="auto"/>
          <w:kern w:val="0"/>
          <w:sz w:val="33"/>
          <w:szCs w:val="33"/>
          <w:lang w:val="zh-CN" w:eastAsia="zh-CN" w:bidi="ar-SA"/>
        </w:rPr>
        <w:t xml:space="preserve">15.项目支出：指在基本支出之外为完成特定行政任务和事业发展目标所发生的支出。 </w:t>
      </w:r>
    </w:p>
    <w:p w14:paraId="23B4B1B0">
      <w:pPr>
        <w:pStyle w:val="23"/>
        <w:spacing w:line="560" w:lineRule="exact"/>
        <w:ind w:firstLine="660" w:firstLineChars="200"/>
        <w:rPr>
          <w:rFonts w:hint="eastAsia" w:ascii="Times New Roman" w:hAnsi="Times New Roman" w:eastAsia="方正仿宋_GBK" w:cs="Times New Roman"/>
          <w:color w:val="auto"/>
          <w:kern w:val="0"/>
          <w:sz w:val="33"/>
          <w:szCs w:val="33"/>
          <w:lang w:val="zh-CN" w:eastAsia="zh-CN" w:bidi="ar-SA"/>
        </w:rPr>
      </w:pPr>
      <w:r>
        <w:rPr>
          <w:rFonts w:hint="eastAsia" w:ascii="Times New Roman" w:hAnsi="Times New Roman" w:eastAsia="方正仿宋_GBK" w:cs="Times New Roman"/>
          <w:color w:val="auto"/>
          <w:kern w:val="0"/>
          <w:sz w:val="33"/>
          <w:szCs w:val="33"/>
          <w:lang w:val="zh-CN" w:eastAsia="zh-CN" w:bidi="ar-SA"/>
        </w:rPr>
        <w:t>16.经营支出：指事业单位在专业业务活动及其辅助活动之外开展非独立核算经营活动发生的支出。</w:t>
      </w:r>
    </w:p>
    <w:p w14:paraId="0D3CF5A8">
      <w:pPr>
        <w:pStyle w:val="23"/>
        <w:spacing w:line="560" w:lineRule="exact"/>
        <w:ind w:firstLine="660" w:firstLineChars="200"/>
        <w:rPr>
          <w:rFonts w:ascii="Times New Roman" w:hAnsi="Times New Roman" w:eastAsia="方正仿宋_GBK" w:cs="Times New Roman"/>
          <w:color w:val="auto"/>
          <w:kern w:val="0"/>
          <w:sz w:val="33"/>
          <w:szCs w:val="33"/>
          <w:lang w:val="zh-CN" w:eastAsia="zh-CN" w:bidi="ar-SA"/>
        </w:rPr>
      </w:pPr>
      <w:r>
        <w:rPr>
          <w:rFonts w:hint="eastAsia" w:ascii="Times New Roman" w:hAnsi="Times New Roman" w:eastAsia="方正仿宋_GBK" w:cs="Times New Roman"/>
          <w:color w:val="auto"/>
          <w:kern w:val="0"/>
          <w:sz w:val="33"/>
          <w:szCs w:val="33"/>
          <w:lang w:val="zh-CN" w:eastAsia="zh-CN" w:bidi="ar-SA"/>
        </w:rPr>
        <w:t>17.“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8A417D1">
      <w:pPr>
        <w:spacing w:line="580" w:lineRule="exact"/>
        <w:ind w:firstLine="660" w:firstLineChars="200"/>
        <w:rPr>
          <w:rFonts w:hint="eastAsia" w:ascii="Times New Roman" w:hAnsi="Times New Roman" w:eastAsia="方正仿宋_GBK" w:cs="Times New Roman"/>
          <w:color w:val="auto"/>
          <w:kern w:val="0"/>
          <w:sz w:val="33"/>
          <w:szCs w:val="33"/>
          <w:lang w:val="en-US" w:eastAsia="zh-CN" w:bidi="ar-SA"/>
        </w:rPr>
      </w:pPr>
      <w:r>
        <w:rPr>
          <w:rFonts w:hint="eastAsia" w:ascii="Times New Roman" w:hAnsi="Times New Roman" w:eastAsia="方正仿宋_GBK" w:cs="Times New Roman"/>
          <w:color w:val="auto"/>
          <w:kern w:val="0"/>
          <w:sz w:val="33"/>
          <w:szCs w:val="33"/>
          <w:lang w:val="en-US" w:eastAsia="zh-CN" w:bidi="ar-SA"/>
        </w:rPr>
        <w:t>18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9" w:name="_Toc15396614"/>
    </w:p>
    <w:p w14:paraId="7F105F61">
      <w:pPr>
        <w:spacing w:line="580" w:lineRule="exact"/>
        <w:rPr>
          <w:rFonts w:hint="eastAsia" w:ascii="仿宋_GB2312" w:eastAsia="仿宋_GB2312"/>
          <w:b w:val="0"/>
          <w:bCs/>
          <w:color w:val="auto"/>
          <w:sz w:val="32"/>
          <w:szCs w:val="32"/>
          <w:highlight w:val="none"/>
          <w:lang w:val="en-US" w:eastAsia="zh-CN"/>
        </w:rPr>
      </w:pPr>
    </w:p>
    <w:p w14:paraId="4896ED4C">
      <w:pPr>
        <w:spacing w:line="600" w:lineRule="exact"/>
        <w:ind w:firstLine="640" w:firstLineChars="200"/>
        <w:jc w:val="center"/>
        <w:outlineLvl w:val="0"/>
        <w:rPr>
          <w:rFonts w:hint="eastAsia" w:ascii="仿宋_GB2312" w:hAnsi="仿宋_GB2312" w:eastAsia="仿宋_GB2312" w:cs="仿宋_GB2312"/>
          <w:sz w:val="32"/>
          <w:szCs w:val="32"/>
          <w:lang w:val="en-US" w:eastAsia="zh-CN"/>
        </w:rPr>
      </w:pPr>
    </w:p>
    <w:p w14:paraId="3361BB21">
      <w:pPr>
        <w:spacing w:line="600" w:lineRule="exact"/>
        <w:ind w:firstLine="640" w:firstLineChars="200"/>
        <w:jc w:val="center"/>
        <w:outlineLvl w:val="0"/>
        <w:rPr>
          <w:rFonts w:hint="eastAsia" w:ascii="仿宋_GB2312" w:hAnsi="仿宋_GB2312" w:eastAsia="仿宋_GB2312" w:cs="仿宋_GB2312"/>
          <w:sz w:val="32"/>
          <w:szCs w:val="32"/>
          <w:lang w:val="en-US" w:eastAsia="zh-CN"/>
        </w:rPr>
      </w:pPr>
    </w:p>
    <w:p w14:paraId="4BED6B46">
      <w:pPr>
        <w:spacing w:line="600" w:lineRule="exact"/>
        <w:ind w:firstLine="2640" w:firstLineChars="600"/>
        <w:jc w:val="both"/>
        <w:outlineLvl w:val="0"/>
        <w:rPr>
          <w:rFonts w:hint="eastAsia" w:ascii="黑体" w:hAnsi="黑体" w:eastAsia="黑体" w:cs="Times New Roman"/>
          <w:color w:val="000000"/>
          <w:sz w:val="44"/>
          <w:szCs w:val="44"/>
        </w:rPr>
      </w:pPr>
    </w:p>
    <w:p w14:paraId="30692A46">
      <w:pPr>
        <w:spacing w:line="600" w:lineRule="exact"/>
        <w:ind w:firstLine="2640" w:firstLineChars="600"/>
        <w:jc w:val="both"/>
        <w:outlineLvl w:val="0"/>
        <w:rPr>
          <w:rFonts w:hint="eastAsia" w:ascii="黑体" w:hAnsi="黑体" w:eastAsia="黑体" w:cs="Times New Roman"/>
          <w:color w:val="000000"/>
          <w:sz w:val="44"/>
          <w:szCs w:val="44"/>
        </w:rPr>
      </w:pPr>
    </w:p>
    <w:p w14:paraId="775BE7C1">
      <w:pPr>
        <w:spacing w:line="600" w:lineRule="exact"/>
        <w:ind w:firstLine="2640" w:firstLineChars="600"/>
        <w:jc w:val="both"/>
        <w:outlineLvl w:val="0"/>
        <w:rPr>
          <w:rFonts w:hint="eastAsia" w:ascii="黑体" w:hAnsi="黑体" w:eastAsia="黑体" w:cs="Times New Roman"/>
          <w:color w:val="000000"/>
          <w:sz w:val="44"/>
          <w:szCs w:val="44"/>
          <w:lang w:eastAsia="zh-CN"/>
        </w:rPr>
      </w:pPr>
      <w:r>
        <w:rPr>
          <w:rFonts w:hint="eastAsia" w:ascii="黑体" w:hAnsi="黑体" w:eastAsia="黑体" w:cs="Times New Roman"/>
          <w:color w:val="000000"/>
          <w:sz w:val="44"/>
          <w:szCs w:val="44"/>
        </w:rPr>
        <w:t>第四部分 附件</w:t>
      </w:r>
      <w:bookmarkEnd w:id="59"/>
    </w:p>
    <w:p w14:paraId="366B03CA">
      <w:pPr>
        <w:spacing w:line="600" w:lineRule="exact"/>
        <w:jc w:val="both"/>
        <w:outlineLvl w:val="0"/>
        <w:rPr>
          <w:rFonts w:hint="eastAsia" w:ascii="黑体" w:hAnsi="黑体" w:eastAsia="黑体" w:cs="Times New Roman"/>
          <w:color w:val="000000"/>
          <w:sz w:val="44"/>
          <w:szCs w:val="44"/>
          <w:lang w:val="en-US" w:eastAsia="zh-CN"/>
        </w:rPr>
      </w:pPr>
      <w:r>
        <w:rPr>
          <w:rFonts w:hint="eastAsia" w:ascii="黑体" w:hAnsi="黑体" w:eastAsia="黑体" w:cs="Times New Roman"/>
          <w:color w:val="000000"/>
          <w:sz w:val="44"/>
          <w:szCs w:val="44"/>
        </w:rPr>
        <w:t>附件</w:t>
      </w:r>
      <w:r>
        <w:rPr>
          <w:rFonts w:hint="eastAsia" w:ascii="黑体" w:hAnsi="黑体" w:eastAsia="黑体" w:cs="Times New Roman"/>
          <w:color w:val="000000"/>
          <w:sz w:val="44"/>
          <w:szCs w:val="44"/>
          <w:lang w:val="en-US" w:eastAsia="zh-CN"/>
        </w:rPr>
        <w:t>1</w:t>
      </w:r>
    </w:p>
    <w:p w14:paraId="25D560CC">
      <w:pPr>
        <w:spacing w:line="600" w:lineRule="exact"/>
        <w:jc w:val="center"/>
        <w:outlineLvl w:val="0"/>
        <w:rPr>
          <w:rFonts w:hint="eastAsia" w:ascii="黑体" w:hAnsi="黑体" w:eastAsia="黑体" w:cs="Times New Roman"/>
          <w:color w:val="000000"/>
          <w:sz w:val="44"/>
          <w:szCs w:val="44"/>
        </w:rPr>
      </w:pPr>
    </w:p>
    <w:p w14:paraId="6EBF1311">
      <w:pPr>
        <w:spacing w:line="600" w:lineRule="exact"/>
        <w:jc w:val="center"/>
        <w:outlineLvl w:val="0"/>
        <w:rPr>
          <w:rFonts w:hint="eastAsia" w:ascii="黑体" w:hAnsi="黑体" w:eastAsia="黑体" w:cs="Times New Roman"/>
          <w:color w:val="000000"/>
          <w:sz w:val="44"/>
          <w:szCs w:val="44"/>
          <w:lang w:val="zh-CN"/>
        </w:rPr>
      </w:pPr>
      <w:r>
        <w:rPr>
          <w:rFonts w:hint="eastAsia" w:ascii="黑体" w:hAnsi="黑体" w:eastAsia="黑体" w:cs="Times New Roman"/>
          <w:color w:val="000000"/>
          <w:sz w:val="44"/>
          <w:szCs w:val="44"/>
          <w:lang w:val="zh-CN"/>
        </w:rPr>
        <w:t>广安市人民政府驻成都办事处</w:t>
      </w:r>
    </w:p>
    <w:p w14:paraId="283854FD">
      <w:pPr>
        <w:spacing w:line="600" w:lineRule="exact"/>
        <w:jc w:val="center"/>
        <w:outlineLvl w:val="0"/>
        <w:rPr>
          <w:rFonts w:hint="eastAsia" w:ascii="黑体" w:hAnsi="黑体" w:eastAsia="黑体" w:cs="Times New Roman"/>
          <w:color w:val="000000"/>
          <w:sz w:val="44"/>
          <w:szCs w:val="44"/>
          <w:lang w:val="zh-CN"/>
        </w:rPr>
      </w:pPr>
      <w:r>
        <w:rPr>
          <w:rFonts w:hint="eastAsia" w:ascii="黑体" w:hAnsi="黑体" w:eastAsia="黑体" w:cs="Times New Roman"/>
          <w:color w:val="000000"/>
          <w:sz w:val="44"/>
          <w:szCs w:val="44"/>
          <w:lang w:val="en-US" w:eastAsia="zh-CN"/>
        </w:rPr>
        <w:t>2021年</w:t>
      </w:r>
      <w:r>
        <w:rPr>
          <w:rFonts w:hint="eastAsia" w:ascii="黑体" w:hAnsi="黑体" w:eastAsia="黑体" w:cs="Times New Roman"/>
          <w:color w:val="000000"/>
          <w:sz w:val="44"/>
          <w:szCs w:val="44"/>
        </w:rPr>
        <w:t>部门整体绩效评价报告</w:t>
      </w:r>
    </w:p>
    <w:p w14:paraId="49927775">
      <w:pPr>
        <w:spacing w:line="600" w:lineRule="exact"/>
        <w:jc w:val="center"/>
        <w:outlineLvl w:val="0"/>
        <w:rPr>
          <w:rFonts w:hint="eastAsia" w:ascii="黑体" w:hAnsi="黑体" w:eastAsia="黑体" w:cs="Times New Roman"/>
          <w:color w:val="000000"/>
          <w:sz w:val="44"/>
          <w:szCs w:val="44"/>
        </w:rPr>
      </w:pPr>
    </w:p>
    <w:p w14:paraId="227D3EA6">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rPr>
        <w:t>一、</w:t>
      </w:r>
      <w:r>
        <w:rPr>
          <w:rFonts w:hint="eastAsia" w:ascii="黑体" w:hAnsi="宋体" w:eastAsia="黑体" w:cs="宋体"/>
          <w:color w:val="auto"/>
          <w:kern w:val="0"/>
          <w:sz w:val="32"/>
          <w:szCs w:val="32"/>
          <w:highlight w:val="none"/>
          <w:shd w:val="clear" w:color="auto" w:fill="FFFFFF"/>
          <w:lang w:val="zh-CN"/>
        </w:rPr>
        <w:t>部门（单位）概况</w:t>
      </w:r>
    </w:p>
    <w:p w14:paraId="19EF87F4">
      <w:pPr>
        <w:keepNext w:val="0"/>
        <w:keepLines w:val="0"/>
        <w:pageBreakBefore w:val="0"/>
        <w:widowControl/>
        <w:kinsoku/>
        <w:wordWrap/>
        <w:overflowPunct/>
        <w:topLinePunct w:val="0"/>
        <w:autoSpaceDE/>
        <w:autoSpaceDN/>
        <w:bidi w:val="0"/>
        <w:adjustRightInd w:val="0"/>
        <w:snapToGrid w:val="0"/>
        <w:spacing w:line="572" w:lineRule="exact"/>
        <w:ind w:firstLine="66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eastAsia="方正仿宋_GBK"/>
          <w:sz w:val="33"/>
          <w:szCs w:val="33"/>
          <w:lang w:val="zh-CN"/>
        </w:rPr>
        <w:t>（一）机构组成。</w:t>
      </w:r>
    </w:p>
    <w:p w14:paraId="6EE1C2EA">
      <w:pPr>
        <w:adjustRightInd w:val="0"/>
        <w:snapToGrid w:val="0"/>
        <w:spacing w:line="590" w:lineRule="exact"/>
        <w:ind w:firstLine="660" w:firstLineChars="200"/>
        <w:rPr>
          <w:rFonts w:eastAsia="方正仿宋_GBK"/>
          <w:sz w:val="33"/>
          <w:szCs w:val="33"/>
        </w:rPr>
      </w:pPr>
      <w:r>
        <w:rPr>
          <w:rFonts w:eastAsia="方正仿宋_GBK"/>
          <w:sz w:val="33"/>
          <w:szCs w:val="33"/>
        </w:rPr>
        <w:t>驻蓉办是参照公务员法管理的事业单位，下设业务科、投资促进科、综合科三个科室。</w:t>
      </w:r>
    </w:p>
    <w:p w14:paraId="6273C0D8">
      <w:pPr>
        <w:adjustRightInd w:val="0"/>
        <w:snapToGrid w:val="0"/>
        <w:spacing w:line="590" w:lineRule="exact"/>
        <w:ind w:firstLine="660" w:firstLineChars="200"/>
        <w:rPr>
          <w:rFonts w:eastAsia="方正仿宋_GBK"/>
          <w:sz w:val="33"/>
          <w:szCs w:val="33"/>
        </w:rPr>
      </w:pPr>
      <w:r>
        <w:rPr>
          <w:rFonts w:eastAsia="方正仿宋_GBK"/>
          <w:sz w:val="33"/>
          <w:szCs w:val="33"/>
        </w:rPr>
        <w:t>驻蓉办下属二级单位0个，其中行政单位0个，参照公务员法管理的事业单位</w:t>
      </w:r>
      <w:r>
        <w:rPr>
          <w:rFonts w:eastAsia="方正仿宋_GBK"/>
          <w:bCs/>
          <w:sz w:val="33"/>
          <w:szCs w:val="33"/>
        </w:rPr>
        <w:t>0</w:t>
      </w:r>
      <w:r>
        <w:rPr>
          <w:rFonts w:eastAsia="方正仿宋_GBK"/>
          <w:sz w:val="33"/>
          <w:szCs w:val="33"/>
        </w:rPr>
        <w:t>个，其他事业单位0个。</w:t>
      </w:r>
    </w:p>
    <w:p w14:paraId="218FD93B">
      <w:pPr>
        <w:adjustRightInd w:val="0"/>
        <w:snapToGrid w:val="0"/>
        <w:spacing w:line="590" w:lineRule="exact"/>
        <w:ind w:firstLine="660" w:firstLineChars="200"/>
        <w:rPr>
          <w:rFonts w:eastAsia="方正仿宋_GBK"/>
          <w:sz w:val="33"/>
          <w:szCs w:val="33"/>
        </w:rPr>
      </w:pPr>
      <w:r>
        <w:rPr>
          <w:rFonts w:eastAsia="方正仿宋_GBK"/>
          <w:color w:val="000000"/>
          <w:sz w:val="33"/>
          <w:szCs w:val="33"/>
        </w:rPr>
        <w:t>纳入</w:t>
      </w:r>
      <w:r>
        <w:rPr>
          <w:rFonts w:eastAsia="方正仿宋_GBK"/>
          <w:sz w:val="33"/>
          <w:szCs w:val="33"/>
        </w:rPr>
        <w:t>驻蓉办</w:t>
      </w:r>
      <w:r>
        <w:rPr>
          <w:rFonts w:eastAsia="方正仿宋_GBK"/>
          <w:color w:val="000000"/>
          <w:sz w:val="33"/>
          <w:szCs w:val="33"/>
        </w:rPr>
        <w:t>20</w:t>
      </w:r>
      <w:r>
        <w:rPr>
          <w:rFonts w:hint="eastAsia" w:eastAsia="方正仿宋_GBK"/>
          <w:color w:val="000000"/>
          <w:sz w:val="33"/>
          <w:szCs w:val="33"/>
        </w:rPr>
        <w:t>20</w:t>
      </w:r>
      <w:r>
        <w:rPr>
          <w:rFonts w:eastAsia="方正仿宋_GBK"/>
          <w:color w:val="000000"/>
          <w:sz w:val="33"/>
          <w:szCs w:val="33"/>
        </w:rPr>
        <w:t>年度部门决算编制范围的二级预算单位0个。</w:t>
      </w:r>
    </w:p>
    <w:p w14:paraId="1A90763A">
      <w:pPr>
        <w:adjustRightInd w:val="0"/>
        <w:snapToGrid w:val="0"/>
        <w:spacing w:line="590" w:lineRule="exact"/>
        <w:ind w:firstLine="663" w:firstLineChars="200"/>
        <w:contextualSpacing/>
        <w:rPr>
          <w:rFonts w:ascii="方正楷体_GBK" w:hAnsi="方正楷体_GBK" w:eastAsia="方正楷体_GBK" w:cs="方正楷体_GBK"/>
          <w:b/>
          <w:bCs/>
          <w:color w:val="000000"/>
          <w:kern w:val="0"/>
          <w:sz w:val="33"/>
          <w:szCs w:val="33"/>
          <w:shd w:val="clear" w:color="auto" w:fill="FFFFFF"/>
          <w:lang w:val="zh-CN"/>
        </w:rPr>
      </w:pPr>
      <w:r>
        <w:rPr>
          <w:rFonts w:hint="eastAsia" w:ascii="方正楷体_GBK" w:hAnsi="方正楷体_GBK" w:eastAsia="方正楷体_GBK" w:cs="方正楷体_GBK"/>
          <w:b/>
          <w:bCs/>
          <w:color w:val="000000"/>
          <w:kern w:val="0"/>
          <w:sz w:val="33"/>
          <w:szCs w:val="33"/>
          <w:shd w:val="clear" w:color="auto" w:fill="FFFFFF"/>
          <w:lang w:val="zh-CN"/>
        </w:rPr>
        <w:t>（二）</w:t>
      </w:r>
      <w:r>
        <w:rPr>
          <w:rFonts w:ascii="方正楷体_GBK" w:hAnsi="方正楷体_GBK" w:eastAsia="方正楷体_GBK" w:cs="方正楷体_GBK"/>
          <w:b/>
          <w:bCs/>
          <w:color w:val="000000"/>
          <w:kern w:val="0"/>
          <w:sz w:val="33"/>
          <w:szCs w:val="33"/>
          <w:shd w:val="clear" w:color="auto" w:fill="FFFFFF"/>
          <w:lang w:val="zh-CN"/>
        </w:rPr>
        <w:t>机构职能</w:t>
      </w:r>
    </w:p>
    <w:p w14:paraId="4A01DE4F">
      <w:pPr>
        <w:adjustRightInd w:val="0"/>
        <w:snapToGrid w:val="0"/>
        <w:spacing w:line="590" w:lineRule="exact"/>
        <w:ind w:firstLine="660" w:firstLineChars="200"/>
        <w:rPr>
          <w:rFonts w:hint="eastAsia" w:ascii="Times New Roman" w:hAnsi="Times New Roman" w:eastAsia="方正仿宋_GBK" w:cs="Times New Roman"/>
          <w:sz w:val="33"/>
          <w:szCs w:val="33"/>
          <w:lang w:val="zh-CN"/>
        </w:rPr>
      </w:pPr>
      <w:r>
        <w:rPr>
          <w:rFonts w:hint="eastAsia" w:ascii="Times New Roman" w:hAnsi="Times New Roman" w:eastAsia="方正仿宋_GBK" w:cs="Times New Roman"/>
          <w:sz w:val="33"/>
          <w:szCs w:val="33"/>
          <w:lang w:val="zh-CN"/>
        </w:rPr>
        <w:t>1、加强与省级各部门，党委、政府及相关部门的联系和沟通，宣传介绍广安的政治、经济和文化情况，促进地区之间了解和友好往来。</w:t>
      </w:r>
    </w:p>
    <w:p w14:paraId="24CDCA30">
      <w:pPr>
        <w:adjustRightInd w:val="0"/>
        <w:snapToGrid w:val="0"/>
        <w:spacing w:line="590" w:lineRule="exact"/>
        <w:ind w:firstLine="660" w:firstLineChars="200"/>
        <w:rPr>
          <w:rFonts w:hint="eastAsia" w:ascii="Times New Roman" w:hAnsi="Times New Roman" w:eastAsia="方正仿宋_GBK" w:cs="Times New Roman"/>
          <w:sz w:val="33"/>
          <w:szCs w:val="33"/>
          <w:lang w:val="zh-CN"/>
        </w:rPr>
      </w:pPr>
      <w:r>
        <w:rPr>
          <w:rFonts w:hint="eastAsia" w:ascii="Times New Roman" w:hAnsi="Times New Roman" w:eastAsia="方正仿宋_GBK" w:cs="Times New Roman"/>
          <w:sz w:val="33"/>
          <w:szCs w:val="33"/>
          <w:lang w:val="zh-CN"/>
        </w:rPr>
        <w:t>2、负责收集招商引资信息，搭建招商引资平台，拓展我市对外开放的领域和途径，参与全市在蓉开展的各类经贸活动并做好组织协调及服务工作。</w:t>
      </w:r>
    </w:p>
    <w:p w14:paraId="47DC0C27">
      <w:pPr>
        <w:adjustRightInd w:val="0"/>
        <w:snapToGrid w:val="0"/>
        <w:spacing w:line="590" w:lineRule="exact"/>
        <w:ind w:firstLine="660" w:firstLineChars="200"/>
        <w:rPr>
          <w:rFonts w:hint="eastAsia" w:ascii="Times New Roman" w:hAnsi="Times New Roman" w:eastAsia="方正仿宋_GBK" w:cs="Times New Roman"/>
          <w:sz w:val="33"/>
          <w:szCs w:val="33"/>
          <w:lang w:val="zh-CN"/>
        </w:rPr>
      </w:pPr>
      <w:r>
        <w:rPr>
          <w:rFonts w:hint="eastAsia" w:ascii="Times New Roman" w:hAnsi="Times New Roman" w:eastAsia="方正仿宋_GBK" w:cs="Times New Roman"/>
          <w:sz w:val="33"/>
          <w:szCs w:val="33"/>
          <w:lang w:val="zh-CN"/>
        </w:rPr>
        <w:t>3、投资促进职责。</w:t>
      </w:r>
    </w:p>
    <w:p w14:paraId="4CB19B18">
      <w:pPr>
        <w:adjustRightInd w:val="0"/>
        <w:snapToGrid w:val="0"/>
        <w:spacing w:line="590" w:lineRule="exact"/>
        <w:ind w:firstLine="660" w:firstLineChars="200"/>
        <w:rPr>
          <w:rFonts w:hint="eastAsia" w:ascii="Times New Roman" w:hAnsi="Times New Roman" w:eastAsia="方正仿宋_GBK" w:cs="Times New Roman"/>
          <w:sz w:val="33"/>
          <w:szCs w:val="33"/>
          <w:lang w:val="zh-CN"/>
        </w:rPr>
      </w:pPr>
      <w:r>
        <w:rPr>
          <w:rFonts w:hint="eastAsia" w:ascii="Times New Roman" w:hAnsi="Times New Roman" w:eastAsia="方正仿宋_GBK" w:cs="Times New Roman"/>
          <w:sz w:val="33"/>
          <w:szCs w:val="33"/>
          <w:lang w:val="zh-CN"/>
        </w:rPr>
        <w:t>4、负责市委（含组纪宣）、市人大、市政府、市政协领导来蓉的政务协调和服务保障工作，为市级各部门和区（市）县在蓉开展公务活动提供咨询服务和工作方便。</w:t>
      </w:r>
    </w:p>
    <w:p w14:paraId="4461B57D">
      <w:pPr>
        <w:adjustRightInd w:val="0"/>
        <w:snapToGrid w:val="0"/>
        <w:spacing w:line="590" w:lineRule="exact"/>
        <w:ind w:firstLine="660" w:firstLineChars="200"/>
        <w:rPr>
          <w:rFonts w:hint="eastAsia" w:ascii="Times New Roman" w:hAnsi="Times New Roman" w:eastAsia="方正仿宋_GBK" w:cs="Times New Roman"/>
          <w:sz w:val="33"/>
          <w:szCs w:val="33"/>
          <w:lang w:val="zh-CN"/>
        </w:rPr>
      </w:pPr>
      <w:r>
        <w:rPr>
          <w:rFonts w:hint="eastAsia" w:ascii="Times New Roman" w:hAnsi="Times New Roman" w:eastAsia="方正仿宋_GBK" w:cs="Times New Roman"/>
          <w:sz w:val="33"/>
          <w:szCs w:val="33"/>
          <w:lang w:val="zh-CN"/>
        </w:rPr>
        <w:t>5、协助区（市）县和市级相关部门处理赴省上访人员的劝返和息诉息访工作。</w:t>
      </w:r>
    </w:p>
    <w:p w14:paraId="7375816D">
      <w:pPr>
        <w:adjustRightInd w:val="0"/>
        <w:snapToGrid w:val="0"/>
        <w:spacing w:line="590" w:lineRule="exact"/>
        <w:ind w:firstLine="660" w:firstLineChars="200"/>
        <w:rPr>
          <w:rFonts w:hint="eastAsia" w:ascii="Times New Roman" w:hAnsi="Times New Roman" w:eastAsia="方正仿宋_GBK" w:cs="Times New Roman"/>
          <w:sz w:val="33"/>
          <w:szCs w:val="33"/>
          <w:lang w:val="zh-CN"/>
        </w:rPr>
      </w:pPr>
      <w:r>
        <w:rPr>
          <w:rFonts w:hint="eastAsia" w:ascii="Times New Roman" w:hAnsi="Times New Roman" w:eastAsia="方正仿宋_GBK" w:cs="Times New Roman"/>
          <w:sz w:val="33"/>
          <w:szCs w:val="33"/>
          <w:lang w:val="zh-CN"/>
        </w:rPr>
        <w:t>6、负责在蓉广安籍流动党员的教育管理工作。</w:t>
      </w:r>
    </w:p>
    <w:p w14:paraId="1CC1517E">
      <w:pPr>
        <w:adjustRightInd w:val="0"/>
        <w:snapToGrid w:val="0"/>
        <w:spacing w:line="590" w:lineRule="exact"/>
        <w:ind w:firstLine="660" w:firstLineChars="200"/>
        <w:rPr>
          <w:rFonts w:hint="eastAsia" w:ascii="Times New Roman" w:hAnsi="Times New Roman" w:eastAsia="方正仿宋_GBK" w:cs="Times New Roman"/>
          <w:sz w:val="33"/>
          <w:szCs w:val="33"/>
          <w:lang w:val="zh-CN"/>
        </w:rPr>
      </w:pPr>
      <w:r>
        <w:rPr>
          <w:rFonts w:hint="eastAsia" w:ascii="Times New Roman" w:hAnsi="Times New Roman" w:eastAsia="方正仿宋_GBK" w:cs="Times New Roman"/>
          <w:sz w:val="33"/>
          <w:szCs w:val="33"/>
          <w:lang w:val="zh-CN"/>
        </w:rPr>
        <w:t>7、承办市委、市政府交办的其他事宜。</w:t>
      </w:r>
    </w:p>
    <w:p w14:paraId="1A9117BD">
      <w:pPr>
        <w:adjustRightInd w:val="0"/>
        <w:snapToGrid w:val="0"/>
        <w:spacing w:line="590" w:lineRule="exact"/>
        <w:ind w:firstLine="663" w:firstLineChars="200"/>
        <w:contextualSpacing/>
        <w:rPr>
          <w:rFonts w:ascii="方正楷体_GBK" w:hAnsi="方正楷体_GBK" w:eastAsia="方正楷体_GBK" w:cs="方正楷体_GBK"/>
          <w:b/>
          <w:bCs/>
          <w:color w:val="000000"/>
          <w:kern w:val="0"/>
          <w:sz w:val="33"/>
          <w:szCs w:val="33"/>
          <w:shd w:val="clear" w:color="auto" w:fill="FFFFFF"/>
          <w:lang w:val="zh-CN"/>
        </w:rPr>
      </w:pPr>
      <w:r>
        <w:rPr>
          <w:rFonts w:hint="eastAsia" w:ascii="方正楷体_GBK" w:hAnsi="方正楷体_GBK" w:eastAsia="方正楷体_GBK" w:cs="方正楷体_GBK"/>
          <w:b/>
          <w:bCs/>
          <w:color w:val="000000"/>
          <w:kern w:val="0"/>
          <w:sz w:val="33"/>
          <w:szCs w:val="33"/>
          <w:shd w:val="clear" w:color="auto" w:fill="FFFFFF"/>
          <w:lang w:val="zh-CN"/>
        </w:rPr>
        <w:t>（三）人员概况</w:t>
      </w:r>
    </w:p>
    <w:p w14:paraId="5730D4DB">
      <w:pPr>
        <w:adjustRightInd w:val="0"/>
        <w:snapToGrid w:val="0"/>
        <w:spacing w:line="590" w:lineRule="exact"/>
        <w:ind w:firstLine="660" w:firstLineChars="200"/>
        <w:rPr>
          <w:rFonts w:hint="eastAsia" w:ascii="Times New Roman" w:hAnsi="Times New Roman" w:eastAsia="方正仿宋_GBK" w:cs="Times New Roman"/>
          <w:sz w:val="33"/>
          <w:szCs w:val="33"/>
          <w:lang w:val="zh-CN"/>
        </w:rPr>
      </w:pPr>
      <w:r>
        <w:rPr>
          <w:rFonts w:hint="eastAsia" w:ascii="Times New Roman" w:hAnsi="Times New Roman" w:eastAsia="方正仿宋_GBK" w:cs="Times New Roman"/>
          <w:sz w:val="33"/>
          <w:szCs w:val="33"/>
          <w:lang w:val="zh-CN"/>
        </w:rPr>
        <w:t>驻蓉办年末实有人数10人，其中参照公务员法管理人员9人，自收自支人员1人,与2020年减少了1人。</w:t>
      </w:r>
    </w:p>
    <w:p w14:paraId="754EBB39">
      <w:pPr>
        <w:pStyle w:val="8"/>
        <w:rPr>
          <w:lang w:val="zh-CN"/>
        </w:rPr>
      </w:pPr>
    </w:p>
    <w:p w14:paraId="293E0275">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二、部门财政资金收支情况</w:t>
      </w:r>
    </w:p>
    <w:p w14:paraId="4F73DC13">
      <w:pPr>
        <w:adjustRightInd w:val="0"/>
        <w:snapToGrid w:val="0"/>
        <w:spacing w:line="590" w:lineRule="exact"/>
        <w:ind w:firstLine="640" w:firstLineChars="200"/>
        <w:rPr>
          <w:rFonts w:hint="eastAsia" w:ascii="Times New Roman" w:hAnsi="Times New Roman" w:eastAsia="方正仿宋_GBK" w:cs="Times New Roman"/>
          <w:sz w:val="33"/>
          <w:szCs w:val="33"/>
          <w:lang w:val="zh-CN"/>
        </w:rPr>
      </w:pPr>
      <w:r>
        <w:rPr>
          <w:rFonts w:hint="eastAsia" w:ascii="仿宋_GB2312" w:hAnsi="宋体" w:eastAsia="仿宋_GB2312" w:cs="宋体"/>
          <w:color w:val="auto"/>
          <w:kern w:val="0"/>
          <w:sz w:val="32"/>
          <w:szCs w:val="32"/>
          <w:highlight w:val="none"/>
          <w:shd w:val="clear" w:color="auto" w:fill="FFFFFF"/>
          <w:lang w:val="zh-CN"/>
        </w:rPr>
        <w:t>（</w:t>
      </w:r>
      <w:r>
        <w:rPr>
          <w:rFonts w:hint="eastAsia" w:ascii="Times New Roman" w:hAnsi="Times New Roman" w:eastAsia="方正仿宋_GBK" w:cs="Times New Roman"/>
          <w:sz w:val="33"/>
          <w:szCs w:val="33"/>
          <w:lang w:val="zh-CN"/>
        </w:rPr>
        <w:t>一）部门财政资金收入情况。</w:t>
      </w:r>
    </w:p>
    <w:p w14:paraId="113C21AB">
      <w:pPr>
        <w:adjustRightInd w:val="0"/>
        <w:snapToGrid w:val="0"/>
        <w:spacing w:line="590" w:lineRule="exact"/>
        <w:ind w:firstLine="660" w:firstLineChars="200"/>
        <w:rPr>
          <w:rFonts w:hint="eastAsia" w:ascii="Times New Roman" w:hAnsi="Times New Roman" w:eastAsia="方正仿宋_GBK" w:cs="Times New Roman"/>
          <w:sz w:val="33"/>
          <w:szCs w:val="33"/>
          <w:lang w:val="zh-CN"/>
        </w:rPr>
      </w:pPr>
      <w:r>
        <w:rPr>
          <w:rFonts w:hint="eastAsia" w:ascii="Times New Roman" w:hAnsi="Times New Roman" w:eastAsia="方正仿宋_GBK" w:cs="Times New Roman"/>
          <w:sz w:val="33"/>
          <w:szCs w:val="33"/>
          <w:lang w:val="zh-CN"/>
        </w:rPr>
        <w:t>202</w:t>
      </w:r>
      <w:r>
        <w:rPr>
          <w:rFonts w:hint="eastAsia" w:ascii="Times New Roman" w:hAnsi="Times New Roman" w:eastAsia="方正仿宋_GBK" w:cs="Times New Roman"/>
          <w:sz w:val="33"/>
          <w:szCs w:val="33"/>
          <w:lang w:val="en-US" w:eastAsia="zh-CN"/>
        </w:rPr>
        <w:t>1</w:t>
      </w:r>
      <w:r>
        <w:rPr>
          <w:rFonts w:hint="eastAsia" w:ascii="Times New Roman" w:hAnsi="Times New Roman" w:eastAsia="方正仿宋_GBK" w:cs="Times New Roman"/>
          <w:sz w:val="33"/>
          <w:szCs w:val="33"/>
          <w:lang w:val="zh-CN"/>
        </w:rPr>
        <w:t>年市驻蓉办决算收入数为</w:t>
      </w:r>
      <w:r>
        <w:rPr>
          <w:rFonts w:hint="eastAsia" w:ascii="Times New Roman" w:hAnsi="Times New Roman" w:eastAsia="方正仿宋_GBK" w:cs="Times New Roman"/>
          <w:sz w:val="33"/>
          <w:szCs w:val="33"/>
          <w:lang w:val="en-US" w:eastAsia="zh-CN"/>
        </w:rPr>
        <w:t>298.73</w:t>
      </w:r>
      <w:r>
        <w:rPr>
          <w:rFonts w:hint="eastAsia" w:ascii="Times New Roman" w:hAnsi="Times New Roman" w:eastAsia="方正仿宋_GBK" w:cs="Times New Roman"/>
          <w:sz w:val="33"/>
          <w:szCs w:val="33"/>
          <w:lang w:val="zh-CN"/>
        </w:rPr>
        <w:t>万元。</w:t>
      </w:r>
    </w:p>
    <w:p w14:paraId="1C4EFB5C">
      <w:pPr>
        <w:adjustRightInd w:val="0"/>
        <w:snapToGrid w:val="0"/>
        <w:spacing w:line="590" w:lineRule="exact"/>
        <w:ind w:firstLine="660" w:firstLineChars="200"/>
        <w:rPr>
          <w:rFonts w:hint="eastAsia" w:ascii="Times New Roman" w:hAnsi="Times New Roman" w:eastAsia="方正仿宋_GBK" w:cs="Times New Roman"/>
          <w:sz w:val="33"/>
          <w:szCs w:val="33"/>
          <w:lang w:val="zh-CN"/>
        </w:rPr>
      </w:pPr>
      <w:r>
        <w:rPr>
          <w:rFonts w:hint="eastAsia" w:eastAsia="方正仿宋_GBK" w:cs="Times New Roman"/>
          <w:sz w:val="33"/>
          <w:szCs w:val="33"/>
          <w:lang w:val="zh-CN"/>
        </w:rPr>
        <w:t>（二）</w:t>
      </w:r>
      <w:r>
        <w:rPr>
          <w:rFonts w:hint="eastAsia" w:ascii="Times New Roman" w:hAnsi="Times New Roman" w:eastAsia="方正仿宋_GBK" w:cs="Times New Roman"/>
          <w:sz w:val="33"/>
          <w:szCs w:val="33"/>
          <w:lang w:val="zh-CN"/>
        </w:rPr>
        <w:t>部门财政资金支出情况。</w:t>
      </w:r>
    </w:p>
    <w:p w14:paraId="07FBFF09">
      <w:pPr>
        <w:adjustRightInd w:val="0"/>
        <w:snapToGrid w:val="0"/>
        <w:spacing w:line="590" w:lineRule="exact"/>
        <w:ind w:firstLine="660" w:firstLineChars="200"/>
        <w:rPr>
          <w:rFonts w:ascii="仿宋_GB2312" w:hAnsi="宋体" w:eastAsia="仿宋_GB2312" w:cs="宋体"/>
          <w:color w:val="auto"/>
          <w:kern w:val="0"/>
          <w:sz w:val="32"/>
          <w:szCs w:val="32"/>
          <w:highlight w:val="none"/>
          <w:shd w:val="clear" w:color="auto" w:fill="FFFFFF"/>
          <w:lang w:val="zh-CN"/>
        </w:rPr>
      </w:pPr>
      <w:r>
        <w:rPr>
          <w:rFonts w:hint="eastAsia" w:ascii="Times New Roman" w:hAnsi="Times New Roman" w:eastAsia="方正仿宋_GBK" w:cs="Times New Roman"/>
          <w:sz w:val="33"/>
          <w:szCs w:val="33"/>
          <w:lang w:val="zh-CN"/>
        </w:rPr>
        <w:t>202</w:t>
      </w:r>
      <w:r>
        <w:rPr>
          <w:rFonts w:hint="eastAsia" w:ascii="Times New Roman" w:hAnsi="Times New Roman" w:eastAsia="方正仿宋_GBK" w:cs="Times New Roman"/>
          <w:sz w:val="33"/>
          <w:szCs w:val="33"/>
          <w:lang w:val="en-US" w:eastAsia="zh-CN"/>
        </w:rPr>
        <w:t>1</w:t>
      </w:r>
      <w:r>
        <w:rPr>
          <w:rFonts w:hint="eastAsia" w:ascii="Times New Roman" w:hAnsi="Times New Roman" w:eastAsia="方正仿宋_GBK" w:cs="Times New Roman"/>
          <w:sz w:val="33"/>
          <w:szCs w:val="33"/>
          <w:lang w:val="zh-CN"/>
        </w:rPr>
        <w:t>年市驻蓉办决算支出数为</w:t>
      </w:r>
      <w:r>
        <w:rPr>
          <w:rFonts w:hint="eastAsia" w:ascii="Times New Roman" w:hAnsi="Times New Roman" w:eastAsia="方正仿宋_GBK" w:cs="Times New Roman"/>
          <w:sz w:val="33"/>
          <w:szCs w:val="33"/>
          <w:lang w:val="en-US" w:eastAsia="zh-CN"/>
        </w:rPr>
        <w:t>243.86</w:t>
      </w:r>
      <w:r>
        <w:rPr>
          <w:rFonts w:hint="eastAsia" w:ascii="Times New Roman" w:hAnsi="Times New Roman" w:eastAsia="方正仿宋_GBK" w:cs="Times New Roman"/>
          <w:sz w:val="33"/>
          <w:szCs w:val="33"/>
          <w:lang w:val="zh-CN"/>
        </w:rPr>
        <w:t>万元。</w:t>
      </w:r>
    </w:p>
    <w:p w14:paraId="27BC60E0">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yellow"/>
          <w:shd w:val="clear" w:color="auto" w:fill="FFFFFF"/>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部门整体预算绩效管理情况</w:t>
      </w:r>
    </w:p>
    <w:p w14:paraId="39BC195E">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（一）部门预算绩效管理。</w:t>
      </w:r>
    </w:p>
    <w:p w14:paraId="3EA58C27">
      <w:pPr>
        <w:adjustRightInd w:val="0"/>
        <w:snapToGrid w:val="0"/>
        <w:spacing w:line="590" w:lineRule="exact"/>
        <w:ind w:firstLine="660" w:firstLineChars="200"/>
        <w:rPr>
          <w:rFonts w:eastAsia="方正仿宋_GBK"/>
          <w:sz w:val="33"/>
          <w:szCs w:val="33"/>
        </w:rPr>
      </w:pPr>
      <w:r>
        <w:rPr>
          <w:rFonts w:eastAsia="方正仿宋_GBK"/>
          <w:sz w:val="33"/>
          <w:szCs w:val="33"/>
        </w:rPr>
        <w:t>驻蓉办在科学合理、厉行节约的原则上编制预算，因此，预算编制的质量和水平逐年提高，既能使驻蓉办保持正常的机构运转，又能让绩效目标得到实现。202</w:t>
      </w:r>
      <w:r>
        <w:rPr>
          <w:rFonts w:hint="eastAsia" w:eastAsia="方正仿宋_GBK"/>
          <w:sz w:val="33"/>
          <w:szCs w:val="33"/>
          <w:lang w:val="en-US" w:eastAsia="zh-CN"/>
        </w:rPr>
        <w:t>1</w:t>
      </w:r>
      <w:r>
        <w:rPr>
          <w:rFonts w:eastAsia="方正仿宋_GBK"/>
          <w:sz w:val="33"/>
          <w:szCs w:val="33"/>
        </w:rPr>
        <w:t>年无专项转移支付情况。</w:t>
      </w:r>
    </w:p>
    <w:p w14:paraId="12E90823">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（二）结果应用情况。</w:t>
      </w:r>
    </w:p>
    <w:p w14:paraId="22985DA2">
      <w:pPr>
        <w:adjustRightInd w:val="0"/>
        <w:snapToGrid w:val="0"/>
        <w:spacing w:line="590" w:lineRule="exact"/>
        <w:ind w:firstLine="660" w:firstLineChars="20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驻蓉办对招商引资专项业务项目开展了绩效评价，市驻蓉办在2021年度中，充分发挥地域优势，强化内部职能，严格执行八项规定，厉行节约，大力开展招商引资工作，助力推动广安高质量发展，取得了良好的社会效益。</w:t>
      </w:r>
    </w:p>
    <w:p w14:paraId="111E699C">
      <w:pPr>
        <w:adjustRightInd w:val="0"/>
        <w:snapToGrid w:val="0"/>
        <w:spacing w:line="590" w:lineRule="exact"/>
        <w:ind w:firstLine="660" w:firstLineChars="20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2021年度驻蓉办在信访维稳专项工作中，深入分析研判信访形势，提前做好应对，坚持了早发现、早报告、早控制的“三早”预警处理机制。工作人员冷静应对，耐心说服，热情处理好每件信访工作，专款专用信访经费，有效保障了省市重大会议、商务活动等的顺利开展，维护了社会和谐稳定，取得了良好的社会效益。</w:t>
      </w:r>
    </w:p>
    <w:p w14:paraId="614133E4">
      <w:pPr>
        <w:adjustRightInd w:val="0"/>
        <w:snapToGrid w:val="0"/>
        <w:spacing w:line="590" w:lineRule="exact"/>
        <w:ind w:firstLine="660" w:firstLineChars="20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（三）自评质量。</w:t>
      </w:r>
    </w:p>
    <w:p w14:paraId="4AB7BAD0">
      <w:pPr>
        <w:adjustRightInd w:val="0"/>
        <w:snapToGrid w:val="0"/>
        <w:spacing w:line="590" w:lineRule="exact"/>
        <w:ind w:firstLine="660" w:firstLineChars="200"/>
        <w:rPr>
          <w:lang w:val="zh-CN"/>
        </w:rPr>
      </w:pPr>
      <w:r>
        <w:rPr>
          <w:rFonts w:hint="eastAsia" w:ascii="Times New Roman" w:hAnsi="Times New Roman" w:eastAsia="方正仿宋_GBK" w:cs="Times New Roman"/>
          <w:sz w:val="33"/>
          <w:szCs w:val="33"/>
          <w:lang w:val="zh-CN" w:eastAsia="zh-CN"/>
        </w:rPr>
        <w:t>参照评价标准对部门自评进行抽查，自评质量较高。</w:t>
      </w:r>
    </w:p>
    <w:p w14:paraId="18D1B01E">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14:paraId="6C70D6AF">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（一）评价结论。</w:t>
      </w:r>
    </w:p>
    <w:p w14:paraId="55E47E48">
      <w:pPr>
        <w:adjustRightInd w:val="0"/>
        <w:snapToGrid w:val="0"/>
        <w:spacing w:line="590" w:lineRule="exact"/>
        <w:ind w:firstLine="660" w:firstLineChars="200"/>
        <w:rPr>
          <w:rFonts w:hint="eastAsia"/>
          <w:lang w:val="zh-CN"/>
        </w:rPr>
      </w:pPr>
      <w:r>
        <w:rPr>
          <w:rFonts w:eastAsia="方正仿宋_GBK"/>
          <w:kern w:val="0"/>
          <w:sz w:val="33"/>
          <w:szCs w:val="33"/>
        </w:rPr>
        <w:t>202</w:t>
      </w:r>
      <w:r>
        <w:rPr>
          <w:rFonts w:hint="eastAsia" w:eastAsia="方正仿宋_GBK"/>
          <w:kern w:val="0"/>
          <w:sz w:val="33"/>
          <w:szCs w:val="33"/>
          <w:lang w:val="en-US" w:eastAsia="zh-CN"/>
        </w:rPr>
        <w:t>1</w:t>
      </w:r>
      <w:r>
        <w:rPr>
          <w:rFonts w:eastAsia="方正仿宋_GBK"/>
          <w:kern w:val="0"/>
          <w:sz w:val="33"/>
          <w:szCs w:val="33"/>
        </w:rPr>
        <w:t>年，驻蓉办将部门整体支出绩效评价作为财政预算资金使用管理的一项重要工作，切实加强预算收支管理，全面梳理内部管理流程，建立健全内部管理制度，有效提升了部门整体支出管理水平。根据部门整体支出绩效评价指标体系，驻蓉办202</w:t>
      </w:r>
      <w:r>
        <w:rPr>
          <w:rFonts w:hint="eastAsia" w:eastAsia="方正仿宋_GBK"/>
          <w:kern w:val="0"/>
          <w:sz w:val="33"/>
          <w:szCs w:val="33"/>
          <w:lang w:val="en-US" w:eastAsia="zh-CN"/>
        </w:rPr>
        <w:t>1</w:t>
      </w:r>
      <w:r>
        <w:rPr>
          <w:rFonts w:eastAsia="方正仿宋_GBK"/>
          <w:kern w:val="0"/>
          <w:sz w:val="33"/>
          <w:szCs w:val="33"/>
        </w:rPr>
        <w:t>年</w:t>
      </w:r>
      <w:r>
        <w:rPr>
          <w:rFonts w:eastAsia="方正仿宋_GBK"/>
          <w:color w:val="000000"/>
          <w:sz w:val="33"/>
          <w:szCs w:val="33"/>
        </w:rPr>
        <w:t>作出的自评结果为</w:t>
      </w:r>
      <w:r>
        <w:rPr>
          <w:rFonts w:hint="eastAsia" w:eastAsia="方正仿宋_GBK"/>
          <w:color w:val="000000"/>
          <w:sz w:val="33"/>
          <w:szCs w:val="33"/>
          <w:lang w:eastAsia="zh-CN"/>
        </w:rPr>
        <w:t>较好</w:t>
      </w:r>
      <w:r>
        <w:rPr>
          <w:rFonts w:eastAsia="方正仿宋_GBK"/>
          <w:color w:val="000000"/>
          <w:sz w:val="33"/>
          <w:szCs w:val="33"/>
        </w:rPr>
        <w:t>。</w:t>
      </w:r>
    </w:p>
    <w:p w14:paraId="57B489DD">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left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（二）存在问题。</w:t>
      </w:r>
    </w:p>
    <w:p w14:paraId="54F86A4A">
      <w:pPr>
        <w:adjustRightInd w:val="0"/>
        <w:snapToGrid w:val="0"/>
        <w:spacing w:line="590" w:lineRule="exact"/>
        <w:ind w:firstLine="660" w:firstLineChars="200"/>
        <w:rPr>
          <w:rFonts w:ascii="Times New Roman" w:hAnsi="Times New Roman" w:eastAsia="方正仿宋_GBK" w:cs="Times New Roman"/>
          <w:kern w:val="0"/>
          <w:sz w:val="33"/>
          <w:szCs w:val="33"/>
        </w:rPr>
      </w:pPr>
      <w:r>
        <w:rPr>
          <w:rFonts w:hint="eastAsia" w:ascii="Times New Roman" w:hAnsi="Times New Roman" w:eastAsia="方正仿宋_GBK" w:cs="Times New Roman"/>
          <w:kern w:val="0"/>
          <w:sz w:val="33"/>
          <w:szCs w:val="33"/>
        </w:rPr>
        <w:t>1、绩效目标的编制还有待完善，绩效评价的工作有待深入的开展。</w:t>
      </w:r>
    </w:p>
    <w:p w14:paraId="4A0539B0">
      <w:pPr>
        <w:adjustRightInd w:val="0"/>
        <w:snapToGrid w:val="0"/>
        <w:spacing w:line="590" w:lineRule="exact"/>
        <w:ind w:firstLine="660" w:firstLineChars="200"/>
        <w:rPr>
          <w:rFonts w:ascii="Times New Roman" w:hAnsi="Times New Roman" w:eastAsia="方正仿宋_GBK" w:cs="Times New Roman"/>
          <w:kern w:val="0"/>
          <w:sz w:val="33"/>
          <w:szCs w:val="33"/>
        </w:rPr>
      </w:pPr>
      <w:r>
        <w:rPr>
          <w:rFonts w:hint="eastAsia" w:ascii="Times New Roman" w:hAnsi="Times New Roman" w:eastAsia="方正仿宋_GBK" w:cs="Times New Roman"/>
          <w:kern w:val="0"/>
          <w:sz w:val="33"/>
          <w:szCs w:val="33"/>
        </w:rPr>
        <w:t>2、内控制度还有待进一步完善。</w:t>
      </w:r>
    </w:p>
    <w:p w14:paraId="1D0F0C77">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（三）改进建议。</w:t>
      </w:r>
    </w:p>
    <w:p w14:paraId="4A03A0F8">
      <w:pPr>
        <w:adjustRightInd w:val="0"/>
        <w:snapToGrid w:val="0"/>
        <w:spacing w:line="590" w:lineRule="exact"/>
        <w:ind w:firstLine="660" w:firstLineChars="200"/>
        <w:rPr>
          <w:rFonts w:eastAsia="方正仿宋_GBK"/>
          <w:sz w:val="33"/>
          <w:szCs w:val="33"/>
        </w:rPr>
      </w:pPr>
      <w:r>
        <w:rPr>
          <w:rFonts w:eastAsia="方正仿宋_GBK"/>
          <w:sz w:val="33"/>
          <w:szCs w:val="33"/>
        </w:rPr>
        <w:t>1、进一步规范和完善绩效目标编制，全面深入地开展绩效评价工作。</w:t>
      </w:r>
    </w:p>
    <w:p w14:paraId="1AB1FC7C">
      <w:pPr>
        <w:adjustRightInd w:val="0"/>
        <w:snapToGrid w:val="0"/>
        <w:spacing w:line="590" w:lineRule="exact"/>
        <w:ind w:firstLine="660" w:firstLineChars="200"/>
        <w:rPr>
          <w:rFonts w:eastAsia="方正仿宋_GBK"/>
          <w:sz w:val="33"/>
          <w:szCs w:val="33"/>
        </w:rPr>
      </w:pPr>
      <w:r>
        <w:rPr>
          <w:rFonts w:eastAsia="方正仿宋_GBK"/>
          <w:sz w:val="33"/>
          <w:szCs w:val="33"/>
        </w:rPr>
        <w:t>2、进一步完善</w:t>
      </w:r>
      <w:r>
        <w:rPr>
          <w:rFonts w:eastAsia="方正仿宋_GBK"/>
          <w:color w:val="000000"/>
          <w:sz w:val="33"/>
          <w:szCs w:val="33"/>
        </w:rPr>
        <w:t>财务制度、内控制度。</w:t>
      </w:r>
    </w:p>
    <w:p w14:paraId="0123574D">
      <w:pPr>
        <w:pStyle w:val="12"/>
        <w:adjustRightInd w:val="0"/>
        <w:snapToGrid w:val="0"/>
        <w:spacing w:line="590" w:lineRule="exact"/>
        <w:ind w:firstLine="660" w:firstLineChars="200"/>
        <w:jc w:val="both"/>
        <w:rPr>
          <w:rFonts w:eastAsia="方正仿宋_GBK"/>
          <w:color w:val="000000"/>
          <w:kern w:val="2"/>
          <w:sz w:val="33"/>
          <w:szCs w:val="33"/>
        </w:rPr>
      </w:pPr>
      <w:r>
        <w:rPr>
          <w:rFonts w:eastAsia="方正仿宋_GBK"/>
          <w:color w:val="000000"/>
          <w:sz w:val="33"/>
          <w:szCs w:val="33"/>
        </w:rPr>
        <w:t>3、科学合理编制预算，严格执行预算，规范账务处理，提高财务信息质量，完善管理制度。</w:t>
      </w:r>
      <w:r>
        <w:rPr>
          <w:rFonts w:eastAsia="方正仿宋_GBK"/>
          <w:color w:val="000000"/>
          <w:kern w:val="2"/>
          <w:sz w:val="33"/>
          <w:szCs w:val="33"/>
        </w:rPr>
        <w:t>一是按照预算规定的项目和用途严格财务审核，在预算金额内严格控制费用的支出；二是严格控制</w:t>
      </w:r>
      <w:r>
        <w:rPr>
          <w:rFonts w:hint="eastAsia" w:eastAsia="方正仿宋_GBK"/>
          <w:color w:val="000000"/>
          <w:kern w:val="2"/>
          <w:sz w:val="33"/>
          <w:szCs w:val="33"/>
          <w:lang w:eastAsia="zh-CN"/>
        </w:rPr>
        <w:t>“三公”经费</w:t>
      </w:r>
      <w:r>
        <w:rPr>
          <w:rFonts w:eastAsia="方正仿宋_GBK"/>
          <w:color w:val="000000"/>
          <w:kern w:val="2"/>
          <w:sz w:val="33"/>
          <w:szCs w:val="33"/>
        </w:rPr>
        <w:t>支出，进一步强化三公经费管理；三是预算财务分析常态化，定期做好预算支出财务分析，做好部门整体支出预算评价工作。</w:t>
      </w:r>
    </w:p>
    <w:p w14:paraId="756B4573">
      <w:pPr>
        <w:pStyle w:val="12"/>
        <w:adjustRightInd w:val="0"/>
        <w:snapToGrid w:val="0"/>
        <w:spacing w:line="590" w:lineRule="exact"/>
        <w:ind w:firstLine="660" w:firstLineChars="200"/>
        <w:jc w:val="both"/>
        <w:rPr>
          <w:rFonts w:eastAsia="方正仿宋_GBK"/>
          <w:color w:val="000000"/>
          <w:kern w:val="2"/>
          <w:sz w:val="33"/>
          <w:szCs w:val="33"/>
        </w:rPr>
      </w:pPr>
    </w:p>
    <w:p w14:paraId="6965CC8F">
      <w:pPr>
        <w:pStyle w:val="12"/>
        <w:adjustRightInd w:val="0"/>
        <w:snapToGrid w:val="0"/>
        <w:spacing w:line="590" w:lineRule="exact"/>
        <w:ind w:firstLine="660" w:firstLineChars="200"/>
        <w:jc w:val="both"/>
        <w:rPr>
          <w:rFonts w:eastAsia="方正仿宋_GBK"/>
          <w:color w:val="000000"/>
          <w:kern w:val="2"/>
          <w:sz w:val="33"/>
          <w:szCs w:val="33"/>
        </w:rPr>
      </w:pPr>
    </w:p>
    <w:p w14:paraId="2B95FEA7">
      <w:pPr>
        <w:pStyle w:val="12"/>
        <w:adjustRightInd w:val="0"/>
        <w:snapToGrid w:val="0"/>
        <w:spacing w:line="590" w:lineRule="exact"/>
        <w:ind w:firstLine="660" w:firstLineChars="200"/>
        <w:jc w:val="both"/>
        <w:rPr>
          <w:rFonts w:eastAsia="方正仿宋_GBK"/>
          <w:color w:val="000000"/>
          <w:kern w:val="2"/>
          <w:sz w:val="33"/>
          <w:szCs w:val="33"/>
        </w:rPr>
      </w:pPr>
    </w:p>
    <w:p w14:paraId="307211C9">
      <w:pPr>
        <w:pStyle w:val="12"/>
        <w:adjustRightInd w:val="0"/>
        <w:snapToGrid w:val="0"/>
        <w:spacing w:line="590" w:lineRule="exact"/>
        <w:ind w:firstLine="660" w:firstLineChars="200"/>
        <w:jc w:val="both"/>
        <w:rPr>
          <w:rFonts w:eastAsia="方正仿宋_GBK"/>
          <w:color w:val="000000"/>
          <w:kern w:val="2"/>
          <w:sz w:val="33"/>
          <w:szCs w:val="33"/>
        </w:rPr>
      </w:pPr>
    </w:p>
    <w:p w14:paraId="5BD5BF90">
      <w:pPr>
        <w:pStyle w:val="12"/>
        <w:adjustRightInd w:val="0"/>
        <w:snapToGrid w:val="0"/>
        <w:spacing w:line="590" w:lineRule="exact"/>
        <w:ind w:firstLine="660" w:firstLineChars="200"/>
        <w:jc w:val="both"/>
        <w:rPr>
          <w:rFonts w:eastAsia="方正仿宋_GBK"/>
          <w:color w:val="000000"/>
          <w:kern w:val="2"/>
          <w:sz w:val="33"/>
          <w:szCs w:val="33"/>
        </w:rPr>
      </w:pPr>
    </w:p>
    <w:p w14:paraId="71D372D3">
      <w:pPr>
        <w:pStyle w:val="12"/>
        <w:adjustRightInd w:val="0"/>
        <w:snapToGrid w:val="0"/>
        <w:spacing w:line="590" w:lineRule="exact"/>
        <w:ind w:firstLine="660" w:firstLineChars="200"/>
        <w:jc w:val="both"/>
        <w:rPr>
          <w:rFonts w:eastAsia="方正仿宋_GBK"/>
          <w:color w:val="000000"/>
          <w:kern w:val="2"/>
          <w:sz w:val="33"/>
          <w:szCs w:val="33"/>
        </w:rPr>
      </w:pPr>
    </w:p>
    <w:p w14:paraId="7083DFA2">
      <w:pPr>
        <w:pStyle w:val="12"/>
        <w:adjustRightInd w:val="0"/>
        <w:snapToGrid w:val="0"/>
        <w:spacing w:line="590" w:lineRule="exact"/>
        <w:ind w:firstLine="660" w:firstLineChars="200"/>
        <w:jc w:val="both"/>
        <w:rPr>
          <w:rFonts w:eastAsia="方正仿宋_GBK"/>
          <w:color w:val="000000"/>
          <w:kern w:val="2"/>
          <w:sz w:val="33"/>
          <w:szCs w:val="33"/>
        </w:rPr>
      </w:pPr>
    </w:p>
    <w:p w14:paraId="26B84FE0">
      <w:pPr>
        <w:pStyle w:val="12"/>
        <w:adjustRightInd w:val="0"/>
        <w:snapToGrid w:val="0"/>
        <w:spacing w:line="590" w:lineRule="exact"/>
        <w:ind w:firstLine="660" w:firstLineChars="200"/>
        <w:jc w:val="both"/>
        <w:rPr>
          <w:rFonts w:eastAsia="方正仿宋_GBK"/>
          <w:color w:val="000000"/>
          <w:kern w:val="2"/>
          <w:sz w:val="33"/>
          <w:szCs w:val="33"/>
        </w:rPr>
      </w:pPr>
    </w:p>
    <w:p w14:paraId="6DE30F42">
      <w:pPr>
        <w:pStyle w:val="12"/>
        <w:adjustRightInd w:val="0"/>
        <w:snapToGrid w:val="0"/>
        <w:spacing w:line="590" w:lineRule="exact"/>
        <w:ind w:firstLine="660" w:firstLineChars="200"/>
        <w:jc w:val="both"/>
        <w:rPr>
          <w:rFonts w:eastAsia="方正仿宋_GBK"/>
          <w:color w:val="000000"/>
          <w:kern w:val="2"/>
          <w:sz w:val="33"/>
          <w:szCs w:val="33"/>
        </w:rPr>
      </w:pPr>
    </w:p>
    <w:p w14:paraId="2DEC4D8A">
      <w:pPr>
        <w:pStyle w:val="12"/>
        <w:adjustRightInd w:val="0"/>
        <w:snapToGrid w:val="0"/>
        <w:spacing w:line="590" w:lineRule="exact"/>
        <w:ind w:firstLine="660" w:firstLineChars="200"/>
        <w:jc w:val="both"/>
        <w:rPr>
          <w:rFonts w:eastAsia="方正仿宋_GBK"/>
          <w:color w:val="000000"/>
          <w:kern w:val="2"/>
          <w:sz w:val="33"/>
          <w:szCs w:val="33"/>
        </w:rPr>
      </w:pPr>
    </w:p>
    <w:p w14:paraId="7F1C93C0">
      <w:pPr>
        <w:pStyle w:val="12"/>
        <w:adjustRightInd w:val="0"/>
        <w:snapToGrid w:val="0"/>
        <w:spacing w:line="590" w:lineRule="exact"/>
        <w:ind w:firstLine="660" w:firstLineChars="200"/>
        <w:jc w:val="both"/>
        <w:rPr>
          <w:rFonts w:eastAsia="方正仿宋_GBK"/>
          <w:color w:val="000000"/>
          <w:kern w:val="2"/>
          <w:sz w:val="33"/>
          <w:szCs w:val="33"/>
        </w:rPr>
      </w:pPr>
    </w:p>
    <w:p w14:paraId="7EA89099">
      <w:pPr>
        <w:pStyle w:val="12"/>
        <w:adjustRightInd w:val="0"/>
        <w:snapToGrid w:val="0"/>
        <w:spacing w:line="590" w:lineRule="exact"/>
        <w:ind w:firstLine="660" w:firstLineChars="200"/>
        <w:jc w:val="both"/>
        <w:rPr>
          <w:rFonts w:eastAsia="方正仿宋_GBK"/>
          <w:color w:val="000000"/>
          <w:kern w:val="2"/>
          <w:sz w:val="33"/>
          <w:szCs w:val="33"/>
        </w:rPr>
      </w:pPr>
    </w:p>
    <w:p w14:paraId="045ACFB5">
      <w:pPr>
        <w:pStyle w:val="12"/>
        <w:adjustRightInd w:val="0"/>
        <w:snapToGrid w:val="0"/>
        <w:spacing w:line="590" w:lineRule="exact"/>
        <w:ind w:firstLine="660" w:firstLineChars="200"/>
        <w:jc w:val="both"/>
        <w:rPr>
          <w:rFonts w:eastAsia="方正仿宋_GBK"/>
          <w:color w:val="000000"/>
          <w:kern w:val="2"/>
          <w:sz w:val="33"/>
          <w:szCs w:val="33"/>
        </w:rPr>
      </w:pPr>
    </w:p>
    <w:p w14:paraId="0B6C9A38">
      <w:pPr>
        <w:pStyle w:val="12"/>
        <w:adjustRightInd w:val="0"/>
        <w:snapToGrid w:val="0"/>
        <w:spacing w:line="590" w:lineRule="exact"/>
        <w:ind w:firstLine="660" w:firstLineChars="200"/>
        <w:jc w:val="both"/>
        <w:rPr>
          <w:rFonts w:hint="eastAsia" w:eastAsia="方正仿宋_GBK"/>
          <w:color w:val="000000"/>
          <w:kern w:val="2"/>
          <w:sz w:val="33"/>
          <w:szCs w:val="33"/>
          <w:lang w:val="zh-CN"/>
        </w:rPr>
      </w:pPr>
    </w:p>
    <w:p w14:paraId="6C9A21A3">
      <w:pPr>
        <w:spacing w:line="600" w:lineRule="exact"/>
        <w:jc w:val="both"/>
        <w:outlineLvl w:val="0"/>
        <w:rPr>
          <w:rFonts w:hint="eastAsia" w:ascii="黑体" w:hAnsi="黑体" w:eastAsia="黑体" w:cs="Times New Roman"/>
          <w:color w:val="000000"/>
          <w:sz w:val="44"/>
          <w:szCs w:val="44"/>
        </w:rPr>
      </w:pPr>
      <w:bookmarkStart w:id="60" w:name="_Toc1498"/>
      <w:bookmarkStart w:id="61" w:name="_Toc28372"/>
    </w:p>
    <w:p w14:paraId="6CCAFCEE">
      <w:pPr>
        <w:spacing w:line="600" w:lineRule="exact"/>
        <w:jc w:val="both"/>
        <w:outlineLvl w:val="0"/>
        <w:rPr>
          <w:rFonts w:hint="eastAsia" w:ascii="黑体" w:hAnsi="黑体" w:eastAsia="黑体" w:cs="Times New Roman"/>
          <w:color w:val="000000"/>
          <w:sz w:val="44"/>
          <w:szCs w:val="44"/>
        </w:rPr>
      </w:pPr>
    </w:p>
    <w:p w14:paraId="630BFC03">
      <w:pPr>
        <w:spacing w:line="600" w:lineRule="exact"/>
        <w:jc w:val="both"/>
        <w:outlineLvl w:val="0"/>
        <w:rPr>
          <w:rFonts w:hint="eastAsia" w:ascii="黑体" w:hAnsi="黑体" w:eastAsia="黑体" w:cs="Times New Roman"/>
          <w:color w:val="000000"/>
          <w:sz w:val="44"/>
          <w:szCs w:val="44"/>
        </w:rPr>
      </w:pPr>
    </w:p>
    <w:p w14:paraId="53407CC2">
      <w:pPr>
        <w:spacing w:line="600" w:lineRule="exact"/>
        <w:jc w:val="both"/>
        <w:outlineLvl w:val="0"/>
        <w:rPr>
          <w:rFonts w:hint="eastAsia" w:ascii="黑体" w:hAnsi="黑体" w:eastAsia="黑体" w:cs="Times New Roman"/>
          <w:color w:val="000000"/>
          <w:sz w:val="44"/>
          <w:szCs w:val="44"/>
          <w:lang w:val="en-US" w:eastAsia="zh-CN"/>
        </w:rPr>
      </w:pPr>
      <w:r>
        <w:rPr>
          <w:rFonts w:hint="eastAsia" w:ascii="黑体" w:hAnsi="黑体" w:eastAsia="黑体" w:cs="Times New Roman"/>
          <w:color w:val="000000"/>
          <w:sz w:val="44"/>
          <w:szCs w:val="44"/>
        </w:rPr>
        <w:t>附件</w:t>
      </w:r>
      <w:r>
        <w:rPr>
          <w:rFonts w:hint="eastAsia" w:ascii="黑体" w:hAnsi="黑体" w:eastAsia="黑体" w:cs="Times New Roman"/>
          <w:color w:val="000000"/>
          <w:sz w:val="44"/>
          <w:szCs w:val="44"/>
          <w:lang w:val="en-US" w:eastAsia="zh-CN"/>
        </w:rPr>
        <w:t>2</w:t>
      </w:r>
    </w:p>
    <w:p w14:paraId="5E25CBEB">
      <w:pPr>
        <w:spacing w:line="600" w:lineRule="exact"/>
        <w:jc w:val="center"/>
        <w:outlineLvl w:val="0"/>
        <w:rPr>
          <w:rFonts w:hint="eastAsia" w:ascii="Times New Roman" w:hAnsi="Times New Roman" w:eastAsia="方正小标宋_GBK" w:cs="方正小标宋_GBK"/>
          <w:sz w:val="44"/>
          <w:szCs w:val="44"/>
          <w:lang w:val="en-US" w:eastAsia="zh-CN"/>
        </w:rPr>
      </w:pPr>
    </w:p>
    <w:p w14:paraId="2E03EC4D">
      <w:pPr>
        <w:spacing w:line="600" w:lineRule="exact"/>
        <w:jc w:val="center"/>
        <w:outlineLvl w:val="0"/>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广安市人民政府驻成都办事处</w:t>
      </w:r>
      <w:bookmarkEnd w:id="60"/>
      <w:bookmarkEnd w:id="61"/>
    </w:p>
    <w:p w14:paraId="09C4E371">
      <w:pPr>
        <w:spacing w:line="600" w:lineRule="exact"/>
        <w:jc w:val="center"/>
        <w:outlineLvl w:val="0"/>
        <w:rPr>
          <w:rFonts w:hint="eastAsia" w:ascii="Times New Roman" w:hAnsi="Times New Roman" w:eastAsia="方正小标宋_GBK" w:cs="方正小标宋_GBK"/>
          <w:sz w:val="44"/>
          <w:szCs w:val="44"/>
          <w:lang w:val="zh-CN" w:eastAsia="zh-CN"/>
        </w:rPr>
      </w:pPr>
      <w:bookmarkStart w:id="62" w:name="_Toc15775"/>
      <w:bookmarkStart w:id="63" w:name="_Toc31954"/>
      <w:r>
        <w:rPr>
          <w:rFonts w:hint="eastAsia" w:ascii="Times New Roman" w:hAnsi="Times New Roman" w:eastAsia="方正小标宋_GBK" w:cs="方正小标宋_GBK"/>
          <w:sz w:val="44"/>
          <w:szCs w:val="44"/>
          <w:lang w:val="en-US" w:eastAsia="zh-CN"/>
        </w:rPr>
        <w:t>招商引资项目2021年</w:t>
      </w:r>
      <w:r>
        <w:rPr>
          <w:rFonts w:hint="eastAsia" w:ascii="Times New Roman" w:hAnsi="Times New Roman" w:eastAsia="方正小标宋_GBK" w:cs="方正小标宋_GBK"/>
          <w:sz w:val="44"/>
          <w:szCs w:val="44"/>
          <w:lang w:val="zh-CN" w:eastAsia="zh-CN"/>
        </w:rPr>
        <w:t>绩效评价报告</w:t>
      </w:r>
      <w:bookmarkEnd w:id="62"/>
      <w:bookmarkEnd w:id="63"/>
    </w:p>
    <w:p w14:paraId="7394AE0B">
      <w:pPr>
        <w:pStyle w:val="2"/>
        <w:rPr>
          <w:rFonts w:hint="eastAsia"/>
          <w:lang w:val="en-US" w:eastAsia="zh-CN"/>
        </w:rPr>
      </w:pPr>
    </w:p>
    <w:p w14:paraId="3E365CC6">
      <w:pPr>
        <w:spacing w:line="590" w:lineRule="exact"/>
        <w:ind w:firstLine="660" w:firstLineChars="200"/>
        <w:rPr>
          <w:rFonts w:hint="eastAsia" w:eastAsia="方正仿宋_GBK"/>
          <w:sz w:val="33"/>
          <w:szCs w:val="33"/>
          <w:lang w:val="zh-CN" w:eastAsia="zh-CN"/>
        </w:rPr>
      </w:pPr>
      <w:r>
        <w:rPr>
          <w:rFonts w:hint="eastAsia" w:eastAsia="方正仿宋_GBK"/>
          <w:sz w:val="33"/>
          <w:szCs w:val="33"/>
          <w:lang w:val="zh-CN" w:eastAsia="zh-CN"/>
        </w:rPr>
        <w:t>一、项目概况</w:t>
      </w:r>
    </w:p>
    <w:p w14:paraId="5417067D">
      <w:pPr>
        <w:spacing w:line="590" w:lineRule="exact"/>
        <w:ind w:firstLine="660" w:firstLineChars="200"/>
        <w:rPr>
          <w:rFonts w:hint="eastAsia" w:eastAsia="方正仿宋_GBK"/>
          <w:sz w:val="33"/>
          <w:szCs w:val="33"/>
          <w:lang w:val="zh-CN" w:eastAsia="zh-CN"/>
        </w:rPr>
      </w:pPr>
      <w:r>
        <w:rPr>
          <w:rFonts w:hint="eastAsia" w:eastAsia="方正仿宋_GBK"/>
          <w:sz w:val="33"/>
          <w:szCs w:val="33"/>
          <w:lang w:val="zh-CN"/>
        </w:rPr>
        <w:t>（一）项目基本情况。</w:t>
      </w:r>
    </w:p>
    <w:p w14:paraId="793B613D">
      <w:pPr>
        <w:spacing w:line="590" w:lineRule="exact"/>
        <w:ind w:firstLine="660" w:firstLineChars="200"/>
        <w:rPr>
          <w:rFonts w:hint="eastAsia" w:eastAsia="方正仿宋_GBK"/>
          <w:sz w:val="33"/>
          <w:szCs w:val="33"/>
          <w:lang w:val="en-US" w:eastAsia="zh-CN"/>
        </w:rPr>
      </w:pPr>
      <w:r>
        <w:rPr>
          <w:rFonts w:hint="eastAsia" w:eastAsia="方正仿宋_GBK"/>
          <w:sz w:val="33"/>
          <w:szCs w:val="33"/>
          <w:lang w:val="en-US" w:eastAsia="zh-CN"/>
        </w:rPr>
        <w:t>广泛搭建各类招商引资平台，组织开展相关产业专题推介会和企业拜访活动，积极宣传推介广安，及时捕捉招商信息，邀请更多客商赴广安投资考察，促成更多项目签约落地。</w:t>
      </w:r>
    </w:p>
    <w:p w14:paraId="0D1AB03F">
      <w:pPr>
        <w:spacing w:line="590" w:lineRule="exact"/>
        <w:ind w:firstLine="660" w:firstLineChars="200"/>
        <w:rPr>
          <w:rFonts w:hint="eastAsia" w:eastAsia="方正仿宋_GBK"/>
          <w:sz w:val="33"/>
          <w:szCs w:val="33"/>
          <w:lang w:val="en-US" w:eastAsia="zh-CN"/>
        </w:rPr>
      </w:pPr>
      <w:r>
        <w:rPr>
          <w:rFonts w:hint="eastAsia" w:eastAsia="方正仿宋_GBK"/>
          <w:sz w:val="33"/>
          <w:szCs w:val="33"/>
          <w:lang w:val="en-US" w:eastAsia="zh-CN"/>
        </w:rPr>
        <w:t>（二）项目绩效目标</w:t>
      </w:r>
    </w:p>
    <w:p w14:paraId="5208879A">
      <w:pPr>
        <w:spacing w:line="590" w:lineRule="exact"/>
        <w:ind w:firstLine="660" w:firstLineChars="200"/>
        <w:rPr>
          <w:rFonts w:eastAsia="方正仿宋_GBK"/>
          <w:sz w:val="33"/>
          <w:szCs w:val="33"/>
        </w:rPr>
      </w:pPr>
      <w:r>
        <w:rPr>
          <w:rFonts w:hint="eastAsia" w:eastAsia="方正仿宋_GBK"/>
          <w:sz w:val="33"/>
          <w:szCs w:val="33"/>
          <w:lang w:val="en-US" w:eastAsia="zh-CN"/>
        </w:rPr>
        <w:t>1、项目主要内容。</w:t>
      </w:r>
      <w:r>
        <w:rPr>
          <w:rFonts w:eastAsia="方正仿宋_GBK"/>
          <w:sz w:val="33"/>
          <w:szCs w:val="33"/>
        </w:rPr>
        <w:t>负责收集招商引资信息，搭建招商引资平台，拓展我市对外开放的领域和途径，参与全市在成都开展的各类经贸活动并做好组织协调及服务工作。</w:t>
      </w:r>
    </w:p>
    <w:p w14:paraId="40AB39FD">
      <w:pPr>
        <w:spacing w:line="590" w:lineRule="exact"/>
        <w:ind w:firstLine="660" w:firstLineChars="200"/>
        <w:rPr>
          <w:rFonts w:hint="eastAsia" w:eastAsia="方正仿宋_GBK"/>
          <w:sz w:val="33"/>
          <w:szCs w:val="33"/>
          <w:lang w:val="en-US" w:eastAsia="zh-CN"/>
        </w:rPr>
      </w:pPr>
      <w:r>
        <w:rPr>
          <w:rFonts w:hint="default" w:eastAsia="方正仿宋_GBK"/>
          <w:sz w:val="33"/>
          <w:szCs w:val="33"/>
          <w:lang w:val="en-US" w:eastAsia="zh-CN"/>
        </w:rPr>
        <w:t>2、</w:t>
      </w:r>
      <w:r>
        <w:rPr>
          <w:rFonts w:hint="eastAsia" w:eastAsia="方正仿宋_GBK"/>
          <w:sz w:val="33"/>
          <w:szCs w:val="33"/>
          <w:lang w:val="en-US" w:eastAsia="zh-CN"/>
        </w:rPr>
        <w:t>项目实施进度计划。</w:t>
      </w:r>
    </w:p>
    <w:p w14:paraId="1CCE776D">
      <w:pPr>
        <w:spacing w:line="590" w:lineRule="exact"/>
        <w:ind w:firstLine="660" w:firstLineChars="200"/>
        <w:rPr>
          <w:rFonts w:hint="default" w:eastAsia="方正仿宋_GBK"/>
          <w:sz w:val="33"/>
          <w:szCs w:val="33"/>
          <w:lang w:val="en-US" w:eastAsia="zh-CN"/>
        </w:rPr>
      </w:pPr>
      <w:r>
        <w:rPr>
          <w:rFonts w:hint="eastAsia" w:eastAsia="方正仿宋_GBK"/>
          <w:sz w:val="33"/>
          <w:szCs w:val="33"/>
          <w:lang w:val="en-US" w:eastAsia="zh-CN"/>
        </w:rPr>
        <w:t>结合日常工作，综合预算执行情况，依法依规组织实施。</w:t>
      </w:r>
    </w:p>
    <w:p w14:paraId="56D1CE5F">
      <w:pPr>
        <w:spacing w:line="590" w:lineRule="exact"/>
        <w:ind w:firstLine="660" w:firstLineChars="200"/>
        <w:rPr>
          <w:rFonts w:hint="eastAsia" w:eastAsia="方正仿宋_GBK"/>
          <w:sz w:val="33"/>
          <w:szCs w:val="33"/>
          <w:lang w:val="en-US" w:eastAsia="zh-CN"/>
        </w:rPr>
      </w:pPr>
      <w:r>
        <w:rPr>
          <w:rFonts w:hint="eastAsia" w:eastAsia="方正仿宋_GBK"/>
          <w:sz w:val="33"/>
          <w:szCs w:val="33"/>
          <w:lang w:val="en-US" w:eastAsia="zh-CN"/>
        </w:rPr>
        <w:t>3、</w:t>
      </w:r>
      <w:r>
        <w:rPr>
          <w:rFonts w:hint="eastAsia" w:eastAsia="方正仿宋_GBK"/>
          <w:sz w:val="33"/>
          <w:szCs w:val="33"/>
          <w:lang w:val="zh-CN" w:eastAsia="zh-CN"/>
        </w:rPr>
        <w:t>项目资金申报相符性。</w:t>
      </w:r>
      <w:r>
        <w:rPr>
          <w:rFonts w:hint="eastAsia" w:eastAsia="方正仿宋_GBK"/>
          <w:sz w:val="33"/>
          <w:szCs w:val="33"/>
          <w:lang w:val="en-US" w:eastAsia="zh-CN"/>
        </w:rPr>
        <w:t>项目申报内容与具体实施内容相符、申报目标合理可行。</w:t>
      </w:r>
    </w:p>
    <w:p w14:paraId="4015D80F">
      <w:pPr>
        <w:spacing w:line="590" w:lineRule="exact"/>
        <w:ind w:firstLine="660" w:firstLineChars="200"/>
        <w:rPr>
          <w:rFonts w:hint="default" w:eastAsia="方正仿宋_GBK"/>
          <w:sz w:val="33"/>
          <w:szCs w:val="33"/>
          <w:lang w:val="en-US" w:eastAsia="zh-CN"/>
        </w:rPr>
      </w:pPr>
      <w:r>
        <w:rPr>
          <w:rFonts w:hint="eastAsia" w:eastAsia="方正仿宋_GBK"/>
          <w:sz w:val="33"/>
          <w:szCs w:val="33"/>
          <w:lang w:val="en-US" w:eastAsia="zh-CN"/>
        </w:rPr>
        <w:t>（三）项目自评步骤及方法。</w:t>
      </w:r>
    </w:p>
    <w:p w14:paraId="2FC6D713">
      <w:pPr>
        <w:spacing w:line="590" w:lineRule="exact"/>
        <w:ind w:firstLine="660" w:firstLineChars="200"/>
        <w:rPr>
          <w:rFonts w:hint="eastAsia" w:eastAsia="方正仿宋_GBK"/>
          <w:sz w:val="33"/>
          <w:szCs w:val="33"/>
          <w:lang w:val="en-US" w:eastAsia="zh-CN"/>
        </w:rPr>
      </w:pPr>
      <w:r>
        <w:rPr>
          <w:rFonts w:hint="eastAsia" w:eastAsia="方正仿宋_GBK"/>
          <w:sz w:val="33"/>
          <w:szCs w:val="33"/>
          <w:lang w:val="en-US" w:eastAsia="zh-CN"/>
        </w:rPr>
        <w:t>确定自评范围和目的、制定评价指标、收集和分析数据、撰写自评报告。</w:t>
      </w:r>
    </w:p>
    <w:p w14:paraId="411D2EF4">
      <w:pPr>
        <w:spacing w:line="590" w:lineRule="exact"/>
        <w:ind w:firstLine="660" w:firstLineChars="200"/>
        <w:rPr>
          <w:rFonts w:hint="default" w:eastAsia="方正仿宋_GBK"/>
          <w:sz w:val="33"/>
          <w:szCs w:val="33"/>
          <w:lang w:val="en-US" w:eastAsia="zh-CN"/>
        </w:rPr>
      </w:pPr>
      <w:r>
        <w:rPr>
          <w:rFonts w:hint="eastAsia" w:eastAsia="方正仿宋_GBK"/>
          <w:sz w:val="33"/>
          <w:szCs w:val="33"/>
          <w:lang w:val="en-US" w:eastAsia="zh-CN"/>
        </w:rPr>
        <w:t>二、项目资金申报及使用情况</w:t>
      </w:r>
    </w:p>
    <w:p w14:paraId="59695899">
      <w:pPr>
        <w:spacing w:line="590" w:lineRule="exact"/>
        <w:ind w:firstLine="660" w:firstLineChars="200"/>
        <w:rPr>
          <w:rFonts w:eastAsia="方正仿宋_GBK"/>
          <w:sz w:val="33"/>
          <w:szCs w:val="33"/>
        </w:rPr>
      </w:pPr>
      <w:r>
        <w:rPr>
          <w:rFonts w:hint="eastAsia" w:eastAsia="方正仿宋_GBK"/>
          <w:sz w:val="33"/>
          <w:szCs w:val="33"/>
          <w:lang w:val="zh-CN" w:eastAsia="zh-CN"/>
        </w:rPr>
        <w:t>（一）项目资金申报及批复情况。</w:t>
      </w:r>
      <w:r>
        <w:rPr>
          <w:rFonts w:eastAsia="方正仿宋_GBK"/>
          <w:sz w:val="33"/>
          <w:szCs w:val="33"/>
        </w:rPr>
        <w:t>202</w:t>
      </w:r>
      <w:r>
        <w:rPr>
          <w:rFonts w:hint="eastAsia" w:eastAsia="方正仿宋_GBK"/>
          <w:sz w:val="33"/>
          <w:szCs w:val="33"/>
        </w:rPr>
        <w:t>1</w:t>
      </w:r>
      <w:r>
        <w:rPr>
          <w:rFonts w:eastAsia="方正仿宋_GBK"/>
          <w:sz w:val="33"/>
          <w:szCs w:val="33"/>
        </w:rPr>
        <w:t>年，驻蓉办招商引资项目年初预算130万元，无预算调整，符合资金管理办法等相关规定。</w:t>
      </w:r>
    </w:p>
    <w:p w14:paraId="59F7928D">
      <w:pPr>
        <w:spacing w:line="590" w:lineRule="exact"/>
        <w:ind w:firstLine="660" w:firstLineChars="200"/>
        <w:rPr>
          <w:rFonts w:hint="eastAsia" w:eastAsia="方正仿宋_GBK"/>
          <w:sz w:val="33"/>
          <w:szCs w:val="33"/>
          <w:lang w:val="zh-CN" w:eastAsia="zh-CN"/>
        </w:rPr>
      </w:pPr>
      <w:r>
        <w:rPr>
          <w:rFonts w:hint="eastAsia" w:eastAsia="方正仿宋_GBK"/>
          <w:sz w:val="33"/>
          <w:szCs w:val="33"/>
          <w:lang w:val="zh-CN" w:eastAsia="zh-CN"/>
        </w:rPr>
        <w:t>（二）资金计划、到位及使用情况。</w:t>
      </w:r>
    </w:p>
    <w:p w14:paraId="2F18618A">
      <w:pPr>
        <w:spacing w:line="590" w:lineRule="exact"/>
        <w:ind w:firstLine="660" w:firstLineChars="200"/>
        <w:rPr>
          <w:rFonts w:eastAsia="方正仿宋_GBK"/>
          <w:sz w:val="33"/>
          <w:szCs w:val="33"/>
          <w:lang w:val="zh-CN"/>
        </w:rPr>
      </w:pPr>
      <w:r>
        <w:rPr>
          <w:rFonts w:hint="eastAsia" w:eastAsia="方正仿宋_GBK"/>
          <w:sz w:val="33"/>
          <w:szCs w:val="33"/>
          <w:lang w:val="zh-CN" w:eastAsia="zh-CN"/>
        </w:rPr>
        <w:t>1．资金计划及到位。</w:t>
      </w:r>
      <w:r>
        <w:rPr>
          <w:rFonts w:eastAsia="方正仿宋_GBK"/>
          <w:sz w:val="33"/>
          <w:szCs w:val="33"/>
        </w:rPr>
        <w:t>202</w:t>
      </w:r>
      <w:r>
        <w:rPr>
          <w:rFonts w:hint="eastAsia" w:eastAsia="方正仿宋_GBK"/>
          <w:sz w:val="33"/>
          <w:szCs w:val="33"/>
        </w:rPr>
        <w:t>1</w:t>
      </w:r>
      <w:r>
        <w:rPr>
          <w:rFonts w:eastAsia="方正仿宋_GBK"/>
          <w:sz w:val="33"/>
          <w:szCs w:val="33"/>
        </w:rPr>
        <w:t>年，驻蓉办招商引资专项工作经费共计130万元，均是按进度拨付到位，有力保障了招商引资工作顺利进行。</w:t>
      </w:r>
    </w:p>
    <w:p w14:paraId="581358BD">
      <w:pPr>
        <w:spacing w:line="590" w:lineRule="exact"/>
        <w:ind w:firstLine="660" w:firstLineChars="200"/>
        <w:rPr>
          <w:rFonts w:hint="eastAsia" w:eastAsia="方正仿宋_GBK"/>
          <w:sz w:val="33"/>
          <w:szCs w:val="33"/>
          <w:lang w:val="zh-CN" w:eastAsia="zh-CN"/>
        </w:rPr>
      </w:pPr>
      <w:r>
        <w:rPr>
          <w:rFonts w:hint="eastAsia" w:eastAsia="方正仿宋_GBK"/>
          <w:sz w:val="33"/>
          <w:szCs w:val="33"/>
          <w:lang w:val="zh-CN" w:eastAsia="zh-CN"/>
        </w:rPr>
        <w:t>2．资金使用。</w:t>
      </w:r>
      <w:r>
        <w:rPr>
          <w:rFonts w:eastAsia="方正仿宋_GBK"/>
          <w:sz w:val="33"/>
          <w:szCs w:val="33"/>
          <w:lang w:val="zh-CN"/>
        </w:rPr>
        <w:t>截止202</w:t>
      </w:r>
      <w:r>
        <w:rPr>
          <w:rFonts w:hint="eastAsia" w:eastAsia="方正仿宋_GBK"/>
          <w:sz w:val="33"/>
          <w:szCs w:val="33"/>
          <w:lang w:val="zh-CN"/>
        </w:rPr>
        <w:t>1</w:t>
      </w:r>
      <w:r>
        <w:rPr>
          <w:rFonts w:eastAsia="方正仿宋_GBK"/>
          <w:sz w:val="33"/>
          <w:szCs w:val="33"/>
          <w:lang w:val="zh-CN"/>
        </w:rPr>
        <w:t>年12月末，项目资金支出</w:t>
      </w:r>
      <w:r>
        <w:rPr>
          <w:rFonts w:hint="eastAsia" w:eastAsia="方正仿宋_GBK"/>
          <w:sz w:val="33"/>
          <w:szCs w:val="33"/>
          <w:lang w:val="zh-CN"/>
        </w:rPr>
        <w:t>83.29</w:t>
      </w:r>
      <w:r>
        <w:rPr>
          <w:rFonts w:eastAsia="方正仿宋_GBK"/>
          <w:sz w:val="33"/>
          <w:szCs w:val="33"/>
          <w:lang w:val="zh-CN"/>
        </w:rPr>
        <w:t>万元，支出占预算数</w:t>
      </w:r>
      <w:r>
        <w:rPr>
          <w:rFonts w:hint="eastAsia" w:eastAsia="方正仿宋_GBK"/>
          <w:sz w:val="33"/>
          <w:szCs w:val="33"/>
        </w:rPr>
        <w:t>64.07</w:t>
      </w:r>
      <w:r>
        <w:rPr>
          <w:rFonts w:eastAsia="方正仿宋_GBK"/>
          <w:sz w:val="33"/>
          <w:szCs w:val="33"/>
        </w:rPr>
        <w:t>%。</w:t>
      </w:r>
    </w:p>
    <w:p w14:paraId="05AB9F1B">
      <w:pPr>
        <w:spacing w:line="590" w:lineRule="exact"/>
        <w:ind w:firstLine="660" w:firstLineChars="200"/>
        <w:rPr>
          <w:rFonts w:hint="eastAsia" w:eastAsia="方正仿宋_GBK"/>
          <w:sz w:val="33"/>
          <w:szCs w:val="33"/>
          <w:lang w:val="zh-CN" w:eastAsia="zh-CN"/>
        </w:rPr>
      </w:pPr>
      <w:r>
        <w:rPr>
          <w:rFonts w:hint="eastAsia" w:eastAsia="方正仿宋_GBK"/>
          <w:sz w:val="33"/>
          <w:szCs w:val="33"/>
          <w:lang w:val="zh-CN" w:eastAsia="zh-CN"/>
        </w:rPr>
        <w:t>（三）项目财务管理情况。</w:t>
      </w:r>
    </w:p>
    <w:p w14:paraId="00928367">
      <w:pPr>
        <w:spacing w:line="590" w:lineRule="exact"/>
        <w:ind w:firstLine="660" w:firstLineChars="200"/>
        <w:rPr>
          <w:rFonts w:eastAsia="方正仿宋_GBK"/>
          <w:sz w:val="33"/>
          <w:szCs w:val="33"/>
        </w:rPr>
      </w:pPr>
      <w:r>
        <w:rPr>
          <w:rFonts w:eastAsia="方正仿宋_GBK"/>
          <w:sz w:val="33"/>
          <w:szCs w:val="33"/>
        </w:rPr>
        <w:t>202</w:t>
      </w:r>
      <w:r>
        <w:rPr>
          <w:rFonts w:hint="eastAsia" w:eastAsia="方正仿宋_GBK"/>
          <w:sz w:val="33"/>
          <w:szCs w:val="33"/>
        </w:rPr>
        <w:t>1</w:t>
      </w:r>
      <w:r>
        <w:rPr>
          <w:rFonts w:eastAsia="方正仿宋_GBK"/>
          <w:sz w:val="33"/>
          <w:szCs w:val="33"/>
        </w:rPr>
        <w:t>年，我办招商引资专项工作经费严格实行专款专用，项目支出均有相关的审批制度，资金拨付严格执行审批程序，使用规范，会计核算结果真实、准确。建立健全财务管理制度和会计核算制度，此次绩效评价过程中未发现有截留、挤占或挪用项目资金的情况。</w:t>
      </w:r>
    </w:p>
    <w:p w14:paraId="3ED1C551">
      <w:pPr>
        <w:spacing w:line="590" w:lineRule="exact"/>
        <w:ind w:firstLine="660" w:firstLineChars="200"/>
        <w:rPr>
          <w:rFonts w:hint="eastAsia" w:eastAsia="方正仿宋_GBK"/>
          <w:sz w:val="33"/>
          <w:szCs w:val="33"/>
          <w:lang w:val="zh-CN" w:eastAsia="zh-CN"/>
        </w:rPr>
      </w:pPr>
      <w:r>
        <w:rPr>
          <w:rFonts w:hint="eastAsia" w:eastAsia="方正仿宋_GBK"/>
          <w:sz w:val="33"/>
          <w:szCs w:val="33"/>
          <w:lang w:val="zh-CN" w:eastAsia="zh-CN"/>
        </w:rPr>
        <w:t>三、项目实施及管理情况</w:t>
      </w:r>
    </w:p>
    <w:p w14:paraId="7FFEA9B8">
      <w:pPr>
        <w:spacing w:line="590" w:lineRule="exact"/>
        <w:ind w:firstLine="660" w:firstLineChars="200"/>
        <w:rPr>
          <w:rFonts w:hint="eastAsia" w:eastAsia="方正仿宋_GBK"/>
          <w:sz w:val="33"/>
          <w:szCs w:val="33"/>
          <w:lang w:val="zh-CN" w:eastAsia="zh-CN"/>
        </w:rPr>
      </w:pPr>
      <w:r>
        <w:rPr>
          <w:rFonts w:hint="eastAsia" w:eastAsia="方正仿宋_GBK"/>
          <w:sz w:val="33"/>
          <w:szCs w:val="33"/>
          <w:lang w:val="zh-CN" w:eastAsia="zh-CN"/>
        </w:rPr>
        <w:t>（一）项目组织实施情况。</w:t>
      </w:r>
    </w:p>
    <w:p w14:paraId="27CEE916">
      <w:pPr>
        <w:spacing w:line="590" w:lineRule="exact"/>
        <w:ind w:firstLine="660" w:firstLineChars="200"/>
        <w:rPr>
          <w:rFonts w:eastAsia="方正仿宋_GBK"/>
          <w:sz w:val="33"/>
          <w:szCs w:val="33"/>
        </w:rPr>
      </w:pPr>
      <w:r>
        <w:rPr>
          <w:rFonts w:eastAsia="方正仿宋_GBK"/>
          <w:sz w:val="33"/>
          <w:szCs w:val="33"/>
          <w:lang w:val="zh-CN"/>
        </w:rPr>
        <w:t>为认真实施招商引资专项工作，</w:t>
      </w:r>
      <w:r>
        <w:rPr>
          <w:rFonts w:eastAsia="方正仿宋_GBK"/>
          <w:sz w:val="33"/>
          <w:szCs w:val="33"/>
        </w:rPr>
        <w:t>强化内引外联，切实做好招商引资工作，202</w:t>
      </w:r>
      <w:r>
        <w:rPr>
          <w:rFonts w:hint="eastAsia" w:eastAsia="方正仿宋_GBK"/>
          <w:sz w:val="33"/>
          <w:szCs w:val="33"/>
        </w:rPr>
        <w:t>1</w:t>
      </w:r>
      <w:r>
        <w:rPr>
          <w:rFonts w:eastAsia="方正仿宋_GBK"/>
          <w:sz w:val="33"/>
          <w:szCs w:val="33"/>
        </w:rPr>
        <w:t>年，市财政共预算130万元招商引资专项资金。</w:t>
      </w:r>
    </w:p>
    <w:p w14:paraId="2BAA908C">
      <w:pPr>
        <w:spacing w:line="590" w:lineRule="exact"/>
        <w:ind w:firstLine="660" w:firstLineChars="200"/>
        <w:rPr>
          <w:rFonts w:hint="eastAsia" w:eastAsia="方正仿宋_GBK"/>
          <w:sz w:val="33"/>
          <w:szCs w:val="33"/>
          <w:lang w:val="zh-CN" w:eastAsia="zh-CN"/>
        </w:rPr>
      </w:pPr>
      <w:r>
        <w:rPr>
          <w:rFonts w:hint="eastAsia" w:eastAsia="方正仿宋_GBK"/>
          <w:sz w:val="33"/>
          <w:szCs w:val="33"/>
          <w:lang w:val="en-US" w:eastAsia="zh-CN"/>
        </w:rPr>
        <w:t>四、项目绩效情况</w:t>
      </w:r>
      <w:r>
        <w:rPr>
          <w:rFonts w:hint="eastAsia" w:eastAsia="方正仿宋_GBK"/>
          <w:sz w:val="33"/>
          <w:szCs w:val="33"/>
          <w:lang w:val="zh-CN" w:eastAsia="zh-CN"/>
        </w:rPr>
        <w:tab/>
      </w:r>
    </w:p>
    <w:p w14:paraId="4E67C4BD">
      <w:pPr>
        <w:spacing w:line="590" w:lineRule="exact"/>
        <w:ind w:firstLine="660" w:firstLineChars="200"/>
        <w:rPr>
          <w:rFonts w:hint="eastAsia" w:eastAsia="方正仿宋_GBK"/>
          <w:sz w:val="33"/>
          <w:szCs w:val="33"/>
          <w:lang w:val="zh-CN" w:eastAsia="zh-CN"/>
        </w:rPr>
      </w:pPr>
      <w:r>
        <w:rPr>
          <w:rFonts w:hint="eastAsia" w:eastAsia="方正仿宋_GBK"/>
          <w:sz w:val="33"/>
          <w:szCs w:val="33"/>
          <w:lang w:val="zh-CN" w:eastAsia="zh-CN"/>
        </w:rPr>
        <w:t>（一）项目完成情况。</w:t>
      </w:r>
    </w:p>
    <w:p w14:paraId="2573145D">
      <w:pPr>
        <w:spacing w:line="590" w:lineRule="exact"/>
        <w:ind w:firstLine="660" w:firstLineChars="200"/>
        <w:rPr>
          <w:rFonts w:eastAsia="方正仿宋_GBK"/>
          <w:sz w:val="33"/>
          <w:szCs w:val="33"/>
          <w:lang w:val="zh-CN"/>
        </w:rPr>
      </w:pPr>
      <w:r>
        <w:rPr>
          <w:rFonts w:eastAsia="方正仿宋_GBK"/>
          <w:sz w:val="33"/>
          <w:szCs w:val="33"/>
        </w:rPr>
        <w:t>202</w:t>
      </w:r>
      <w:r>
        <w:rPr>
          <w:rFonts w:hint="eastAsia" w:eastAsia="方正仿宋_GBK"/>
          <w:sz w:val="33"/>
          <w:szCs w:val="33"/>
          <w:lang w:val="en-US" w:eastAsia="zh-CN"/>
        </w:rPr>
        <w:t>1</w:t>
      </w:r>
      <w:r>
        <w:rPr>
          <w:rFonts w:eastAsia="方正仿宋_GBK"/>
          <w:sz w:val="33"/>
          <w:szCs w:val="33"/>
        </w:rPr>
        <w:t>年，市驻蓉办全面完成年初下达的招商引资工作目标。主办协办区域专题投资推介活动</w:t>
      </w:r>
      <w:r>
        <w:rPr>
          <w:rFonts w:hint="eastAsia" w:eastAsia="方正仿宋_GBK"/>
          <w:sz w:val="33"/>
          <w:szCs w:val="33"/>
          <w:lang w:val="en-US" w:eastAsia="zh-CN"/>
        </w:rPr>
        <w:t>5</w:t>
      </w:r>
      <w:r>
        <w:rPr>
          <w:rFonts w:eastAsia="方正仿宋_GBK"/>
          <w:sz w:val="33"/>
          <w:szCs w:val="33"/>
        </w:rPr>
        <w:t>次，完成目标任务</w:t>
      </w:r>
      <w:r>
        <w:rPr>
          <w:rFonts w:hint="eastAsia" w:eastAsia="方正仿宋_GBK"/>
          <w:sz w:val="33"/>
          <w:szCs w:val="33"/>
          <w:lang w:val="en-US" w:eastAsia="zh-CN"/>
        </w:rPr>
        <w:t>166</w:t>
      </w:r>
      <w:r>
        <w:rPr>
          <w:rFonts w:eastAsia="方正仿宋_GBK"/>
          <w:sz w:val="33"/>
          <w:szCs w:val="33"/>
        </w:rPr>
        <w:t>%。促成</w:t>
      </w:r>
      <w:r>
        <w:rPr>
          <w:rFonts w:hint="eastAsia" w:eastAsia="方正仿宋_GBK"/>
          <w:sz w:val="33"/>
          <w:szCs w:val="33"/>
          <w:lang w:val="en-US" w:eastAsia="zh-CN"/>
        </w:rPr>
        <w:t>成都思佳维科技有限公司、四川博斯威尔药业有限责任公司、成都金宏达快运有限责任公司</w:t>
      </w:r>
      <w:r>
        <w:rPr>
          <w:rFonts w:eastAsia="方正仿宋_GBK"/>
          <w:sz w:val="33"/>
          <w:szCs w:val="33"/>
        </w:rPr>
        <w:t>等</w:t>
      </w:r>
      <w:r>
        <w:rPr>
          <w:rFonts w:hint="eastAsia" w:eastAsia="方正仿宋_GBK"/>
          <w:sz w:val="33"/>
          <w:szCs w:val="33"/>
          <w:lang w:val="en-US" w:eastAsia="zh-CN"/>
        </w:rPr>
        <w:t>7</w:t>
      </w:r>
      <w:r>
        <w:rPr>
          <w:rFonts w:eastAsia="方正仿宋_GBK"/>
          <w:sz w:val="33"/>
          <w:szCs w:val="33"/>
        </w:rPr>
        <w:t>家企业落地投资，完成目标任务1</w:t>
      </w:r>
      <w:r>
        <w:rPr>
          <w:rFonts w:hint="eastAsia" w:eastAsia="方正仿宋_GBK"/>
          <w:sz w:val="33"/>
          <w:szCs w:val="33"/>
          <w:lang w:val="en-US" w:eastAsia="zh-CN"/>
        </w:rPr>
        <w:t>16</w:t>
      </w:r>
      <w:r>
        <w:rPr>
          <w:rFonts w:eastAsia="方正仿宋_GBK"/>
          <w:sz w:val="33"/>
          <w:szCs w:val="33"/>
        </w:rPr>
        <w:t>%。完成年初下达的信息目标任务，在市委办《每日要情》刊发</w:t>
      </w:r>
      <w:r>
        <w:rPr>
          <w:rFonts w:hint="eastAsia" w:eastAsia="方正仿宋_GBK"/>
          <w:sz w:val="33"/>
          <w:szCs w:val="33"/>
          <w:lang w:val="en-US" w:eastAsia="zh-CN"/>
        </w:rPr>
        <w:t>4</w:t>
      </w:r>
      <w:r>
        <w:rPr>
          <w:rFonts w:eastAsia="方正仿宋_GBK"/>
          <w:sz w:val="33"/>
          <w:szCs w:val="33"/>
        </w:rPr>
        <w:t>篇，完成</w:t>
      </w:r>
      <w:r>
        <w:rPr>
          <w:rFonts w:hint="eastAsia" w:eastAsia="方正仿宋_GBK"/>
          <w:sz w:val="33"/>
          <w:szCs w:val="33"/>
          <w:lang w:val="en-US" w:eastAsia="zh-CN"/>
        </w:rPr>
        <w:t>招商引资情况</w:t>
      </w:r>
      <w:r>
        <w:rPr>
          <w:rFonts w:eastAsia="方正仿宋_GBK"/>
          <w:sz w:val="33"/>
          <w:szCs w:val="33"/>
        </w:rPr>
        <w:t>调研报告1篇，报送招商信息</w:t>
      </w:r>
      <w:r>
        <w:rPr>
          <w:rFonts w:hint="eastAsia" w:eastAsia="方正仿宋_GBK"/>
          <w:sz w:val="33"/>
          <w:szCs w:val="33"/>
          <w:lang w:val="en-US" w:eastAsia="zh-CN"/>
        </w:rPr>
        <w:t>4</w:t>
      </w:r>
      <w:r>
        <w:rPr>
          <w:rFonts w:eastAsia="方正仿宋_GBK"/>
          <w:sz w:val="33"/>
          <w:szCs w:val="33"/>
        </w:rPr>
        <w:t>0余条</w:t>
      </w:r>
      <w:r>
        <w:rPr>
          <w:rFonts w:eastAsia="方正仿宋_GBK"/>
          <w:sz w:val="33"/>
          <w:szCs w:val="33"/>
          <w:lang w:val="zh-CN"/>
        </w:rPr>
        <w:t>。</w:t>
      </w:r>
      <w:r>
        <w:rPr>
          <w:rFonts w:eastAsia="方正仿宋_GBK"/>
          <w:sz w:val="33"/>
          <w:szCs w:val="33"/>
        </w:rPr>
        <w:t>项目</w:t>
      </w:r>
      <w:r>
        <w:rPr>
          <w:rFonts w:eastAsia="方正仿宋_GBK"/>
          <w:sz w:val="33"/>
          <w:szCs w:val="33"/>
          <w:lang w:val="zh-CN"/>
        </w:rPr>
        <w:t>完成数量、质量、实效、效益等指标均达到预期。</w:t>
      </w:r>
    </w:p>
    <w:p w14:paraId="44FCB911">
      <w:pPr>
        <w:spacing w:line="590" w:lineRule="exact"/>
        <w:ind w:firstLine="660" w:firstLineChars="200"/>
        <w:rPr>
          <w:rFonts w:hint="eastAsia" w:eastAsia="方正仿宋_GBK"/>
          <w:sz w:val="33"/>
          <w:szCs w:val="33"/>
          <w:lang w:val="zh-CN" w:eastAsia="zh-CN"/>
        </w:rPr>
      </w:pPr>
      <w:r>
        <w:rPr>
          <w:rFonts w:hint="eastAsia" w:eastAsia="方正仿宋_GBK"/>
          <w:sz w:val="33"/>
          <w:szCs w:val="33"/>
          <w:lang w:val="zh-CN" w:eastAsia="zh-CN"/>
        </w:rPr>
        <w:t>（二）项目效益情况。</w:t>
      </w:r>
    </w:p>
    <w:p w14:paraId="17973E3A">
      <w:pPr>
        <w:spacing w:line="590" w:lineRule="exact"/>
        <w:ind w:firstLine="660" w:firstLineChars="200"/>
        <w:rPr>
          <w:rFonts w:eastAsia="方正仿宋_GBK"/>
          <w:sz w:val="33"/>
          <w:szCs w:val="33"/>
        </w:rPr>
      </w:pPr>
      <w:r>
        <w:rPr>
          <w:rFonts w:eastAsia="方正仿宋_GBK"/>
          <w:sz w:val="33"/>
          <w:szCs w:val="33"/>
        </w:rPr>
        <w:t>1、抓项目。</w:t>
      </w:r>
      <w:r>
        <w:rPr>
          <w:rFonts w:eastAsia="方正仿宋_GBK"/>
          <w:sz w:val="33"/>
          <w:szCs w:val="33"/>
          <w:lang w:val="zh-CN"/>
        </w:rPr>
        <w:t>202</w:t>
      </w:r>
      <w:r>
        <w:rPr>
          <w:rFonts w:hint="eastAsia" w:eastAsia="方正仿宋_GBK"/>
          <w:sz w:val="33"/>
          <w:szCs w:val="33"/>
          <w:lang w:val="zh-CN"/>
        </w:rPr>
        <w:t>1</w:t>
      </w:r>
      <w:r>
        <w:rPr>
          <w:rFonts w:eastAsia="方正仿宋_GBK"/>
          <w:sz w:val="33"/>
          <w:szCs w:val="33"/>
          <w:lang w:val="zh-CN"/>
        </w:rPr>
        <w:t>年，驻蓉办在招商引资专项工作中</w:t>
      </w:r>
      <w:r>
        <w:rPr>
          <w:rFonts w:eastAsia="方正仿宋_GBK"/>
          <w:sz w:val="33"/>
          <w:szCs w:val="33"/>
        </w:rPr>
        <w:t>，牢固树立“经济发展项目为王”理念，狠抓项目、大抓项目、抓大项目，做到勤拜访、多互动，勤收集、多筛选，力争“对接一批、推荐一批、促成一批”，全年对接项目</w:t>
      </w:r>
      <w:r>
        <w:rPr>
          <w:rFonts w:hint="eastAsia" w:eastAsia="方正仿宋_GBK"/>
          <w:sz w:val="33"/>
          <w:szCs w:val="33"/>
          <w:lang w:val="en-US" w:eastAsia="zh-CN"/>
        </w:rPr>
        <w:t>23</w:t>
      </w:r>
      <w:r>
        <w:rPr>
          <w:rFonts w:eastAsia="方正仿宋_GBK"/>
          <w:sz w:val="33"/>
          <w:szCs w:val="33"/>
        </w:rPr>
        <w:t>个、推荐项目</w:t>
      </w:r>
      <w:r>
        <w:rPr>
          <w:rFonts w:hint="eastAsia" w:eastAsia="方正仿宋_GBK"/>
          <w:sz w:val="33"/>
          <w:szCs w:val="33"/>
          <w:lang w:val="en-US" w:eastAsia="zh-CN"/>
        </w:rPr>
        <w:t>4</w:t>
      </w:r>
      <w:r>
        <w:rPr>
          <w:rFonts w:eastAsia="方正仿宋_GBK"/>
          <w:sz w:val="33"/>
          <w:szCs w:val="33"/>
        </w:rPr>
        <w:t>6个、</w:t>
      </w:r>
      <w:r>
        <w:rPr>
          <w:rFonts w:hint="eastAsia" w:eastAsia="方正仿宋_GBK"/>
          <w:sz w:val="33"/>
          <w:szCs w:val="33"/>
          <w:lang w:val="en-US" w:eastAsia="zh-CN"/>
        </w:rPr>
        <w:t>签定正式协议项目7个，协议投资额达5亿元，其中，亿元以上工业项目3个</w:t>
      </w:r>
      <w:r>
        <w:rPr>
          <w:rFonts w:eastAsia="方正仿宋_GBK"/>
          <w:sz w:val="33"/>
          <w:szCs w:val="33"/>
        </w:rPr>
        <w:t>。</w:t>
      </w:r>
    </w:p>
    <w:p w14:paraId="0FD26492">
      <w:pPr>
        <w:spacing w:line="590" w:lineRule="exact"/>
        <w:ind w:firstLine="660" w:firstLineChars="200"/>
        <w:rPr>
          <w:rFonts w:eastAsia="方正仿宋_GBK"/>
          <w:sz w:val="33"/>
          <w:szCs w:val="33"/>
        </w:rPr>
      </w:pPr>
      <w:r>
        <w:rPr>
          <w:rFonts w:eastAsia="方正仿宋_GBK"/>
          <w:sz w:val="33"/>
          <w:szCs w:val="33"/>
        </w:rPr>
        <w:t>2、抓资金。对接民生银行、大连银行、中信证券、四川产业投资基金等金融机构，洽谈在广安设立分支机构等事宜。对接省财政等厅局，全力协助相关部门争取中央和省级资金、金融资本和社会资本支持广安发展。对接泸州老窖、川航集团等，支持小平干部学院二期建设。</w:t>
      </w:r>
    </w:p>
    <w:p w14:paraId="71344DF0">
      <w:pPr>
        <w:spacing w:line="590" w:lineRule="exact"/>
        <w:ind w:firstLine="660" w:firstLineChars="200"/>
        <w:rPr>
          <w:rFonts w:eastAsia="方正仿宋_GBK"/>
          <w:sz w:val="33"/>
          <w:szCs w:val="33"/>
        </w:rPr>
      </w:pPr>
      <w:r>
        <w:rPr>
          <w:rFonts w:eastAsia="方正仿宋_GBK"/>
          <w:sz w:val="33"/>
          <w:szCs w:val="33"/>
        </w:rPr>
        <w:t>3、抓服务。一是为市直部门和区市县、园区在蓉开展招商引资工作和重大经济交流活动等工作提供咨询服务和工作便利。二是做好企业服务。组织开展以“服务商会、服务企业”“关爱企业家、关爱员工”为主要内容的活动。</w:t>
      </w:r>
    </w:p>
    <w:p w14:paraId="562228BF">
      <w:pPr>
        <w:spacing w:line="590" w:lineRule="exact"/>
        <w:ind w:firstLine="660" w:firstLineChars="200"/>
        <w:rPr>
          <w:rFonts w:hint="eastAsia" w:eastAsia="方正仿宋_GBK"/>
          <w:sz w:val="33"/>
          <w:szCs w:val="33"/>
          <w:lang w:val="zh-CN" w:eastAsia="zh-CN"/>
        </w:rPr>
      </w:pPr>
      <w:r>
        <w:rPr>
          <w:rFonts w:eastAsia="方正仿宋_GBK"/>
          <w:sz w:val="33"/>
          <w:szCs w:val="33"/>
        </w:rPr>
        <w:t>综上所述，202</w:t>
      </w:r>
      <w:r>
        <w:rPr>
          <w:rFonts w:hint="eastAsia" w:eastAsia="方正仿宋_GBK"/>
          <w:sz w:val="33"/>
          <w:szCs w:val="33"/>
          <w:lang w:val="en-US" w:eastAsia="zh-CN"/>
        </w:rPr>
        <w:t>1</w:t>
      </w:r>
      <w:r>
        <w:rPr>
          <w:rFonts w:eastAsia="方正仿宋_GBK"/>
          <w:sz w:val="33"/>
          <w:szCs w:val="33"/>
        </w:rPr>
        <w:t>年，市驻蓉办充分发挥地处成都位置优势和自身职能优势，大力开展招商引资工作，助力广安高质量发展，</w:t>
      </w:r>
      <w:r>
        <w:rPr>
          <w:rFonts w:eastAsia="方正仿宋_GBK"/>
          <w:sz w:val="33"/>
          <w:szCs w:val="33"/>
          <w:lang w:val="zh-CN"/>
        </w:rPr>
        <w:t>取得了良好的社会效益。</w:t>
      </w:r>
    </w:p>
    <w:p w14:paraId="503E7FED">
      <w:pPr>
        <w:spacing w:line="590" w:lineRule="exact"/>
        <w:ind w:firstLine="660" w:firstLineChars="200"/>
        <w:rPr>
          <w:rFonts w:hint="eastAsia" w:eastAsia="方正仿宋_GBK"/>
          <w:sz w:val="33"/>
          <w:szCs w:val="33"/>
          <w:lang w:val="en-US" w:eastAsia="zh-CN"/>
        </w:rPr>
      </w:pPr>
      <w:r>
        <w:rPr>
          <w:rFonts w:hint="eastAsia" w:eastAsia="方正仿宋_GBK"/>
          <w:sz w:val="33"/>
          <w:szCs w:val="33"/>
          <w:lang w:val="en-US" w:eastAsia="zh-CN"/>
        </w:rPr>
        <w:t>五、评价结论及建议</w:t>
      </w:r>
    </w:p>
    <w:p w14:paraId="58F0DE22">
      <w:pPr>
        <w:spacing w:line="590" w:lineRule="exact"/>
        <w:ind w:firstLine="660" w:firstLineChars="200"/>
        <w:rPr>
          <w:rFonts w:eastAsia="方正仿宋_GBK"/>
          <w:sz w:val="33"/>
          <w:szCs w:val="33"/>
          <w:shd w:val="clear" w:color="auto" w:fill="FFFFFF"/>
        </w:rPr>
      </w:pPr>
      <w:r>
        <w:rPr>
          <w:rFonts w:eastAsia="方正仿宋_GBK"/>
          <w:sz w:val="33"/>
          <w:szCs w:val="33"/>
        </w:rPr>
        <w:t>202</w:t>
      </w:r>
      <w:r>
        <w:rPr>
          <w:rFonts w:hint="eastAsia" w:eastAsia="方正仿宋_GBK"/>
          <w:sz w:val="33"/>
          <w:szCs w:val="33"/>
        </w:rPr>
        <w:t>1</w:t>
      </w:r>
      <w:r>
        <w:rPr>
          <w:rFonts w:eastAsia="方正仿宋_GBK"/>
          <w:sz w:val="33"/>
          <w:szCs w:val="33"/>
        </w:rPr>
        <w:t>年受疫情影响，对接多，实地考察少，招商效果与预期有差距，力争202</w:t>
      </w:r>
      <w:r>
        <w:rPr>
          <w:rFonts w:hint="eastAsia" w:eastAsia="方正仿宋_GBK"/>
          <w:sz w:val="33"/>
          <w:szCs w:val="33"/>
        </w:rPr>
        <w:t>2</w:t>
      </w:r>
      <w:r>
        <w:rPr>
          <w:rFonts w:eastAsia="方正仿宋_GBK"/>
          <w:sz w:val="33"/>
          <w:szCs w:val="33"/>
        </w:rPr>
        <w:t>年招商引资有新效。</w:t>
      </w:r>
      <w:r>
        <w:rPr>
          <w:rFonts w:eastAsia="方正仿宋_GBK"/>
          <w:b/>
          <w:bCs/>
          <w:sz w:val="33"/>
          <w:szCs w:val="33"/>
        </w:rPr>
        <w:t>一是强平台，</w:t>
      </w:r>
      <w:r>
        <w:rPr>
          <w:rFonts w:eastAsia="方正仿宋_GBK"/>
          <w:sz w:val="33"/>
          <w:szCs w:val="33"/>
        </w:rPr>
        <w:t>巩固在蓉广安商会、川东北商会、沿海地区商会三大商会平台；搭建成渝两地商会平台；拓展港澳台在蓉经济组织平台；强化四川省医疗卫生与健康促进会、四川省建筑业协会等20余个行业协会平台。二是</w:t>
      </w:r>
      <w:r>
        <w:rPr>
          <w:rFonts w:eastAsia="方正仿宋_GBK"/>
          <w:b/>
          <w:bCs/>
          <w:sz w:val="33"/>
          <w:szCs w:val="33"/>
        </w:rPr>
        <w:t>拓对象，</w:t>
      </w:r>
      <w:r>
        <w:rPr>
          <w:rFonts w:eastAsia="方正仿宋_GBK"/>
          <w:sz w:val="33"/>
          <w:szCs w:val="33"/>
        </w:rPr>
        <w:t>主动拜访中央在川及省属国有企业，积极联络在蓉中国500强、全省100强等知名民企，加强对接智库、中介服务机构和新生代企业。三是</w:t>
      </w:r>
      <w:r>
        <w:rPr>
          <w:rFonts w:eastAsia="方正仿宋_GBK"/>
          <w:b/>
          <w:bCs/>
          <w:sz w:val="33"/>
          <w:szCs w:val="33"/>
          <w:shd w:val="clear" w:color="auto" w:fill="FFFFFF"/>
        </w:rPr>
        <w:t>引资金，</w:t>
      </w:r>
      <w:r>
        <w:rPr>
          <w:rFonts w:eastAsia="方正仿宋_GBK"/>
          <w:sz w:val="33"/>
          <w:szCs w:val="33"/>
          <w:shd w:val="clear" w:color="auto" w:fill="FFFFFF"/>
        </w:rPr>
        <w:t>做好招商引资的同时，配合市级部门，向上争取财政性资金；广泛对接银行、基金、信托等金融机构，洽谈在广安设立分支机构或开展业务，争取金融资金。四是</w:t>
      </w:r>
      <w:r>
        <w:rPr>
          <w:rFonts w:eastAsia="方正仿宋_GBK"/>
          <w:b/>
          <w:bCs/>
          <w:sz w:val="33"/>
          <w:szCs w:val="33"/>
          <w:shd w:val="clear" w:color="auto" w:fill="FFFFFF"/>
        </w:rPr>
        <w:t>引客流</w:t>
      </w:r>
      <w:r>
        <w:rPr>
          <w:rFonts w:eastAsia="方正仿宋_GBK"/>
          <w:sz w:val="33"/>
          <w:szCs w:val="33"/>
          <w:shd w:val="clear" w:color="auto" w:fill="FFFFFF"/>
        </w:rPr>
        <w:t>，广泛宣传小平干部学院，联合组织在蓉</w:t>
      </w:r>
      <w:r>
        <w:rPr>
          <w:rFonts w:eastAsia="方正仿宋_GBK"/>
          <w:sz w:val="33"/>
          <w:szCs w:val="33"/>
        </w:rPr>
        <w:t>机关企事业单位人员到小平干部学院开展教育培训。抓住</w:t>
      </w:r>
      <w:r>
        <w:rPr>
          <w:rFonts w:eastAsia="方正仿宋_GBK"/>
          <w:sz w:val="33"/>
          <w:szCs w:val="33"/>
          <w:shd w:val="clear" w:color="auto" w:fill="FFFFFF"/>
        </w:rPr>
        <w:t>建党</w:t>
      </w:r>
      <w:r>
        <w:rPr>
          <w:rFonts w:eastAsia="方正仿宋_GBK"/>
          <w:sz w:val="33"/>
          <w:szCs w:val="33"/>
        </w:rPr>
        <w:t>100周</w:t>
      </w:r>
      <w:r>
        <w:rPr>
          <w:rFonts w:eastAsia="方正仿宋_GBK"/>
          <w:sz w:val="33"/>
          <w:szCs w:val="33"/>
          <w:shd w:val="clear" w:color="auto" w:fill="FFFFFF"/>
        </w:rPr>
        <w:t>年契机，宣传推介广安红色旅游。五是</w:t>
      </w:r>
      <w:r>
        <w:rPr>
          <w:rFonts w:eastAsia="方正仿宋_GBK"/>
          <w:b/>
          <w:bCs/>
          <w:sz w:val="33"/>
          <w:szCs w:val="33"/>
          <w:shd w:val="clear" w:color="auto" w:fill="FFFFFF"/>
        </w:rPr>
        <w:t>引信息，</w:t>
      </w:r>
      <w:r>
        <w:rPr>
          <w:rFonts w:eastAsia="方正仿宋_GBK"/>
          <w:sz w:val="33"/>
          <w:szCs w:val="33"/>
          <w:shd w:val="clear" w:color="auto" w:fill="FFFFFF"/>
        </w:rPr>
        <w:t>加强与各科研院所、智库机构和新兴经济组织的联系，</w:t>
      </w:r>
      <w:r>
        <w:rPr>
          <w:rFonts w:eastAsia="方正仿宋_GBK"/>
          <w:sz w:val="33"/>
          <w:szCs w:val="33"/>
        </w:rPr>
        <w:t>拓宽信息渠道，做好信息收集和传递工作，为党委政府</w:t>
      </w:r>
      <w:r>
        <w:rPr>
          <w:rFonts w:eastAsia="方正仿宋_GBK"/>
          <w:sz w:val="33"/>
          <w:szCs w:val="33"/>
          <w:shd w:val="clear" w:color="auto" w:fill="FFFFFF"/>
        </w:rPr>
        <w:t>提供经济发展战略分析和决策咨询服务。</w:t>
      </w:r>
    </w:p>
    <w:p w14:paraId="21654D1B">
      <w:pPr>
        <w:rPr>
          <w:lang w:val="zh-CN"/>
        </w:rPr>
      </w:pPr>
    </w:p>
    <w:p w14:paraId="60CD9CBA">
      <w:pPr>
        <w:pStyle w:val="2"/>
        <w:rPr>
          <w:rFonts w:hint="eastAsia"/>
          <w:color w:val="auto"/>
          <w:highlight w:val="none"/>
          <w:lang w:val="zh-CN"/>
        </w:rPr>
      </w:pPr>
    </w:p>
    <w:p w14:paraId="393778EE">
      <w:pPr>
        <w:spacing w:line="600" w:lineRule="exact"/>
        <w:jc w:val="center"/>
        <w:outlineLvl w:val="0"/>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广安市人民政府驻成都办事处</w:t>
      </w:r>
    </w:p>
    <w:p w14:paraId="271C1E10">
      <w:pPr>
        <w:pStyle w:val="2"/>
        <w:ind w:firstLine="880" w:firstLineChars="200"/>
        <w:rPr>
          <w:rFonts w:hint="eastAsia"/>
          <w:color w:val="auto"/>
          <w:highlight w:val="none"/>
          <w:lang w:val="zh-CN"/>
        </w:rPr>
      </w:pPr>
      <w:r>
        <w:rPr>
          <w:rFonts w:hint="eastAsia" w:ascii="Times New Roman" w:hAnsi="Times New Roman" w:eastAsia="方正小标宋_GBK" w:cs="方正小标宋_GBK"/>
          <w:sz w:val="44"/>
          <w:szCs w:val="44"/>
          <w:lang w:val="en-US" w:eastAsia="zh-CN"/>
        </w:rPr>
        <w:t>信访维稳项目2021年</w:t>
      </w:r>
      <w:r>
        <w:rPr>
          <w:rFonts w:hint="eastAsia" w:ascii="Times New Roman" w:hAnsi="Times New Roman" w:eastAsia="方正小标宋_GBK" w:cs="方正小标宋_GBK"/>
          <w:sz w:val="44"/>
          <w:szCs w:val="44"/>
          <w:lang w:val="zh-CN" w:eastAsia="zh-CN"/>
        </w:rPr>
        <w:t>绩效评价报告</w:t>
      </w:r>
    </w:p>
    <w:p w14:paraId="357A94C5">
      <w:pPr>
        <w:pStyle w:val="8"/>
        <w:rPr>
          <w:rFonts w:hint="eastAsia" w:ascii="Times New Roman" w:hAnsi="Times New Roman" w:eastAsia="方正小标宋_GBK" w:cs="方正小标宋_GBK"/>
          <w:sz w:val="44"/>
          <w:szCs w:val="44"/>
          <w:lang w:val="zh-CN" w:eastAsia="zh-CN"/>
        </w:rPr>
      </w:pPr>
    </w:p>
    <w:p w14:paraId="1FD45FD1">
      <w:pPr>
        <w:adjustRightInd w:val="0"/>
        <w:snapToGrid w:val="0"/>
        <w:spacing w:line="590" w:lineRule="exact"/>
        <w:ind w:firstLine="720"/>
        <w:rPr>
          <w:rFonts w:hint="eastAsia" w:eastAsia="方正仿宋_GBK"/>
          <w:kern w:val="0"/>
          <w:sz w:val="33"/>
          <w:szCs w:val="33"/>
          <w:lang w:val="zh-CN" w:eastAsia="zh-CN"/>
        </w:rPr>
      </w:pPr>
      <w:r>
        <w:rPr>
          <w:rFonts w:hint="eastAsia" w:eastAsia="方正仿宋_GBK"/>
          <w:kern w:val="0"/>
          <w:sz w:val="33"/>
          <w:szCs w:val="33"/>
          <w:lang w:val="zh-CN" w:eastAsia="zh-CN"/>
        </w:rPr>
        <w:t>一、项目概况</w:t>
      </w:r>
    </w:p>
    <w:p w14:paraId="658518BE">
      <w:pPr>
        <w:adjustRightInd w:val="0"/>
        <w:snapToGrid w:val="0"/>
        <w:spacing w:line="590" w:lineRule="exact"/>
        <w:ind w:firstLine="720"/>
        <w:rPr>
          <w:rFonts w:hint="eastAsia" w:eastAsia="方正仿宋_GBK"/>
          <w:kern w:val="0"/>
          <w:sz w:val="33"/>
          <w:szCs w:val="33"/>
          <w:lang w:val="zh-CN" w:eastAsia="zh-CN"/>
        </w:rPr>
      </w:pPr>
      <w:r>
        <w:rPr>
          <w:rFonts w:hint="eastAsia" w:eastAsia="方正仿宋_GBK"/>
          <w:kern w:val="0"/>
          <w:sz w:val="33"/>
          <w:szCs w:val="33"/>
          <w:lang w:val="zh-CN" w:eastAsia="zh-CN"/>
        </w:rPr>
        <w:t>（一）项目基本情况</w:t>
      </w:r>
    </w:p>
    <w:p w14:paraId="6EAB29CC">
      <w:pPr>
        <w:adjustRightInd w:val="0"/>
        <w:snapToGrid w:val="0"/>
        <w:spacing w:line="590" w:lineRule="exact"/>
        <w:ind w:firstLine="720"/>
        <w:rPr>
          <w:rFonts w:hint="eastAsia" w:eastAsia="方正仿宋_GBK"/>
          <w:kern w:val="0"/>
          <w:sz w:val="33"/>
          <w:szCs w:val="33"/>
          <w:lang w:val="en-US" w:eastAsia="zh-CN"/>
        </w:rPr>
      </w:pPr>
      <w:r>
        <w:rPr>
          <w:rFonts w:hint="eastAsia" w:eastAsia="方正仿宋_GBK"/>
          <w:kern w:val="0"/>
          <w:sz w:val="33"/>
          <w:szCs w:val="33"/>
          <w:lang w:val="en-US" w:eastAsia="zh-CN"/>
        </w:rPr>
        <w:t xml:space="preserve">健全完善日常驻蓉信访维稳工作机制，做好赴蓉上访人员的接待、劝返，关注重点区域、敏感时段和重点人员，切实维护和谐稳定。 </w:t>
      </w:r>
    </w:p>
    <w:p w14:paraId="4DC8D252">
      <w:pPr>
        <w:adjustRightInd w:val="0"/>
        <w:snapToGrid w:val="0"/>
        <w:spacing w:line="590" w:lineRule="exact"/>
        <w:ind w:firstLine="720"/>
        <w:rPr>
          <w:rFonts w:hint="eastAsia" w:eastAsia="方正仿宋_GBK"/>
          <w:kern w:val="0"/>
          <w:sz w:val="33"/>
          <w:szCs w:val="33"/>
          <w:lang w:val="en-US" w:eastAsia="zh-CN"/>
        </w:rPr>
      </w:pPr>
      <w:r>
        <w:rPr>
          <w:rFonts w:hint="eastAsia" w:eastAsia="方正仿宋_GBK"/>
          <w:kern w:val="0"/>
          <w:sz w:val="33"/>
          <w:szCs w:val="33"/>
          <w:lang w:val="en-US" w:eastAsia="zh-CN"/>
        </w:rPr>
        <w:t>（二）项目绩效目标。</w:t>
      </w:r>
    </w:p>
    <w:p w14:paraId="1C83D568">
      <w:pPr>
        <w:adjustRightInd w:val="0"/>
        <w:snapToGrid w:val="0"/>
        <w:spacing w:line="590" w:lineRule="exact"/>
        <w:ind w:firstLine="330" w:firstLineChars="100"/>
        <w:rPr>
          <w:rFonts w:hint="eastAsia" w:eastAsia="方正仿宋_GBK"/>
          <w:kern w:val="0"/>
          <w:sz w:val="33"/>
          <w:szCs w:val="33"/>
          <w:lang w:val="en-US" w:eastAsia="zh-CN"/>
        </w:rPr>
      </w:pPr>
      <w:r>
        <w:rPr>
          <w:rFonts w:hint="eastAsia" w:eastAsia="方正仿宋_GBK"/>
          <w:kern w:val="0"/>
          <w:sz w:val="33"/>
          <w:szCs w:val="33"/>
          <w:lang w:val="en-US" w:eastAsia="zh-CN"/>
        </w:rPr>
        <w:t xml:space="preserve">  1、项目主要内容。</w:t>
      </w:r>
    </w:p>
    <w:p w14:paraId="3F2A4962">
      <w:pPr>
        <w:adjustRightInd w:val="0"/>
        <w:snapToGrid w:val="0"/>
        <w:spacing w:line="590" w:lineRule="exact"/>
        <w:ind w:firstLine="720"/>
        <w:rPr>
          <w:rFonts w:hint="eastAsia" w:eastAsia="方正仿宋_GBK"/>
          <w:kern w:val="0"/>
          <w:sz w:val="33"/>
          <w:szCs w:val="33"/>
          <w:lang w:val="en-US" w:eastAsia="zh-CN"/>
        </w:rPr>
      </w:pPr>
      <w:r>
        <w:rPr>
          <w:rFonts w:hint="eastAsia" w:eastAsia="方正仿宋_GBK"/>
          <w:kern w:val="0"/>
          <w:sz w:val="33"/>
          <w:szCs w:val="33"/>
          <w:lang w:val="zh-CN" w:eastAsia="zh-CN"/>
        </w:rPr>
        <w:t>健全完善日常驻蓉信访维稳工作机制,做好赴蓉上访人员的接待、劝返，关注重点区域、敏感时段和重点人员，切实维护和谐稳定。</w:t>
      </w:r>
    </w:p>
    <w:p w14:paraId="38C9CAD7">
      <w:pPr>
        <w:adjustRightInd w:val="0"/>
        <w:snapToGrid w:val="0"/>
        <w:spacing w:line="590" w:lineRule="exact"/>
        <w:ind w:firstLine="720"/>
        <w:rPr>
          <w:rFonts w:hint="eastAsia" w:eastAsia="方正仿宋_GBK"/>
          <w:kern w:val="0"/>
          <w:sz w:val="33"/>
          <w:szCs w:val="33"/>
          <w:lang w:val="en-US" w:eastAsia="zh-CN"/>
        </w:rPr>
      </w:pPr>
      <w:r>
        <w:rPr>
          <w:rFonts w:hint="eastAsia" w:eastAsia="方正仿宋_GBK"/>
          <w:kern w:val="0"/>
          <w:sz w:val="33"/>
          <w:szCs w:val="33"/>
          <w:lang w:val="en-US" w:eastAsia="zh-CN"/>
        </w:rPr>
        <w:t>2、项目实施进度计划。</w:t>
      </w:r>
    </w:p>
    <w:p w14:paraId="75523E8C">
      <w:pPr>
        <w:adjustRightInd w:val="0"/>
        <w:snapToGrid w:val="0"/>
        <w:spacing w:line="590" w:lineRule="exact"/>
        <w:ind w:firstLine="720"/>
        <w:rPr>
          <w:rFonts w:hint="eastAsia" w:eastAsia="方正仿宋_GBK"/>
          <w:kern w:val="0"/>
          <w:sz w:val="33"/>
          <w:szCs w:val="33"/>
          <w:lang w:val="en-US" w:eastAsia="zh-CN"/>
        </w:rPr>
      </w:pPr>
      <w:r>
        <w:rPr>
          <w:rFonts w:hint="eastAsia" w:eastAsia="方正仿宋_GBK"/>
          <w:kern w:val="0"/>
          <w:sz w:val="33"/>
          <w:szCs w:val="33"/>
          <w:lang w:val="en-US" w:eastAsia="zh-CN"/>
        </w:rPr>
        <w:t>结合日常工作，综合预算执行情况，依法依规组织实施。</w:t>
      </w:r>
    </w:p>
    <w:p w14:paraId="0E71D51E">
      <w:pPr>
        <w:adjustRightInd w:val="0"/>
        <w:snapToGrid w:val="0"/>
        <w:spacing w:line="590" w:lineRule="exact"/>
        <w:ind w:firstLine="720"/>
        <w:rPr>
          <w:rFonts w:hint="eastAsia" w:eastAsia="方正仿宋_GBK"/>
          <w:kern w:val="0"/>
          <w:sz w:val="33"/>
          <w:szCs w:val="33"/>
          <w:lang w:val="en-US" w:eastAsia="zh-CN"/>
        </w:rPr>
      </w:pPr>
      <w:r>
        <w:rPr>
          <w:rFonts w:hint="eastAsia" w:eastAsia="方正仿宋_GBK"/>
          <w:kern w:val="0"/>
          <w:sz w:val="33"/>
          <w:szCs w:val="33"/>
          <w:lang w:val="en-US" w:eastAsia="zh-CN"/>
        </w:rPr>
        <w:t>3、</w:t>
      </w:r>
      <w:r>
        <w:rPr>
          <w:rFonts w:hint="eastAsia" w:eastAsia="方正仿宋_GBK"/>
          <w:kern w:val="0"/>
          <w:sz w:val="33"/>
          <w:szCs w:val="33"/>
          <w:lang w:val="zh-CN" w:eastAsia="zh-CN"/>
        </w:rPr>
        <w:t>项目资金申报相符性。</w:t>
      </w:r>
      <w:r>
        <w:rPr>
          <w:rFonts w:hint="eastAsia" w:eastAsia="方正仿宋_GBK"/>
          <w:kern w:val="0"/>
          <w:sz w:val="33"/>
          <w:szCs w:val="33"/>
          <w:lang w:val="en-US" w:eastAsia="zh-CN"/>
        </w:rPr>
        <w:t>项目申报内容与具体实施内容相符、申报目标合理可行。</w:t>
      </w:r>
    </w:p>
    <w:p w14:paraId="405CFC20">
      <w:pPr>
        <w:adjustRightInd w:val="0"/>
        <w:snapToGrid w:val="0"/>
        <w:spacing w:line="590" w:lineRule="exact"/>
        <w:ind w:firstLine="660" w:firstLineChars="200"/>
        <w:rPr>
          <w:rFonts w:hint="eastAsia" w:eastAsia="方正仿宋_GBK"/>
          <w:kern w:val="0"/>
          <w:sz w:val="33"/>
          <w:szCs w:val="33"/>
          <w:lang w:val="en-US" w:eastAsia="zh-CN"/>
        </w:rPr>
      </w:pPr>
      <w:r>
        <w:rPr>
          <w:rFonts w:hint="eastAsia" w:eastAsia="方正仿宋_GBK"/>
          <w:kern w:val="0"/>
          <w:sz w:val="33"/>
          <w:szCs w:val="33"/>
          <w:lang w:val="en-US" w:eastAsia="zh-CN"/>
        </w:rPr>
        <w:t>（三）项目自评步骤及方法。</w:t>
      </w:r>
    </w:p>
    <w:p w14:paraId="56904C65">
      <w:pPr>
        <w:adjustRightInd w:val="0"/>
        <w:snapToGrid w:val="0"/>
        <w:spacing w:line="590" w:lineRule="exact"/>
        <w:ind w:firstLine="720"/>
        <w:rPr>
          <w:rFonts w:hint="eastAsia" w:eastAsia="方正仿宋_GBK"/>
          <w:kern w:val="0"/>
          <w:sz w:val="33"/>
          <w:szCs w:val="33"/>
          <w:lang w:val="en-US" w:eastAsia="zh-CN"/>
        </w:rPr>
      </w:pPr>
      <w:r>
        <w:rPr>
          <w:rFonts w:hint="eastAsia" w:eastAsia="方正仿宋_GBK"/>
          <w:kern w:val="0"/>
          <w:sz w:val="33"/>
          <w:szCs w:val="33"/>
          <w:lang w:val="en-US" w:eastAsia="zh-CN"/>
        </w:rPr>
        <w:t>确定自评范围和目的、制定评价指标、收集和分析数据、撰写自评报告。</w:t>
      </w:r>
    </w:p>
    <w:p w14:paraId="64C6651E">
      <w:pPr>
        <w:adjustRightInd w:val="0"/>
        <w:snapToGrid w:val="0"/>
        <w:spacing w:line="590" w:lineRule="exact"/>
        <w:ind w:firstLine="720"/>
        <w:rPr>
          <w:rFonts w:hint="eastAsia" w:eastAsia="方正仿宋_GBK"/>
          <w:kern w:val="0"/>
          <w:sz w:val="33"/>
          <w:szCs w:val="33"/>
          <w:lang w:val="en-US" w:eastAsia="zh-CN"/>
        </w:rPr>
      </w:pPr>
      <w:r>
        <w:rPr>
          <w:rFonts w:hint="eastAsia" w:eastAsia="方正仿宋_GBK"/>
          <w:kern w:val="0"/>
          <w:sz w:val="33"/>
          <w:szCs w:val="33"/>
          <w:lang w:val="en-US" w:eastAsia="zh-CN"/>
        </w:rPr>
        <w:t>二、项目资金申报及使用情况</w:t>
      </w:r>
    </w:p>
    <w:p w14:paraId="0D42036D">
      <w:pPr>
        <w:adjustRightInd w:val="0"/>
        <w:snapToGrid w:val="0"/>
        <w:spacing w:line="590" w:lineRule="exact"/>
        <w:ind w:firstLine="720"/>
        <w:rPr>
          <w:rFonts w:hint="eastAsia" w:eastAsia="方正仿宋_GBK"/>
          <w:kern w:val="0"/>
          <w:sz w:val="33"/>
          <w:szCs w:val="33"/>
          <w:lang w:val="en-US" w:eastAsia="zh-CN"/>
        </w:rPr>
      </w:pPr>
      <w:r>
        <w:rPr>
          <w:rFonts w:hint="eastAsia" w:eastAsia="方正仿宋_GBK"/>
          <w:kern w:val="0"/>
          <w:sz w:val="33"/>
          <w:szCs w:val="33"/>
          <w:lang w:val="en-US" w:eastAsia="zh-CN"/>
        </w:rPr>
        <w:t>（一）项目资金申报及批复情况</w:t>
      </w:r>
    </w:p>
    <w:p w14:paraId="084C82E1">
      <w:pPr>
        <w:adjustRightInd w:val="0"/>
        <w:snapToGrid w:val="0"/>
        <w:spacing w:line="590" w:lineRule="exact"/>
        <w:ind w:firstLine="720"/>
        <w:rPr>
          <w:rFonts w:hint="eastAsia" w:eastAsia="方正仿宋_GBK"/>
          <w:kern w:val="0"/>
          <w:sz w:val="33"/>
          <w:szCs w:val="33"/>
        </w:rPr>
      </w:pPr>
      <w:r>
        <w:rPr>
          <w:rFonts w:hint="eastAsia" w:eastAsia="方正仿宋_GBK"/>
          <w:kern w:val="0"/>
          <w:sz w:val="33"/>
          <w:szCs w:val="33"/>
        </w:rPr>
        <w:t>2021年，驻蓉办信访维稳项目年初预算20万元，无预算调整，符合资金管理办法等相关规定。</w:t>
      </w:r>
    </w:p>
    <w:p w14:paraId="371B8543">
      <w:pPr>
        <w:adjustRightInd w:val="0"/>
        <w:snapToGrid w:val="0"/>
        <w:spacing w:line="590" w:lineRule="exact"/>
        <w:ind w:firstLine="720"/>
        <w:rPr>
          <w:rFonts w:hint="eastAsia" w:eastAsia="方正仿宋_GBK"/>
          <w:kern w:val="0"/>
          <w:sz w:val="33"/>
          <w:szCs w:val="33"/>
          <w:lang w:val="en-US" w:eastAsia="zh-CN"/>
        </w:rPr>
      </w:pPr>
      <w:r>
        <w:rPr>
          <w:rFonts w:hint="eastAsia" w:eastAsia="方正仿宋_GBK"/>
          <w:kern w:val="0"/>
          <w:sz w:val="33"/>
          <w:szCs w:val="33"/>
          <w:lang w:val="en-US" w:eastAsia="zh-CN"/>
        </w:rPr>
        <w:t>（二）资金计划、到位及使用情况</w:t>
      </w:r>
    </w:p>
    <w:p w14:paraId="1043C890">
      <w:pPr>
        <w:adjustRightInd w:val="0"/>
        <w:snapToGrid w:val="0"/>
        <w:spacing w:line="590" w:lineRule="exact"/>
        <w:ind w:firstLine="720"/>
        <w:rPr>
          <w:rFonts w:hint="eastAsia" w:eastAsia="方正仿宋_GBK"/>
          <w:kern w:val="0"/>
          <w:sz w:val="33"/>
          <w:szCs w:val="33"/>
          <w:lang w:val="zh-CN" w:eastAsia="zh-CN"/>
        </w:rPr>
      </w:pPr>
      <w:r>
        <w:rPr>
          <w:rFonts w:hint="eastAsia" w:eastAsia="方正仿宋_GBK"/>
          <w:kern w:val="0"/>
          <w:sz w:val="33"/>
          <w:szCs w:val="33"/>
          <w:lang w:val="en-US" w:eastAsia="zh-CN"/>
        </w:rPr>
        <w:t>1、资金计划及到位。</w:t>
      </w:r>
      <w:r>
        <w:rPr>
          <w:rFonts w:hint="eastAsia" w:eastAsia="方正仿宋_GBK"/>
          <w:kern w:val="0"/>
          <w:sz w:val="33"/>
          <w:szCs w:val="33"/>
        </w:rPr>
        <w:t>2021年，驻蓉办信访维稳专项工作经费共20万元，均是按进度拨付到位，有力保障了信访维稳工作顺利进行。</w:t>
      </w:r>
    </w:p>
    <w:p w14:paraId="767ECF6E">
      <w:pPr>
        <w:adjustRightInd w:val="0"/>
        <w:snapToGrid w:val="0"/>
        <w:spacing w:line="590" w:lineRule="exact"/>
        <w:ind w:firstLine="720"/>
        <w:rPr>
          <w:rFonts w:hint="eastAsia" w:eastAsia="方正仿宋_GBK"/>
          <w:kern w:val="0"/>
          <w:sz w:val="33"/>
          <w:szCs w:val="33"/>
          <w:lang w:val="zh-CN"/>
        </w:rPr>
      </w:pPr>
      <w:r>
        <w:rPr>
          <w:rFonts w:hint="eastAsia" w:eastAsia="方正仿宋_GBK"/>
          <w:kern w:val="0"/>
          <w:sz w:val="33"/>
          <w:szCs w:val="33"/>
          <w:lang w:val="zh-CN" w:eastAsia="zh-CN"/>
        </w:rPr>
        <w:t>2．资金使用。</w:t>
      </w:r>
      <w:r>
        <w:rPr>
          <w:rFonts w:hint="eastAsia" w:eastAsia="方正仿宋_GBK"/>
          <w:kern w:val="0"/>
          <w:sz w:val="33"/>
          <w:szCs w:val="33"/>
          <w:lang w:val="zh-CN"/>
        </w:rPr>
        <w:t>截止2021年12月末</w:t>
      </w:r>
      <w:r>
        <w:rPr>
          <w:rFonts w:hint="eastAsia" w:eastAsia="方正仿宋_GBK"/>
          <w:kern w:val="0"/>
          <w:sz w:val="33"/>
          <w:szCs w:val="33"/>
        </w:rPr>
        <w:t>，项目资金支出5.68万元，支出占预算数28.4%。</w:t>
      </w:r>
    </w:p>
    <w:p w14:paraId="0FB41F19">
      <w:pPr>
        <w:adjustRightInd w:val="0"/>
        <w:snapToGrid w:val="0"/>
        <w:spacing w:line="590" w:lineRule="exact"/>
        <w:ind w:firstLine="720"/>
        <w:rPr>
          <w:rFonts w:hint="eastAsia" w:eastAsia="方正仿宋_GBK"/>
          <w:kern w:val="0"/>
          <w:sz w:val="33"/>
          <w:szCs w:val="33"/>
          <w:lang w:val="en-US" w:eastAsia="zh-CN"/>
        </w:rPr>
      </w:pPr>
      <w:r>
        <w:rPr>
          <w:rFonts w:hint="eastAsia" w:eastAsia="方正仿宋_GBK"/>
          <w:kern w:val="0"/>
          <w:sz w:val="33"/>
          <w:szCs w:val="33"/>
          <w:lang w:val="en-US" w:eastAsia="zh-CN"/>
        </w:rPr>
        <w:t>（三）项目财务管理情况。</w:t>
      </w:r>
    </w:p>
    <w:p w14:paraId="6BFBACDA">
      <w:pPr>
        <w:adjustRightInd w:val="0"/>
        <w:snapToGrid w:val="0"/>
        <w:spacing w:line="590" w:lineRule="exact"/>
        <w:ind w:firstLine="720"/>
        <w:rPr>
          <w:rFonts w:hint="eastAsia" w:eastAsia="方正仿宋_GBK"/>
          <w:kern w:val="0"/>
          <w:sz w:val="33"/>
          <w:szCs w:val="33"/>
        </w:rPr>
      </w:pPr>
      <w:r>
        <w:rPr>
          <w:rFonts w:hint="eastAsia" w:eastAsia="方正仿宋_GBK"/>
          <w:kern w:val="0"/>
          <w:sz w:val="33"/>
          <w:szCs w:val="33"/>
        </w:rPr>
        <w:t>2021年，驻蓉办信访维稳专项工作经费严格实行专款专用，项目支出均有相关的审批制度，资金拨付严格执行审批程序，使用规范，会计核算结果真实、准确。建立健全财务管理制度和会计核算制度，此次绩效评价过程中未发现有截留、挤占或挪用项目资金的情况。</w:t>
      </w:r>
    </w:p>
    <w:p w14:paraId="6B1BCA0E">
      <w:pPr>
        <w:adjustRightInd w:val="0"/>
        <w:snapToGrid w:val="0"/>
        <w:spacing w:line="590" w:lineRule="exact"/>
        <w:ind w:firstLine="720"/>
        <w:rPr>
          <w:rFonts w:hint="eastAsia" w:eastAsia="方正仿宋_GBK"/>
          <w:kern w:val="0"/>
          <w:sz w:val="33"/>
          <w:szCs w:val="33"/>
          <w:lang w:val="en-US" w:eastAsia="zh-CN"/>
        </w:rPr>
      </w:pPr>
      <w:r>
        <w:rPr>
          <w:rFonts w:hint="eastAsia" w:eastAsia="方正仿宋_GBK"/>
          <w:kern w:val="0"/>
          <w:sz w:val="33"/>
          <w:szCs w:val="33"/>
          <w:lang w:val="en-US" w:eastAsia="zh-CN"/>
        </w:rPr>
        <w:t>三、项目实施及管理情况。</w:t>
      </w:r>
    </w:p>
    <w:p w14:paraId="74BFE1ED">
      <w:pPr>
        <w:adjustRightInd w:val="0"/>
        <w:snapToGrid w:val="0"/>
        <w:spacing w:line="590" w:lineRule="exact"/>
        <w:ind w:firstLine="720"/>
        <w:rPr>
          <w:rFonts w:hint="eastAsia" w:eastAsia="方正仿宋_GBK"/>
          <w:kern w:val="0"/>
          <w:sz w:val="33"/>
          <w:szCs w:val="33"/>
          <w:lang w:val="en-US" w:eastAsia="zh-CN"/>
        </w:rPr>
      </w:pPr>
      <w:r>
        <w:rPr>
          <w:rFonts w:hint="eastAsia" w:eastAsia="方正仿宋_GBK"/>
          <w:kern w:val="0"/>
          <w:sz w:val="33"/>
          <w:szCs w:val="33"/>
          <w:lang w:val="zh-CN"/>
        </w:rPr>
        <w:t>认真实施信访维稳专项工作，</w:t>
      </w:r>
      <w:r>
        <w:rPr>
          <w:rFonts w:hint="eastAsia" w:eastAsia="方正仿宋_GBK"/>
          <w:kern w:val="0"/>
          <w:sz w:val="33"/>
          <w:szCs w:val="33"/>
        </w:rPr>
        <w:t>强化综合协调，抓紧抓实信访维稳工作，2021年，财政预算20万元</w:t>
      </w:r>
      <w:r>
        <w:rPr>
          <w:rFonts w:hint="eastAsia" w:eastAsia="方正仿宋_GBK"/>
          <w:kern w:val="0"/>
          <w:sz w:val="33"/>
          <w:szCs w:val="33"/>
          <w:lang w:val="zh-CN"/>
        </w:rPr>
        <w:t>信访维稳</w:t>
      </w:r>
      <w:r>
        <w:rPr>
          <w:rFonts w:hint="eastAsia" w:eastAsia="方正仿宋_GBK"/>
          <w:kern w:val="0"/>
          <w:sz w:val="33"/>
          <w:szCs w:val="33"/>
        </w:rPr>
        <w:t>专项资金。</w:t>
      </w:r>
    </w:p>
    <w:p w14:paraId="67E5AD3C">
      <w:pPr>
        <w:adjustRightInd w:val="0"/>
        <w:snapToGrid w:val="0"/>
        <w:spacing w:line="590" w:lineRule="exact"/>
        <w:ind w:firstLine="720"/>
        <w:rPr>
          <w:rFonts w:hint="eastAsia" w:eastAsia="方正仿宋_GBK"/>
          <w:kern w:val="0"/>
          <w:sz w:val="33"/>
          <w:szCs w:val="33"/>
          <w:lang w:val="en-US" w:eastAsia="zh-CN"/>
        </w:rPr>
      </w:pPr>
      <w:r>
        <w:rPr>
          <w:rFonts w:hint="eastAsia" w:eastAsia="方正仿宋_GBK"/>
          <w:kern w:val="0"/>
          <w:sz w:val="33"/>
          <w:szCs w:val="33"/>
          <w:lang w:val="en-US" w:eastAsia="zh-CN"/>
        </w:rPr>
        <w:t>四、项目绩效情况</w:t>
      </w:r>
    </w:p>
    <w:p w14:paraId="6817930E">
      <w:pPr>
        <w:adjustRightInd w:val="0"/>
        <w:snapToGrid w:val="0"/>
        <w:spacing w:line="590" w:lineRule="exact"/>
        <w:ind w:firstLine="720"/>
        <w:rPr>
          <w:rFonts w:hint="eastAsia" w:eastAsia="方正仿宋_GBK"/>
          <w:kern w:val="0"/>
          <w:sz w:val="33"/>
          <w:szCs w:val="33"/>
          <w:lang w:val="en-US" w:eastAsia="zh-CN"/>
        </w:rPr>
      </w:pPr>
      <w:r>
        <w:rPr>
          <w:rFonts w:hint="eastAsia" w:eastAsia="方正仿宋_GBK"/>
          <w:kern w:val="0"/>
          <w:sz w:val="33"/>
          <w:szCs w:val="33"/>
          <w:lang w:val="en-US" w:eastAsia="zh-CN"/>
        </w:rPr>
        <w:t>（一）项目完成情况。</w:t>
      </w:r>
    </w:p>
    <w:p w14:paraId="4186C558">
      <w:pPr>
        <w:adjustRightInd w:val="0"/>
        <w:snapToGrid w:val="0"/>
        <w:spacing w:line="590" w:lineRule="exact"/>
        <w:ind w:firstLine="720"/>
        <w:rPr>
          <w:rFonts w:hint="eastAsia" w:eastAsia="方正仿宋_GBK"/>
          <w:kern w:val="0"/>
          <w:sz w:val="33"/>
          <w:szCs w:val="33"/>
          <w:lang w:val="zh-CN"/>
        </w:rPr>
      </w:pPr>
      <w:r>
        <w:rPr>
          <w:rFonts w:hint="eastAsia" w:eastAsia="方正仿宋_GBK"/>
          <w:kern w:val="0"/>
          <w:sz w:val="33"/>
          <w:szCs w:val="33"/>
        </w:rPr>
        <w:t>市驻蓉办高度重视信访维稳工作，畅通与省信访局、省信访分流中心、市信访局的联系通道，密切关注最新信访工作动态，做好突发信访、特殊信访以及集体接访工作，做到及时接访，文明劝访，202</w:t>
      </w:r>
      <w:r>
        <w:rPr>
          <w:rFonts w:hint="eastAsia" w:eastAsia="方正仿宋_GBK"/>
          <w:kern w:val="0"/>
          <w:sz w:val="33"/>
          <w:szCs w:val="33"/>
          <w:lang w:val="en-US" w:eastAsia="zh-CN"/>
        </w:rPr>
        <w:t>1</w:t>
      </w:r>
      <w:r>
        <w:rPr>
          <w:rFonts w:hint="eastAsia" w:eastAsia="方正仿宋_GBK"/>
          <w:kern w:val="0"/>
          <w:sz w:val="33"/>
          <w:szCs w:val="33"/>
        </w:rPr>
        <w:t>年来共接访1</w:t>
      </w:r>
      <w:r>
        <w:rPr>
          <w:rFonts w:hint="eastAsia" w:eastAsia="方正仿宋_GBK"/>
          <w:kern w:val="0"/>
          <w:sz w:val="33"/>
          <w:szCs w:val="33"/>
          <w:lang w:val="en-US" w:eastAsia="zh-CN"/>
        </w:rPr>
        <w:t>50</w:t>
      </w:r>
      <w:r>
        <w:rPr>
          <w:rFonts w:hint="eastAsia" w:eastAsia="方正仿宋_GBK"/>
          <w:kern w:val="0"/>
          <w:sz w:val="33"/>
          <w:szCs w:val="33"/>
        </w:rPr>
        <w:t>余人次，协助区市县和市级相关部门做好赴省上访人员的劝返和息诉息访工作，切实维护群众合法权益和我市良好社会形象。无论工作日还是节假日、无论上下班时间，接到省信访局、省信访分流中心、省级有关部门关于广安籍人员到蓉上访的通知后，市驻蓉办的同志总是第一时间赶赴现场做好协调及劝返工作。项目</w:t>
      </w:r>
      <w:r>
        <w:rPr>
          <w:rFonts w:hint="eastAsia" w:eastAsia="方正仿宋_GBK"/>
          <w:kern w:val="0"/>
          <w:sz w:val="33"/>
          <w:szCs w:val="33"/>
          <w:lang w:val="zh-CN"/>
        </w:rPr>
        <w:t>完成数量、质量、实效、效益等指标均达到预期。</w:t>
      </w:r>
    </w:p>
    <w:p w14:paraId="32C99B78">
      <w:pPr>
        <w:adjustRightInd w:val="0"/>
        <w:snapToGrid w:val="0"/>
        <w:spacing w:line="590" w:lineRule="exact"/>
        <w:ind w:firstLine="720"/>
        <w:rPr>
          <w:rFonts w:hint="eastAsia" w:eastAsia="方正仿宋_GBK"/>
          <w:kern w:val="0"/>
          <w:sz w:val="33"/>
          <w:szCs w:val="33"/>
          <w:lang w:val="en-US" w:eastAsia="zh-CN"/>
        </w:rPr>
      </w:pPr>
      <w:r>
        <w:rPr>
          <w:rFonts w:hint="eastAsia" w:eastAsia="方正仿宋_GBK"/>
          <w:kern w:val="0"/>
          <w:sz w:val="33"/>
          <w:szCs w:val="33"/>
          <w:lang w:val="en-US" w:eastAsia="zh-CN"/>
        </w:rPr>
        <w:t>（二）项目效益情况。</w:t>
      </w:r>
    </w:p>
    <w:p w14:paraId="0A064C67">
      <w:pPr>
        <w:adjustRightInd w:val="0"/>
        <w:snapToGrid w:val="0"/>
        <w:spacing w:line="590" w:lineRule="exact"/>
        <w:ind w:firstLine="720"/>
        <w:rPr>
          <w:rFonts w:hint="eastAsia" w:eastAsia="方正仿宋_GBK"/>
          <w:kern w:val="0"/>
          <w:sz w:val="33"/>
          <w:szCs w:val="33"/>
          <w:lang w:val="en-US" w:eastAsia="zh-CN"/>
        </w:rPr>
      </w:pPr>
      <w:r>
        <w:rPr>
          <w:rFonts w:hint="eastAsia" w:eastAsia="方正仿宋_GBK"/>
          <w:kern w:val="0"/>
          <w:sz w:val="33"/>
          <w:szCs w:val="33"/>
          <w:lang w:val="zh-CN"/>
        </w:rPr>
        <w:t>2021年，驻蓉办在信访维稳专项工作中，分析研判信访形势，提前做好应对，</w:t>
      </w:r>
      <w:r>
        <w:rPr>
          <w:rFonts w:hint="eastAsia" w:eastAsia="方正仿宋_GBK"/>
          <w:kern w:val="0"/>
          <w:sz w:val="33"/>
          <w:szCs w:val="33"/>
        </w:rPr>
        <w:t>坚持早发现、早报告、早控制的“三早”预警处理机制，冷静应对，耐心说服，热情接待，注重方式方法，及时摸清情况，掌握实情，妥善做好每次接访工作，</w:t>
      </w:r>
      <w:r>
        <w:rPr>
          <w:rFonts w:hint="eastAsia" w:eastAsia="方正仿宋_GBK"/>
          <w:kern w:val="0"/>
          <w:sz w:val="33"/>
          <w:szCs w:val="33"/>
          <w:lang w:val="zh-CN"/>
        </w:rPr>
        <w:t>有效</w:t>
      </w:r>
      <w:r>
        <w:rPr>
          <w:rFonts w:hint="eastAsia" w:eastAsia="方正仿宋_GBK"/>
          <w:kern w:val="0"/>
          <w:sz w:val="33"/>
          <w:szCs w:val="33"/>
        </w:rPr>
        <w:t>保障了省市重大会议、商务活动等的顺利开展，</w:t>
      </w:r>
      <w:r>
        <w:rPr>
          <w:rFonts w:hint="eastAsia" w:eastAsia="方正仿宋_GBK"/>
          <w:kern w:val="0"/>
          <w:sz w:val="33"/>
          <w:szCs w:val="33"/>
          <w:lang w:val="zh-CN"/>
        </w:rPr>
        <w:t>维护</w:t>
      </w:r>
      <w:r>
        <w:rPr>
          <w:rFonts w:hint="eastAsia" w:eastAsia="方正仿宋_GBK"/>
          <w:kern w:val="0"/>
          <w:sz w:val="33"/>
          <w:szCs w:val="33"/>
        </w:rPr>
        <w:t>了</w:t>
      </w:r>
      <w:r>
        <w:rPr>
          <w:rFonts w:hint="eastAsia" w:eastAsia="方正仿宋_GBK"/>
          <w:kern w:val="0"/>
          <w:sz w:val="33"/>
          <w:szCs w:val="33"/>
          <w:lang w:val="zh-CN"/>
        </w:rPr>
        <w:t>社会和谐稳定，取得了良好的社会效益。</w:t>
      </w:r>
    </w:p>
    <w:p w14:paraId="2A83A042">
      <w:pPr>
        <w:adjustRightInd w:val="0"/>
        <w:snapToGrid w:val="0"/>
        <w:spacing w:line="590" w:lineRule="exact"/>
        <w:ind w:firstLine="720"/>
        <w:rPr>
          <w:rFonts w:hint="default" w:eastAsia="方正仿宋_GBK"/>
          <w:kern w:val="0"/>
          <w:sz w:val="33"/>
          <w:szCs w:val="33"/>
          <w:lang w:val="en-US" w:eastAsia="zh-CN"/>
        </w:rPr>
      </w:pPr>
      <w:r>
        <w:rPr>
          <w:rFonts w:hint="eastAsia" w:eastAsia="方正仿宋_GBK"/>
          <w:kern w:val="0"/>
          <w:sz w:val="33"/>
          <w:szCs w:val="33"/>
          <w:lang w:val="en-US" w:eastAsia="zh-CN"/>
        </w:rPr>
        <w:t>五、评价结论及建议。</w:t>
      </w:r>
    </w:p>
    <w:p w14:paraId="2059F146">
      <w:pPr>
        <w:adjustRightInd w:val="0"/>
        <w:snapToGrid w:val="0"/>
        <w:spacing w:line="590" w:lineRule="exact"/>
        <w:ind w:firstLine="720"/>
        <w:rPr>
          <w:rFonts w:hint="eastAsia"/>
          <w:color w:val="auto"/>
          <w:highlight w:val="none"/>
          <w:lang w:val="zh-CN"/>
        </w:rPr>
      </w:pPr>
      <w:r>
        <w:rPr>
          <w:rFonts w:hint="eastAsia" w:eastAsia="方正仿宋_GBK"/>
          <w:kern w:val="0"/>
          <w:sz w:val="33"/>
          <w:szCs w:val="33"/>
        </w:rPr>
        <w:t>一是信访联合协作机制还需进一步加强。大多数信访案件都需要市、县、乡、村四级配合，如果不加强联合协作，信访工作将很难顺利开展；二是驻蓉办人少事多，特别是在蓉举办重大商务活动时遇到大型群访事件，工作难度较大，建议适当增加编制增加人员，保障工作顺利开展。</w:t>
      </w:r>
    </w:p>
    <w:p w14:paraId="3BBEC283">
      <w:pPr>
        <w:spacing w:line="600" w:lineRule="exact"/>
        <w:jc w:val="center"/>
        <w:outlineLvl w:val="0"/>
        <w:rPr>
          <w:rFonts w:hint="eastAsia" w:ascii="黑体" w:hAnsi="黑体" w:eastAsia="黑体"/>
          <w:color w:val="auto"/>
          <w:sz w:val="44"/>
          <w:szCs w:val="44"/>
          <w:highlight w:val="none"/>
        </w:rPr>
      </w:pPr>
      <w:bookmarkStart w:id="64" w:name="_Toc15396618"/>
    </w:p>
    <w:p w14:paraId="41639D57">
      <w:pPr>
        <w:spacing w:line="580" w:lineRule="exact"/>
        <w:ind w:firstLine="64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附件</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eastAsia="zh-CN"/>
        </w:rPr>
        <w:t>：</w:t>
      </w:r>
    </w:p>
    <w:p w14:paraId="5610C50B">
      <w:pPr>
        <w:spacing w:line="580" w:lineRule="exact"/>
        <w:ind w:firstLine="640"/>
        <w:jc w:val="center"/>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2021年100万元以上（含）特定目标类</w:t>
      </w:r>
    </w:p>
    <w:p w14:paraId="27389F9D">
      <w:pPr>
        <w:spacing w:line="580" w:lineRule="exact"/>
        <w:ind w:firstLine="640"/>
        <w:jc w:val="center"/>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部门预算项目绩效目标自评表</w:t>
      </w:r>
    </w:p>
    <w:p w14:paraId="110EC9FB">
      <w:pPr>
        <w:pStyle w:val="2"/>
        <w:rPr>
          <w:rFonts w:hint="default"/>
          <w:color w:val="auto"/>
          <w:highlight w:val="none"/>
          <w:lang w:val="en-US" w:eastAsia="zh-CN"/>
        </w:rPr>
      </w:pPr>
    </w:p>
    <w:p w14:paraId="7D948D08">
      <w:pPr>
        <w:spacing w:line="580" w:lineRule="exact"/>
        <w:ind w:firstLine="640"/>
        <w:jc w:val="center"/>
        <w:rPr>
          <w:rFonts w:hint="eastAsia" w:eastAsia="仿宋_GB2312" w:cs="Times New Roman"/>
          <w:b/>
          <w:bCs/>
          <w:color w:val="auto"/>
          <w:sz w:val="32"/>
          <w:szCs w:val="32"/>
          <w:highlight w:val="none"/>
          <w:lang w:val="en-US" w:eastAsia="zh-CN"/>
        </w:rPr>
      </w:pPr>
      <w:r>
        <w:rPr>
          <w:rFonts w:hint="eastAsia" w:eastAsia="仿宋_GB2312" w:cs="Times New Roman"/>
          <w:b/>
          <w:bCs/>
          <w:color w:val="auto"/>
          <w:sz w:val="32"/>
          <w:szCs w:val="32"/>
          <w:highlight w:val="none"/>
          <w:lang w:val="en-US" w:eastAsia="zh-CN"/>
        </w:rPr>
        <w:t>招商引资项目</w:t>
      </w:r>
    </w:p>
    <w:tbl>
      <w:tblPr>
        <w:tblStyle w:val="13"/>
        <w:tblW w:w="8862" w:type="dxa"/>
        <w:tblInd w:w="0" w:type="dxa"/>
        <w:tblLayout w:type="autofit"/>
        <w:tblCellMar>
          <w:top w:w="0" w:type="dxa"/>
          <w:left w:w="0" w:type="dxa"/>
          <w:bottom w:w="0" w:type="dxa"/>
          <w:right w:w="0" w:type="dxa"/>
        </w:tblCellMar>
      </w:tblPr>
      <w:tblGrid>
        <w:gridCol w:w="722"/>
        <w:gridCol w:w="1193"/>
        <w:gridCol w:w="1290"/>
        <w:gridCol w:w="540"/>
        <w:gridCol w:w="1205"/>
        <w:gridCol w:w="1927"/>
        <w:gridCol w:w="1985"/>
      </w:tblGrid>
      <w:tr w14:paraId="24BF890C">
        <w:tblPrEx>
          <w:tblCellMar>
            <w:top w:w="0" w:type="dxa"/>
            <w:left w:w="0" w:type="dxa"/>
            <w:bottom w:w="0" w:type="dxa"/>
            <w:right w:w="0" w:type="dxa"/>
          </w:tblCellMar>
        </w:tblPrEx>
        <w:trPr>
          <w:trHeight w:val="396" w:hRule="atLeast"/>
        </w:trPr>
        <w:tc>
          <w:tcPr>
            <w:tcW w:w="19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206799">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b/>
                <w:bCs/>
                <w:color w:val="auto"/>
                <w:spacing w:val="6"/>
                <w:sz w:val="20"/>
                <w:szCs w:val="20"/>
                <w:highlight w:val="none"/>
                <w:lang w:val="en-US" w:eastAsia="zh-CN"/>
              </w:rPr>
            </w:pPr>
            <w:r>
              <w:rPr>
                <w:rFonts w:hint="eastAsia" w:ascii="宋体" w:hAnsi="宋体" w:eastAsia="宋体" w:cs="宋体"/>
                <w:b/>
                <w:bCs/>
                <w:color w:val="auto"/>
                <w:spacing w:val="6"/>
                <w:sz w:val="20"/>
                <w:szCs w:val="20"/>
                <w:highlight w:val="none"/>
                <w:lang w:val="en-US" w:eastAsia="zh-CN"/>
              </w:rPr>
              <w:t>项目名称</w:t>
            </w:r>
          </w:p>
        </w:tc>
        <w:tc>
          <w:tcPr>
            <w:tcW w:w="694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EB7D8">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b/>
                <w:bCs/>
                <w:color w:val="auto"/>
                <w:spacing w:val="6"/>
                <w:sz w:val="20"/>
                <w:szCs w:val="20"/>
                <w:highlight w:val="none"/>
                <w:lang w:val="en-US" w:eastAsia="zh-CN"/>
              </w:rPr>
            </w:pPr>
            <w:r>
              <w:rPr>
                <w:rFonts w:hint="eastAsia" w:ascii="宋体" w:hAnsi="宋体" w:cs="宋体"/>
                <w:b/>
                <w:bCs/>
                <w:color w:val="auto"/>
                <w:spacing w:val="6"/>
                <w:sz w:val="20"/>
                <w:szCs w:val="20"/>
                <w:highlight w:val="none"/>
                <w:lang w:val="en-US" w:eastAsia="zh-CN"/>
              </w:rPr>
              <w:t>招商引资项目</w:t>
            </w:r>
          </w:p>
        </w:tc>
      </w:tr>
      <w:tr w14:paraId="64BCD00D">
        <w:tblPrEx>
          <w:tblCellMar>
            <w:top w:w="0" w:type="dxa"/>
            <w:left w:w="0" w:type="dxa"/>
            <w:bottom w:w="0" w:type="dxa"/>
            <w:right w:w="0" w:type="dxa"/>
          </w:tblCellMar>
        </w:tblPrEx>
        <w:trPr>
          <w:trHeight w:val="762" w:hRule="atLeast"/>
        </w:trPr>
        <w:tc>
          <w:tcPr>
            <w:tcW w:w="19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6943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pacing w:val="6"/>
                <w:sz w:val="20"/>
                <w:szCs w:val="20"/>
                <w:highlight w:val="none"/>
                <w:lang w:val="en-US" w:eastAsia="zh-CN"/>
              </w:rPr>
            </w:pPr>
            <w:r>
              <w:rPr>
                <w:rFonts w:hint="eastAsia" w:ascii="宋体" w:hAnsi="宋体" w:eastAsia="宋体" w:cs="宋体"/>
                <w:b/>
                <w:bCs/>
                <w:color w:val="auto"/>
                <w:spacing w:val="6"/>
                <w:sz w:val="20"/>
                <w:szCs w:val="20"/>
                <w:highlight w:val="none"/>
                <w:lang w:val="en-US" w:eastAsia="zh-CN"/>
              </w:rPr>
              <w:t>主管部门及代码</w:t>
            </w:r>
          </w:p>
        </w:tc>
        <w:tc>
          <w:tcPr>
            <w:tcW w:w="30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FE2C5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eastAsia" w:ascii="宋体" w:hAnsi="宋体" w:cs="宋体"/>
                <w:color w:val="auto"/>
                <w:spacing w:val="6"/>
                <w:sz w:val="20"/>
                <w:szCs w:val="20"/>
                <w:highlight w:val="none"/>
                <w:lang w:val="en-US" w:eastAsia="zh-CN"/>
              </w:rPr>
              <w:t>广安市人民政府驻成都办事处-133001</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3CB7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实施单位</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2002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r>
              <w:rPr>
                <w:rFonts w:hint="eastAsia" w:ascii="宋体" w:hAnsi="宋体" w:cs="宋体"/>
                <w:color w:val="auto"/>
                <w:spacing w:val="6"/>
                <w:sz w:val="20"/>
                <w:szCs w:val="20"/>
                <w:highlight w:val="none"/>
                <w:lang w:val="en-US" w:eastAsia="zh-CN"/>
              </w:rPr>
              <w:t>广安市人民政府驻成都办事处</w:t>
            </w:r>
          </w:p>
        </w:tc>
      </w:tr>
      <w:tr w14:paraId="36C73CA1">
        <w:tblPrEx>
          <w:tblCellMar>
            <w:top w:w="0" w:type="dxa"/>
            <w:left w:w="0" w:type="dxa"/>
            <w:bottom w:w="0" w:type="dxa"/>
            <w:right w:w="0" w:type="dxa"/>
          </w:tblCellMar>
        </w:tblPrEx>
        <w:trPr>
          <w:trHeight w:val="396" w:hRule="atLeast"/>
        </w:trPr>
        <w:tc>
          <w:tcPr>
            <w:tcW w:w="191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5E61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pacing w:val="6"/>
                <w:sz w:val="20"/>
                <w:szCs w:val="20"/>
                <w:highlight w:val="none"/>
                <w:lang w:val="en-US" w:eastAsia="zh-CN"/>
              </w:rPr>
            </w:pPr>
            <w:r>
              <w:rPr>
                <w:rFonts w:hint="eastAsia" w:ascii="宋体" w:hAnsi="宋体" w:eastAsia="宋体" w:cs="宋体"/>
                <w:b/>
                <w:bCs/>
                <w:color w:val="auto"/>
                <w:spacing w:val="6"/>
                <w:sz w:val="20"/>
                <w:szCs w:val="20"/>
                <w:highlight w:val="none"/>
                <w:lang w:val="en-US" w:eastAsia="zh-CN"/>
              </w:rPr>
              <w:t>项目预算</w:t>
            </w:r>
          </w:p>
          <w:p w14:paraId="0446C42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pacing w:val="6"/>
                <w:sz w:val="20"/>
                <w:szCs w:val="20"/>
                <w:highlight w:val="none"/>
                <w:lang w:val="en-US" w:eastAsia="zh-CN"/>
              </w:rPr>
            </w:pPr>
            <w:r>
              <w:rPr>
                <w:rFonts w:hint="eastAsia" w:ascii="宋体" w:hAnsi="宋体" w:eastAsia="宋体" w:cs="宋体"/>
                <w:b/>
                <w:bCs/>
                <w:color w:val="auto"/>
                <w:spacing w:val="6"/>
                <w:sz w:val="20"/>
                <w:szCs w:val="20"/>
                <w:highlight w:val="none"/>
                <w:lang w:val="en-US" w:eastAsia="zh-CN"/>
              </w:rPr>
              <w:t>执行情况</w:t>
            </w:r>
          </w:p>
          <w:p w14:paraId="416CEBE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pacing w:val="6"/>
                <w:sz w:val="20"/>
                <w:szCs w:val="20"/>
                <w:highlight w:val="none"/>
                <w:lang w:val="en-US" w:eastAsia="zh-CN"/>
              </w:rPr>
            </w:pPr>
            <w:r>
              <w:rPr>
                <w:rFonts w:hint="eastAsia" w:ascii="宋体" w:hAnsi="宋体" w:eastAsia="宋体" w:cs="宋体"/>
                <w:b/>
                <w:bCs/>
                <w:color w:val="auto"/>
                <w:spacing w:val="6"/>
                <w:sz w:val="20"/>
                <w:szCs w:val="20"/>
                <w:highlight w:val="none"/>
                <w:lang w:val="en-US" w:eastAsia="zh-CN"/>
              </w:rPr>
              <w:t>（万元）</w:t>
            </w:r>
          </w:p>
        </w:tc>
        <w:tc>
          <w:tcPr>
            <w:tcW w:w="18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9C24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预算数：</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965C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eastAsia" w:ascii="宋体" w:hAnsi="宋体" w:cs="宋体"/>
                <w:color w:val="auto"/>
                <w:spacing w:val="6"/>
                <w:sz w:val="20"/>
                <w:szCs w:val="20"/>
                <w:highlight w:val="none"/>
                <w:lang w:val="en-US" w:eastAsia="zh-CN"/>
              </w:rPr>
              <w:t>130</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0378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执行数：</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EF9F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eastAsia" w:ascii="宋体" w:hAnsi="宋体" w:cs="宋体"/>
                <w:color w:val="auto"/>
                <w:spacing w:val="6"/>
                <w:sz w:val="20"/>
                <w:szCs w:val="20"/>
                <w:highlight w:val="none"/>
                <w:lang w:val="zh-CN" w:eastAsia="zh-CN"/>
              </w:rPr>
              <w:t>83.29</w:t>
            </w:r>
          </w:p>
        </w:tc>
      </w:tr>
      <w:tr w14:paraId="1A85D51E">
        <w:tblPrEx>
          <w:tblCellMar>
            <w:top w:w="0" w:type="dxa"/>
            <w:left w:w="0" w:type="dxa"/>
            <w:bottom w:w="0" w:type="dxa"/>
            <w:right w:w="0" w:type="dxa"/>
          </w:tblCellMar>
        </w:tblPrEx>
        <w:trPr>
          <w:trHeight w:val="762" w:hRule="atLeast"/>
        </w:trPr>
        <w:tc>
          <w:tcPr>
            <w:tcW w:w="19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E7C1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p>
        </w:tc>
        <w:tc>
          <w:tcPr>
            <w:tcW w:w="18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1B74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其中：财政拨款</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4B89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eastAsia" w:ascii="宋体" w:hAnsi="宋体" w:cs="宋体"/>
                <w:color w:val="auto"/>
                <w:spacing w:val="6"/>
                <w:sz w:val="20"/>
                <w:szCs w:val="20"/>
                <w:highlight w:val="none"/>
                <w:lang w:val="en-US" w:eastAsia="zh-CN"/>
              </w:rPr>
              <w:t>130</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42FD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其中：财政拨款</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2598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eastAsia" w:ascii="宋体" w:hAnsi="宋体" w:cs="宋体"/>
                <w:color w:val="auto"/>
                <w:spacing w:val="6"/>
                <w:sz w:val="20"/>
                <w:szCs w:val="20"/>
                <w:highlight w:val="none"/>
                <w:lang w:val="en-US" w:eastAsia="zh-CN"/>
              </w:rPr>
              <w:t>83.29</w:t>
            </w:r>
          </w:p>
        </w:tc>
      </w:tr>
      <w:tr w14:paraId="648FCD96">
        <w:tblPrEx>
          <w:tblCellMar>
            <w:top w:w="0" w:type="dxa"/>
            <w:left w:w="0" w:type="dxa"/>
            <w:bottom w:w="0" w:type="dxa"/>
            <w:right w:w="0" w:type="dxa"/>
          </w:tblCellMar>
        </w:tblPrEx>
        <w:trPr>
          <w:trHeight w:val="762" w:hRule="atLeast"/>
        </w:trPr>
        <w:tc>
          <w:tcPr>
            <w:tcW w:w="19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2D71C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p>
        </w:tc>
        <w:tc>
          <w:tcPr>
            <w:tcW w:w="18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65791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其他资金</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AFE5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80BE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其他资金</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671A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p>
        </w:tc>
      </w:tr>
      <w:tr w14:paraId="553C73C4">
        <w:trPr>
          <w:trHeight w:val="396" w:hRule="atLeast"/>
        </w:trPr>
        <w:tc>
          <w:tcPr>
            <w:tcW w:w="7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F7590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pacing w:val="6"/>
                <w:sz w:val="20"/>
                <w:szCs w:val="20"/>
                <w:highlight w:val="none"/>
                <w:lang w:val="en-US" w:eastAsia="zh-CN"/>
              </w:rPr>
            </w:pPr>
          </w:p>
          <w:p w14:paraId="5090076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pacing w:val="6"/>
                <w:sz w:val="20"/>
                <w:szCs w:val="20"/>
                <w:highlight w:val="none"/>
                <w:lang w:val="en-US" w:eastAsia="zh-CN"/>
              </w:rPr>
            </w:pPr>
            <w:r>
              <w:rPr>
                <w:rFonts w:hint="eastAsia" w:ascii="宋体" w:hAnsi="宋体" w:eastAsia="宋体" w:cs="宋体"/>
                <w:b/>
                <w:bCs/>
                <w:color w:val="auto"/>
                <w:spacing w:val="6"/>
                <w:sz w:val="20"/>
                <w:szCs w:val="20"/>
                <w:highlight w:val="none"/>
                <w:lang w:val="en-US" w:eastAsia="zh-CN"/>
              </w:rPr>
              <w:t>年度</w:t>
            </w:r>
          </w:p>
          <w:p w14:paraId="4712DEF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pacing w:val="6"/>
                <w:sz w:val="20"/>
                <w:szCs w:val="20"/>
                <w:highlight w:val="none"/>
                <w:lang w:val="en-US" w:eastAsia="zh-CN"/>
              </w:rPr>
            </w:pPr>
            <w:r>
              <w:rPr>
                <w:rFonts w:hint="eastAsia" w:ascii="宋体" w:hAnsi="宋体" w:eastAsia="宋体" w:cs="宋体"/>
                <w:b/>
                <w:bCs/>
                <w:color w:val="auto"/>
                <w:spacing w:val="6"/>
                <w:sz w:val="20"/>
                <w:szCs w:val="20"/>
                <w:highlight w:val="none"/>
                <w:lang w:val="en-US" w:eastAsia="zh-CN"/>
              </w:rPr>
              <w:t>总体</w:t>
            </w:r>
          </w:p>
          <w:p w14:paraId="5C0D0E8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pacing w:val="6"/>
                <w:sz w:val="20"/>
                <w:szCs w:val="20"/>
                <w:highlight w:val="none"/>
                <w:lang w:val="en-US" w:eastAsia="zh-CN"/>
              </w:rPr>
            </w:pPr>
            <w:r>
              <w:rPr>
                <w:rFonts w:hint="eastAsia" w:ascii="宋体" w:hAnsi="宋体" w:eastAsia="宋体" w:cs="宋体"/>
                <w:b/>
                <w:bCs/>
                <w:color w:val="auto"/>
                <w:spacing w:val="6"/>
                <w:sz w:val="20"/>
                <w:szCs w:val="20"/>
                <w:highlight w:val="none"/>
                <w:lang w:val="en-US" w:eastAsia="zh-CN"/>
              </w:rPr>
              <w:t>目标</w:t>
            </w:r>
          </w:p>
          <w:p w14:paraId="165C0F2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pacing w:val="6"/>
                <w:sz w:val="20"/>
                <w:szCs w:val="20"/>
                <w:highlight w:val="none"/>
                <w:lang w:val="en-US" w:eastAsia="zh-CN"/>
              </w:rPr>
            </w:pPr>
            <w:r>
              <w:rPr>
                <w:rFonts w:hint="eastAsia" w:ascii="宋体" w:hAnsi="宋体" w:eastAsia="宋体" w:cs="宋体"/>
                <w:b/>
                <w:bCs/>
                <w:color w:val="auto"/>
                <w:spacing w:val="6"/>
                <w:sz w:val="20"/>
                <w:szCs w:val="20"/>
                <w:highlight w:val="none"/>
                <w:lang w:val="en-US" w:eastAsia="zh-CN"/>
              </w:rPr>
              <w:t>完成</w:t>
            </w:r>
          </w:p>
          <w:p w14:paraId="01709A3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pacing w:val="6"/>
                <w:sz w:val="20"/>
                <w:szCs w:val="20"/>
                <w:highlight w:val="none"/>
                <w:lang w:val="en-US" w:eastAsia="zh-CN"/>
              </w:rPr>
            </w:pPr>
            <w:r>
              <w:rPr>
                <w:rFonts w:hint="eastAsia" w:ascii="宋体" w:hAnsi="宋体" w:eastAsia="宋体" w:cs="宋体"/>
                <w:b/>
                <w:bCs/>
                <w:color w:val="auto"/>
                <w:spacing w:val="6"/>
                <w:sz w:val="20"/>
                <w:szCs w:val="20"/>
                <w:highlight w:val="none"/>
                <w:lang w:val="en-US" w:eastAsia="zh-CN"/>
              </w:rPr>
              <w:t>情况</w:t>
            </w:r>
          </w:p>
        </w:tc>
        <w:tc>
          <w:tcPr>
            <w:tcW w:w="422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AA37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pacing w:val="6"/>
                <w:sz w:val="20"/>
                <w:szCs w:val="20"/>
                <w:highlight w:val="none"/>
                <w:lang w:val="en-US" w:eastAsia="zh-CN"/>
              </w:rPr>
            </w:pPr>
            <w:r>
              <w:rPr>
                <w:rFonts w:hint="eastAsia" w:ascii="宋体" w:hAnsi="宋体" w:eastAsia="宋体" w:cs="宋体"/>
                <w:b/>
                <w:bCs/>
                <w:color w:val="auto"/>
                <w:spacing w:val="6"/>
                <w:sz w:val="20"/>
                <w:szCs w:val="20"/>
                <w:highlight w:val="none"/>
                <w:lang w:val="en-US" w:eastAsia="zh-CN"/>
              </w:rPr>
              <w:t>预期目标</w:t>
            </w:r>
          </w:p>
        </w:tc>
        <w:tc>
          <w:tcPr>
            <w:tcW w:w="39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3BA74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pacing w:val="6"/>
                <w:sz w:val="20"/>
                <w:szCs w:val="20"/>
                <w:highlight w:val="none"/>
                <w:lang w:val="en-US" w:eastAsia="zh-CN"/>
              </w:rPr>
            </w:pPr>
            <w:r>
              <w:rPr>
                <w:rFonts w:hint="eastAsia" w:ascii="宋体" w:hAnsi="宋体" w:eastAsia="宋体" w:cs="宋体"/>
                <w:b/>
                <w:bCs/>
                <w:color w:val="auto"/>
                <w:spacing w:val="6"/>
                <w:sz w:val="20"/>
                <w:szCs w:val="20"/>
                <w:highlight w:val="none"/>
                <w:lang w:val="en-US" w:eastAsia="zh-CN"/>
              </w:rPr>
              <w:t>目标实际完成情况</w:t>
            </w:r>
          </w:p>
        </w:tc>
      </w:tr>
      <w:tr w14:paraId="6C380627">
        <w:tblPrEx>
          <w:tblCellMar>
            <w:top w:w="0" w:type="dxa"/>
            <w:left w:w="0" w:type="dxa"/>
            <w:bottom w:w="0" w:type="dxa"/>
            <w:right w:w="0" w:type="dxa"/>
          </w:tblCellMar>
        </w:tblPrEx>
        <w:trPr>
          <w:trHeight w:val="1684" w:hRule="atLeast"/>
        </w:trPr>
        <w:tc>
          <w:tcPr>
            <w:tcW w:w="7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A4E72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pacing w:val="6"/>
                <w:sz w:val="20"/>
                <w:szCs w:val="20"/>
                <w:highlight w:val="none"/>
                <w:lang w:val="en-US" w:eastAsia="zh-CN"/>
              </w:rPr>
            </w:pPr>
          </w:p>
        </w:tc>
        <w:tc>
          <w:tcPr>
            <w:tcW w:w="422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385D6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2021年，市驻蓉办全面完成年初下达的招商引资工作目标。主办协办区域专题投资推介活动5次，完成目标任务166%。促成成都思佳维科技有限公司、四川博斯威尔药业有限责任公司、成都金宏达快运有限责任公司等7家企业落地投资，完成目标任务116%。完成年初下达的信息目标任务，在市委办《每日要情》刊发4篇，完成招商引资情况调研报告1篇，报送招商信息40余条</w:t>
            </w:r>
            <w:r>
              <w:rPr>
                <w:rFonts w:hint="eastAsia" w:ascii="宋体" w:hAnsi="宋体" w:eastAsia="宋体" w:cs="宋体"/>
                <w:color w:val="auto"/>
                <w:spacing w:val="6"/>
                <w:sz w:val="20"/>
                <w:szCs w:val="20"/>
                <w:highlight w:val="none"/>
                <w:lang w:val="zh-CN" w:eastAsia="zh-CN"/>
              </w:rPr>
              <w:t>。</w:t>
            </w:r>
            <w:r>
              <w:rPr>
                <w:rFonts w:hint="eastAsia" w:ascii="宋体" w:hAnsi="宋体" w:eastAsia="宋体" w:cs="宋体"/>
                <w:color w:val="auto"/>
                <w:spacing w:val="6"/>
                <w:sz w:val="20"/>
                <w:szCs w:val="20"/>
                <w:highlight w:val="none"/>
                <w:lang w:val="en-US" w:eastAsia="zh-CN"/>
              </w:rPr>
              <w:t>项目</w:t>
            </w:r>
            <w:r>
              <w:rPr>
                <w:rFonts w:hint="eastAsia" w:ascii="宋体" w:hAnsi="宋体" w:eastAsia="宋体" w:cs="宋体"/>
                <w:color w:val="auto"/>
                <w:spacing w:val="6"/>
                <w:sz w:val="20"/>
                <w:szCs w:val="20"/>
                <w:highlight w:val="none"/>
                <w:lang w:val="zh-CN" w:eastAsia="zh-CN"/>
              </w:rPr>
              <w:t>完成数量、质量、实效、效益等指标均达到预期。</w:t>
            </w:r>
          </w:p>
        </w:tc>
        <w:tc>
          <w:tcPr>
            <w:tcW w:w="39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B323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2021年，市驻蓉办全面完成年初下达的招商引资工作目标。主办协办区域专题投资推介活动5次，完成目标任务166%。促成成都思佳维科技有限公司、四川博斯威尔药业有限责任公司、成都金宏达快运有限责任公司等7家企业落地投资，完成目标任务116%。完成年初下达的信息目标任务，在市委办《每日要情》刊发4篇，完成招商引资情况调研报告1篇，报送招商信息40余条</w:t>
            </w:r>
            <w:r>
              <w:rPr>
                <w:rFonts w:hint="eastAsia" w:ascii="宋体" w:hAnsi="宋体" w:eastAsia="宋体" w:cs="宋体"/>
                <w:color w:val="auto"/>
                <w:spacing w:val="6"/>
                <w:sz w:val="20"/>
                <w:szCs w:val="20"/>
                <w:highlight w:val="none"/>
                <w:lang w:val="zh-CN" w:eastAsia="zh-CN"/>
              </w:rPr>
              <w:t>。</w:t>
            </w:r>
            <w:r>
              <w:rPr>
                <w:rFonts w:hint="eastAsia" w:ascii="宋体" w:hAnsi="宋体" w:eastAsia="宋体" w:cs="宋体"/>
                <w:color w:val="auto"/>
                <w:spacing w:val="6"/>
                <w:sz w:val="20"/>
                <w:szCs w:val="20"/>
                <w:highlight w:val="none"/>
                <w:lang w:val="en-US" w:eastAsia="zh-CN"/>
              </w:rPr>
              <w:t>项目</w:t>
            </w:r>
            <w:r>
              <w:rPr>
                <w:rFonts w:hint="eastAsia" w:ascii="宋体" w:hAnsi="宋体" w:eastAsia="宋体" w:cs="宋体"/>
                <w:color w:val="auto"/>
                <w:spacing w:val="6"/>
                <w:sz w:val="20"/>
                <w:szCs w:val="20"/>
                <w:highlight w:val="none"/>
                <w:lang w:val="zh-CN" w:eastAsia="zh-CN"/>
              </w:rPr>
              <w:t>完成数量、质量、实效、效益等指标均达到预期。</w:t>
            </w:r>
          </w:p>
        </w:tc>
      </w:tr>
      <w:tr w14:paraId="5E41A842">
        <w:tblPrEx>
          <w:tblCellMar>
            <w:top w:w="0" w:type="dxa"/>
            <w:left w:w="0" w:type="dxa"/>
            <w:bottom w:w="0" w:type="dxa"/>
            <w:right w:w="0" w:type="dxa"/>
          </w:tblCellMar>
        </w:tblPrEx>
        <w:trPr>
          <w:trHeight w:val="629" w:hRule="atLeast"/>
        </w:trPr>
        <w:tc>
          <w:tcPr>
            <w:tcW w:w="722"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4AA906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pacing w:val="6"/>
                <w:sz w:val="20"/>
                <w:szCs w:val="20"/>
                <w:highlight w:val="none"/>
                <w:lang w:val="en-US" w:eastAsia="zh-CN"/>
              </w:rPr>
            </w:pPr>
            <w:r>
              <w:rPr>
                <w:rFonts w:hint="eastAsia" w:ascii="宋体" w:hAnsi="宋体" w:eastAsia="宋体" w:cs="宋体"/>
                <w:b/>
                <w:bCs/>
                <w:color w:val="auto"/>
                <w:spacing w:val="6"/>
                <w:sz w:val="20"/>
                <w:szCs w:val="20"/>
                <w:highlight w:val="none"/>
                <w:lang w:val="en-US" w:eastAsia="zh-CN"/>
              </w:rPr>
              <w:t>年度绩效指标完成情况</w:t>
            </w:r>
          </w:p>
        </w:tc>
        <w:tc>
          <w:tcPr>
            <w:tcW w:w="119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F89164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b/>
                <w:bCs/>
                <w:color w:val="auto"/>
                <w:spacing w:val="6"/>
                <w:sz w:val="20"/>
                <w:szCs w:val="20"/>
                <w:highlight w:val="none"/>
                <w:lang w:val="en-US" w:eastAsia="zh-CN"/>
              </w:rPr>
              <w:t>一级指标</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B4E4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二级指标</w:t>
            </w: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65A53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三级指标</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41DD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预期指标值</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1C84C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实际完成指标值</w:t>
            </w:r>
          </w:p>
        </w:tc>
      </w:tr>
      <w:tr w14:paraId="1D03F9EF">
        <w:tblPrEx>
          <w:tblCellMar>
            <w:top w:w="0" w:type="dxa"/>
            <w:left w:w="0" w:type="dxa"/>
            <w:bottom w:w="0" w:type="dxa"/>
            <w:right w:w="0" w:type="dxa"/>
          </w:tblCellMar>
        </w:tblPrEx>
        <w:trPr>
          <w:trHeight w:val="865"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968801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p>
        </w:tc>
        <w:tc>
          <w:tcPr>
            <w:tcW w:w="1193"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9EE2EB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color w:val="auto"/>
                <w:spacing w:val="6"/>
                <w:sz w:val="20"/>
                <w:szCs w:val="20"/>
                <w:highlight w:val="none"/>
                <w:lang w:val="en-US" w:eastAsia="zh-CN"/>
              </w:rPr>
            </w:pPr>
            <w:r>
              <w:rPr>
                <w:rFonts w:hint="default" w:ascii="宋体" w:hAnsi="宋体" w:eastAsia="宋体" w:cs="宋体"/>
                <w:b/>
                <w:bCs/>
                <w:color w:val="auto"/>
                <w:spacing w:val="6"/>
                <w:sz w:val="20"/>
                <w:szCs w:val="20"/>
                <w:highlight w:val="none"/>
                <w:lang w:val="en-US" w:eastAsia="zh-CN"/>
              </w:rPr>
              <w:t>完</w:t>
            </w:r>
          </w:p>
          <w:p w14:paraId="5747457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color w:val="auto"/>
                <w:spacing w:val="6"/>
                <w:sz w:val="20"/>
                <w:szCs w:val="20"/>
                <w:highlight w:val="none"/>
                <w:lang w:val="en-US" w:eastAsia="zh-CN"/>
              </w:rPr>
            </w:pPr>
            <w:r>
              <w:rPr>
                <w:rFonts w:hint="default" w:ascii="宋体" w:hAnsi="宋体" w:eastAsia="宋体" w:cs="宋体"/>
                <w:b/>
                <w:bCs/>
                <w:color w:val="auto"/>
                <w:spacing w:val="6"/>
                <w:sz w:val="20"/>
                <w:szCs w:val="20"/>
                <w:highlight w:val="none"/>
                <w:lang w:val="en-US" w:eastAsia="zh-CN"/>
              </w:rPr>
              <w:t>成</w:t>
            </w:r>
          </w:p>
          <w:p w14:paraId="4F1820E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color w:val="auto"/>
                <w:spacing w:val="6"/>
                <w:sz w:val="20"/>
                <w:szCs w:val="20"/>
                <w:highlight w:val="none"/>
                <w:lang w:val="en-US" w:eastAsia="zh-CN"/>
              </w:rPr>
            </w:pPr>
            <w:r>
              <w:rPr>
                <w:rFonts w:hint="default" w:ascii="宋体" w:hAnsi="宋体" w:eastAsia="宋体" w:cs="宋体"/>
                <w:b/>
                <w:bCs/>
                <w:color w:val="auto"/>
                <w:spacing w:val="6"/>
                <w:sz w:val="20"/>
                <w:szCs w:val="20"/>
                <w:highlight w:val="none"/>
                <w:lang w:val="en-US" w:eastAsia="zh-CN"/>
              </w:rPr>
              <w:t>指</w:t>
            </w:r>
          </w:p>
          <w:p w14:paraId="467DFCA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pacing w:val="6"/>
                <w:sz w:val="20"/>
                <w:szCs w:val="20"/>
                <w:highlight w:val="none"/>
                <w:lang w:val="en-US" w:eastAsia="zh-CN"/>
              </w:rPr>
            </w:pPr>
            <w:r>
              <w:rPr>
                <w:rFonts w:hint="default" w:ascii="宋体" w:hAnsi="宋体" w:eastAsia="宋体" w:cs="宋体"/>
                <w:b/>
                <w:bCs/>
                <w:color w:val="auto"/>
                <w:spacing w:val="6"/>
                <w:sz w:val="20"/>
                <w:szCs w:val="20"/>
                <w:highlight w:val="none"/>
                <w:lang w:val="en-US" w:eastAsia="zh-CN"/>
              </w:rPr>
              <w:t>标</w:t>
            </w:r>
          </w:p>
        </w:tc>
        <w:tc>
          <w:tcPr>
            <w:tcW w:w="12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19A337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default" w:ascii="宋体" w:hAnsi="宋体" w:eastAsia="宋体" w:cs="宋体"/>
                <w:color w:val="auto"/>
                <w:spacing w:val="6"/>
                <w:sz w:val="20"/>
                <w:szCs w:val="20"/>
                <w:highlight w:val="none"/>
                <w:lang w:val="en-US" w:eastAsia="zh-CN"/>
              </w:rPr>
              <w:t>数量指标</w:t>
            </w: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B4303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default" w:ascii="宋体" w:hAnsi="宋体" w:eastAsia="宋体" w:cs="宋体"/>
                <w:color w:val="auto"/>
                <w:spacing w:val="6"/>
                <w:sz w:val="20"/>
                <w:szCs w:val="20"/>
                <w:highlight w:val="none"/>
                <w:lang w:val="en-US" w:eastAsia="zh-CN"/>
              </w:rPr>
              <w:t>完成有效项目信息</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85ED9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eastAsia" w:ascii="宋体" w:hAnsi="宋体" w:cs="宋体"/>
                <w:color w:val="auto"/>
                <w:spacing w:val="6"/>
                <w:sz w:val="20"/>
                <w:szCs w:val="20"/>
                <w:highlight w:val="none"/>
                <w:lang w:val="en-US" w:eastAsia="zh-CN"/>
              </w:rPr>
              <w:t>4个</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E921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eastAsia" w:ascii="宋体" w:hAnsi="宋体" w:cs="宋体"/>
                <w:color w:val="auto"/>
                <w:spacing w:val="6"/>
                <w:sz w:val="20"/>
                <w:szCs w:val="20"/>
                <w:highlight w:val="none"/>
                <w:lang w:val="en-US" w:eastAsia="zh-CN"/>
              </w:rPr>
              <w:t>4个</w:t>
            </w:r>
          </w:p>
        </w:tc>
      </w:tr>
      <w:tr w14:paraId="231BC92C">
        <w:tblPrEx>
          <w:tblCellMar>
            <w:top w:w="0" w:type="dxa"/>
            <w:left w:w="0" w:type="dxa"/>
            <w:bottom w:w="0" w:type="dxa"/>
            <w:right w:w="0" w:type="dxa"/>
          </w:tblCellMar>
        </w:tblPrEx>
        <w:trPr>
          <w:trHeight w:val="865"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2C486C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p>
        </w:tc>
        <w:tc>
          <w:tcPr>
            <w:tcW w:w="1193" w:type="dxa"/>
            <w:vMerge w:val="continue"/>
            <w:tcBorders>
              <w:left w:val="single" w:color="000000" w:sz="4" w:space="0"/>
              <w:right w:val="single" w:color="000000" w:sz="4" w:space="0"/>
            </w:tcBorders>
            <w:noWrap w:val="0"/>
            <w:tcMar>
              <w:top w:w="15" w:type="dxa"/>
              <w:left w:w="15" w:type="dxa"/>
              <w:right w:w="15" w:type="dxa"/>
            </w:tcMar>
            <w:vAlign w:val="center"/>
          </w:tcPr>
          <w:p w14:paraId="4C2DBE8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color w:val="auto"/>
                <w:spacing w:val="6"/>
                <w:sz w:val="20"/>
                <w:szCs w:val="20"/>
                <w:highlight w:val="none"/>
                <w:lang w:val="en-US" w:eastAsia="zh-CN"/>
              </w:rPr>
            </w:pPr>
          </w:p>
        </w:tc>
        <w:tc>
          <w:tcPr>
            <w:tcW w:w="1290" w:type="dxa"/>
            <w:vMerge w:val="continue"/>
            <w:tcBorders>
              <w:left w:val="single" w:color="000000" w:sz="4" w:space="0"/>
              <w:right w:val="single" w:color="000000" w:sz="4" w:space="0"/>
            </w:tcBorders>
            <w:noWrap w:val="0"/>
            <w:tcMar>
              <w:top w:w="15" w:type="dxa"/>
              <w:left w:w="15" w:type="dxa"/>
              <w:right w:w="15" w:type="dxa"/>
            </w:tcMar>
            <w:vAlign w:val="center"/>
          </w:tcPr>
          <w:p w14:paraId="3DA05EE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B8FB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default" w:ascii="宋体" w:hAnsi="宋体" w:eastAsia="宋体" w:cs="宋体"/>
                <w:color w:val="auto"/>
                <w:spacing w:val="6"/>
                <w:sz w:val="20"/>
                <w:szCs w:val="20"/>
                <w:highlight w:val="none"/>
                <w:lang w:val="en-US" w:eastAsia="zh-CN"/>
              </w:rPr>
              <w:t>去各大企业、商协会拜会</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FFA2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cs="宋体"/>
                <w:color w:val="auto"/>
                <w:spacing w:val="6"/>
                <w:sz w:val="20"/>
                <w:szCs w:val="20"/>
                <w:highlight w:val="none"/>
                <w:lang w:val="en-US" w:eastAsia="zh-CN"/>
              </w:rPr>
            </w:pPr>
            <w:r>
              <w:rPr>
                <w:rFonts w:hint="eastAsia" w:ascii="宋体" w:hAnsi="宋体" w:cs="宋体"/>
                <w:color w:val="auto"/>
                <w:spacing w:val="6"/>
                <w:sz w:val="20"/>
                <w:szCs w:val="20"/>
                <w:highlight w:val="none"/>
                <w:lang w:val="en-US" w:eastAsia="zh-CN"/>
              </w:rPr>
              <w:t>全年35次</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55C7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cs="宋体"/>
                <w:color w:val="auto"/>
                <w:spacing w:val="6"/>
                <w:sz w:val="20"/>
                <w:szCs w:val="20"/>
                <w:highlight w:val="none"/>
                <w:lang w:val="en-US" w:eastAsia="zh-CN"/>
              </w:rPr>
            </w:pPr>
            <w:r>
              <w:rPr>
                <w:rFonts w:hint="eastAsia" w:ascii="宋体" w:hAnsi="宋体" w:cs="宋体"/>
                <w:color w:val="auto"/>
                <w:spacing w:val="6"/>
                <w:sz w:val="20"/>
                <w:szCs w:val="20"/>
                <w:highlight w:val="none"/>
                <w:lang w:val="en-US" w:eastAsia="zh-CN"/>
              </w:rPr>
              <w:t>全年30次</w:t>
            </w:r>
          </w:p>
        </w:tc>
      </w:tr>
      <w:tr w14:paraId="75A9033E">
        <w:tblPrEx>
          <w:tblCellMar>
            <w:top w:w="0" w:type="dxa"/>
            <w:left w:w="0" w:type="dxa"/>
            <w:bottom w:w="0" w:type="dxa"/>
            <w:right w:w="0" w:type="dxa"/>
          </w:tblCellMar>
        </w:tblPrEx>
        <w:trPr>
          <w:trHeight w:val="865"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153911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p>
        </w:tc>
        <w:tc>
          <w:tcPr>
            <w:tcW w:w="1193" w:type="dxa"/>
            <w:vMerge w:val="continue"/>
            <w:tcBorders>
              <w:left w:val="single" w:color="000000" w:sz="4" w:space="0"/>
              <w:right w:val="single" w:color="000000" w:sz="4" w:space="0"/>
            </w:tcBorders>
            <w:noWrap w:val="0"/>
            <w:tcMar>
              <w:top w:w="15" w:type="dxa"/>
              <w:left w:w="15" w:type="dxa"/>
              <w:right w:w="15" w:type="dxa"/>
            </w:tcMar>
            <w:vAlign w:val="center"/>
          </w:tcPr>
          <w:p w14:paraId="058BCDE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color w:val="auto"/>
                <w:spacing w:val="6"/>
                <w:sz w:val="20"/>
                <w:szCs w:val="20"/>
                <w:highlight w:val="none"/>
                <w:lang w:val="en-US" w:eastAsia="zh-CN"/>
              </w:rPr>
            </w:pPr>
          </w:p>
        </w:tc>
        <w:tc>
          <w:tcPr>
            <w:tcW w:w="12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EB4A93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94F6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default" w:ascii="宋体" w:hAnsi="宋体" w:eastAsia="宋体" w:cs="宋体"/>
                <w:color w:val="auto"/>
                <w:spacing w:val="6"/>
                <w:sz w:val="20"/>
                <w:szCs w:val="20"/>
                <w:highlight w:val="none"/>
                <w:lang w:val="en-US" w:eastAsia="zh-CN"/>
              </w:rPr>
              <w:t>成渝双城经济开展交流对接</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1C17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s="宋体"/>
                <w:color w:val="auto"/>
                <w:spacing w:val="6"/>
                <w:sz w:val="20"/>
                <w:szCs w:val="20"/>
                <w:highlight w:val="none"/>
                <w:lang w:val="en-US" w:eastAsia="zh-CN"/>
              </w:rPr>
            </w:pPr>
            <w:r>
              <w:rPr>
                <w:rFonts w:hint="eastAsia" w:ascii="宋体" w:hAnsi="宋体" w:cs="宋体"/>
                <w:color w:val="auto"/>
                <w:spacing w:val="6"/>
                <w:sz w:val="20"/>
                <w:szCs w:val="20"/>
                <w:highlight w:val="none"/>
                <w:lang w:val="en-US" w:eastAsia="zh-CN"/>
              </w:rPr>
              <w:t>全年不低于10次</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4E699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s="宋体"/>
                <w:color w:val="auto"/>
                <w:spacing w:val="6"/>
                <w:sz w:val="20"/>
                <w:szCs w:val="20"/>
                <w:highlight w:val="none"/>
                <w:lang w:val="en-US" w:eastAsia="zh-CN"/>
              </w:rPr>
            </w:pPr>
            <w:r>
              <w:rPr>
                <w:rFonts w:hint="eastAsia" w:ascii="宋体" w:hAnsi="宋体" w:cs="宋体"/>
                <w:color w:val="auto"/>
                <w:spacing w:val="6"/>
                <w:sz w:val="20"/>
                <w:szCs w:val="20"/>
                <w:highlight w:val="none"/>
                <w:lang w:val="en-US" w:eastAsia="zh-CN"/>
              </w:rPr>
              <w:t>全年不低于10次</w:t>
            </w:r>
          </w:p>
        </w:tc>
      </w:tr>
      <w:tr w14:paraId="765E8DFB">
        <w:tblPrEx>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F15A0D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p>
        </w:tc>
        <w:tc>
          <w:tcPr>
            <w:tcW w:w="119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3DF3A6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color w:val="auto"/>
                <w:spacing w:val="6"/>
                <w:sz w:val="20"/>
                <w:szCs w:val="20"/>
                <w:highlight w:val="none"/>
                <w:lang w:val="en-US" w:eastAsia="zh-CN"/>
              </w:rPr>
            </w:pPr>
          </w:p>
        </w:tc>
        <w:tc>
          <w:tcPr>
            <w:tcW w:w="12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DD9A9B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default" w:ascii="宋体" w:hAnsi="宋体" w:eastAsia="宋体" w:cs="宋体"/>
                <w:color w:val="auto"/>
                <w:spacing w:val="6"/>
                <w:sz w:val="20"/>
                <w:szCs w:val="20"/>
                <w:highlight w:val="none"/>
                <w:lang w:val="en-US" w:eastAsia="zh-CN"/>
              </w:rPr>
              <w:t>质量指标</w:t>
            </w: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48F1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default" w:ascii="宋体" w:hAnsi="宋体" w:eastAsia="宋体" w:cs="宋体"/>
                <w:color w:val="auto"/>
                <w:spacing w:val="6"/>
                <w:sz w:val="20"/>
                <w:szCs w:val="20"/>
                <w:highlight w:val="none"/>
                <w:lang w:val="en-US" w:eastAsia="zh-CN"/>
              </w:rPr>
              <w:t>完善沟通对接机制，举办好相关会议</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91853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default" w:ascii="宋体" w:hAnsi="宋体" w:eastAsia="宋体" w:cs="宋体"/>
                <w:color w:val="auto"/>
                <w:spacing w:val="6"/>
                <w:sz w:val="20"/>
                <w:szCs w:val="20"/>
                <w:highlight w:val="none"/>
                <w:lang w:val="en-US" w:eastAsia="zh-CN"/>
              </w:rPr>
              <w:t>健章立制，有效保障工作效率和质量</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A5F0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default" w:ascii="宋体" w:hAnsi="宋体" w:eastAsia="宋体" w:cs="宋体"/>
                <w:color w:val="auto"/>
                <w:spacing w:val="6"/>
                <w:sz w:val="20"/>
                <w:szCs w:val="20"/>
                <w:highlight w:val="none"/>
                <w:lang w:val="en-US" w:eastAsia="zh-CN"/>
              </w:rPr>
              <w:t>健章立制，有效保障工作效率和质量</w:t>
            </w:r>
          </w:p>
        </w:tc>
      </w:tr>
      <w:tr w14:paraId="37F5D8F2">
        <w:tblPrEx>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601D80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p>
        </w:tc>
        <w:tc>
          <w:tcPr>
            <w:tcW w:w="119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36AAF9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color w:val="auto"/>
                <w:spacing w:val="6"/>
                <w:sz w:val="20"/>
                <w:szCs w:val="20"/>
                <w:highlight w:val="none"/>
                <w:lang w:val="en-US" w:eastAsia="zh-CN"/>
              </w:rPr>
            </w:pPr>
          </w:p>
        </w:tc>
        <w:tc>
          <w:tcPr>
            <w:tcW w:w="12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C2CE80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F041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default" w:ascii="宋体" w:hAnsi="宋体" w:eastAsia="宋体" w:cs="宋体"/>
                <w:color w:val="auto"/>
                <w:spacing w:val="6"/>
                <w:sz w:val="20"/>
                <w:szCs w:val="20"/>
                <w:highlight w:val="none"/>
                <w:lang w:val="en-US" w:eastAsia="zh-CN"/>
              </w:rPr>
              <w:t>招商引资专项工作</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0349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default" w:ascii="宋体" w:hAnsi="宋体" w:eastAsia="宋体" w:cs="宋体"/>
                <w:color w:val="auto"/>
                <w:spacing w:val="6"/>
                <w:sz w:val="20"/>
                <w:szCs w:val="20"/>
                <w:highlight w:val="none"/>
                <w:lang w:val="en-US" w:eastAsia="zh-CN"/>
              </w:rPr>
              <w:t>信息有效，项目落地数量有所提高</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FFA6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default" w:ascii="宋体" w:hAnsi="宋体" w:eastAsia="宋体" w:cs="宋体"/>
                <w:color w:val="auto"/>
                <w:spacing w:val="6"/>
                <w:sz w:val="20"/>
                <w:szCs w:val="20"/>
                <w:highlight w:val="none"/>
                <w:lang w:val="en-US" w:eastAsia="zh-CN"/>
              </w:rPr>
              <w:t>信息有效，项目落地数量有所提高</w:t>
            </w:r>
          </w:p>
        </w:tc>
      </w:tr>
      <w:tr w14:paraId="3D8BD5F4">
        <w:tblPrEx>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5F31AD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p>
        </w:tc>
        <w:tc>
          <w:tcPr>
            <w:tcW w:w="119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F731A1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color w:val="auto"/>
                <w:spacing w:val="6"/>
                <w:sz w:val="20"/>
                <w:szCs w:val="20"/>
                <w:highlight w:val="none"/>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017B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default" w:ascii="宋体" w:hAnsi="宋体" w:eastAsia="宋体" w:cs="宋体"/>
                <w:color w:val="auto"/>
                <w:spacing w:val="6"/>
                <w:sz w:val="20"/>
                <w:szCs w:val="20"/>
                <w:highlight w:val="none"/>
                <w:lang w:val="en-US" w:eastAsia="zh-CN"/>
              </w:rPr>
              <w:t>时效指标</w:t>
            </w: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CBE3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default" w:ascii="宋体" w:hAnsi="宋体" w:eastAsia="宋体" w:cs="宋体"/>
                <w:color w:val="auto"/>
                <w:spacing w:val="6"/>
                <w:sz w:val="20"/>
                <w:szCs w:val="20"/>
                <w:highlight w:val="none"/>
                <w:lang w:val="en-US" w:eastAsia="zh-CN"/>
              </w:rPr>
              <w:t>完成时间</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32FA0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eastAsia" w:ascii="宋体" w:hAnsi="宋体" w:cs="宋体"/>
                <w:color w:val="auto"/>
                <w:spacing w:val="6"/>
                <w:sz w:val="20"/>
                <w:szCs w:val="20"/>
                <w:highlight w:val="none"/>
                <w:lang w:val="en-US" w:eastAsia="zh-CN"/>
              </w:rPr>
              <w:t>长期</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8586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eastAsia" w:ascii="宋体" w:hAnsi="宋体" w:cs="宋体"/>
                <w:color w:val="auto"/>
                <w:spacing w:val="6"/>
                <w:sz w:val="20"/>
                <w:szCs w:val="20"/>
                <w:highlight w:val="none"/>
                <w:lang w:val="en-US" w:eastAsia="zh-CN"/>
              </w:rPr>
              <w:t>长期</w:t>
            </w:r>
          </w:p>
        </w:tc>
      </w:tr>
      <w:tr w14:paraId="6008C2EA">
        <w:tblPrEx>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965164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p>
        </w:tc>
        <w:tc>
          <w:tcPr>
            <w:tcW w:w="11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7A349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color w:val="auto"/>
                <w:spacing w:val="6"/>
                <w:sz w:val="20"/>
                <w:szCs w:val="20"/>
                <w:highlight w:val="none"/>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8DEE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default" w:ascii="宋体" w:hAnsi="宋体" w:eastAsia="宋体" w:cs="宋体"/>
                <w:color w:val="auto"/>
                <w:spacing w:val="6"/>
                <w:sz w:val="20"/>
                <w:szCs w:val="20"/>
                <w:highlight w:val="none"/>
                <w:lang w:val="en-US" w:eastAsia="zh-CN"/>
              </w:rPr>
              <w:t>成本指标</w:t>
            </w: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6ED4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default" w:ascii="宋体" w:hAnsi="宋体" w:eastAsia="宋体" w:cs="宋体"/>
                <w:color w:val="auto"/>
                <w:spacing w:val="6"/>
                <w:sz w:val="20"/>
                <w:szCs w:val="20"/>
                <w:highlight w:val="none"/>
                <w:lang w:val="en-US" w:eastAsia="zh-CN"/>
              </w:rPr>
              <w:t>招商引资</w:t>
            </w:r>
            <w:r>
              <w:rPr>
                <w:rFonts w:hint="eastAsia" w:ascii="宋体" w:hAnsi="宋体" w:cs="宋体"/>
                <w:color w:val="auto"/>
                <w:spacing w:val="6"/>
                <w:sz w:val="20"/>
                <w:szCs w:val="20"/>
                <w:highlight w:val="none"/>
                <w:lang w:val="en-US" w:eastAsia="zh-CN"/>
              </w:rPr>
              <w:t>专项经费</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0870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eastAsia" w:ascii="宋体" w:hAnsi="宋体" w:cs="宋体"/>
                <w:color w:val="auto"/>
                <w:spacing w:val="6"/>
                <w:sz w:val="20"/>
                <w:szCs w:val="20"/>
                <w:highlight w:val="none"/>
                <w:lang w:val="en-US" w:eastAsia="zh-CN"/>
              </w:rPr>
              <w:t>130万元</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44062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eastAsia" w:ascii="宋体" w:hAnsi="宋体" w:cs="宋体"/>
                <w:color w:val="auto"/>
                <w:spacing w:val="6"/>
                <w:sz w:val="20"/>
                <w:szCs w:val="20"/>
                <w:highlight w:val="none"/>
                <w:lang w:val="en-US" w:eastAsia="zh-CN"/>
              </w:rPr>
              <w:t>130万元</w:t>
            </w:r>
          </w:p>
        </w:tc>
      </w:tr>
      <w:tr w14:paraId="1D9BFFEB">
        <w:tblPrEx>
          <w:tblCellMar>
            <w:top w:w="0" w:type="dxa"/>
            <w:left w:w="0" w:type="dxa"/>
            <w:bottom w:w="0" w:type="dxa"/>
            <w:right w:w="0" w:type="dxa"/>
          </w:tblCellMar>
        </w:tblPrEx>
        <w:trPr>
          <w:trHeight w:val="829"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0D3432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p>
        </w:tc>
        <w:tc>
          <w:tcPr>
            <w:tcW w:w="119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24A144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color w:val="auto"/>
                <w:spacing w:val="6"/>
                <w:sz w:val="20"/>
                <w:szCs w:val="20"/>
                <w:highlight w:val="none"/>
                <w:lang w:val="en-US" w:eastAsia="zh-CN"/>
              </w:rPr>
            </w:pPr>
            <w:r>
              <w:rPr>
                <w:rFonts w:hint="default" w:ascii="宋体" w:hAnsi="宋体" w:eastAsia="宋体" w:cs="宋体"/>
                <w:b/>
                <w:bCs/>
                <w:color w:val="auto"/>
                <w:spacing w:val="6"/>
                <w:sz w:val="20"/>
                <w:szCs w:val="20"/>
                <w:highlight w:val="none"/>
                <w:lang w:val="en-US" w:eastAsia="zh-CN"/>
              </w:rPr>
              <w:t>效</w:t>
            </w:r>
          </w:p>
          <w:p w14:paraId="5C5FBEF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color w:val="auto"/>
                <w:spacing w:val="6"/>
                <w:sz w:val="20"/>
                <w:szCs w:val="20"/>
                <w:highlight w:val="none"/>
                <w:lang w:val="en-US" w:eastAsia="zh-CN"/>
              </w:rPr>
            </w:pPr>
            <w:r>
              <w:rPr>
                <w:rFonts w:hint="default" w:ascii="宋体" w:hAnsi="宋体" w:eastAsia="宋体" w:cs="宋体"/>
                <w:b/>
                <w:bCs/>
                <w:color w:val="auto"/>
                <w:spacing w:val="6"/>
                <w:sz w:val="20"/>
                <w:szCs w:val="20"/>
                <w:highlight w:val="none"/>
                <w:lang w:val="en-US" w:eastAsia="zh-CN"/>
              </w:rPr>
              <w:t>益</w:t>
            </w:r>
          </w:p>
          <w:p w14:paraId="57F0521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color w:val="auto"/>
                <w:spacing w:val="6"/>
                <w:sz w:val="20"/>
                <w:szCs w:val="20"/>
                <w:highlight w:val="none"/>
                <w:lang w:val="en-US" w:eastAsia="zh-CN"/>
              </w:rPr>
            </w:pPr>
            <w:r>
              <w:rPr>
                <w:rFonts w:hint="default" w:ascii="宋体" w:hAnsi="宋体" w:eastAsia="宋体" w:cs="宋体"/>
                <w:b/>
                <w:bCs/>
                <w:color w:val="auto"/>
                <w:spacing w:val="6"/>
                <w:sz w:val="20"/>
                <w:szCs w:val="20"/>
                <w:highlight w:val="none"/>
                <w:lang w:val="en-US" w:eastAsia="zh-CN"/>
              </w:rPr>
              <w:t>指</w:t>
            </w:r>
          </w:p>
          <w:p w14:paraId="7B1B220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color w:val="auto"/>
                <w:spacing w:val="6"/>
                <w:sz w:val="20"/>
                <w:szCs w:val="20"/>
                <w:highlight w:val="none"/>
                <w:lang w:val="en-US" w:eastAsia="zh-CN"/>
              </w:rPr>
            </w:pPr>
            <w:r>
              <w:rPr>
                <w:rFonts w:hint="default" w:ascii="宋体" w:hAnsi="宋体" w:eastAsia="宋体" w:cs="宋体"/>
                <w:b/>
                <w:bCs/>
                <w:color w:val="auto"/>
                <w:spacing w:val="6"/>
                <w:sz w:val="20"/>
                <w:szCs w:val="20"/>
                <w:highlight w:val="none"/>
                <w:lang w:val="en-US" w:eastAsia="zh-CN"/>
              </w:rPr>
              <w:t>标</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25CDE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经济效益指标</w:t>
            </w: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477A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default" w:ascii="宋体" w:hAnsi="宋体" w:eastAsia="宋体" w:cs="宋体"/>
                <w:color w:val="auto"/>
                <w:spacing w:val="6"/>
                <w:sz w:val="20"/>
                <w:szCs w:val="20"/>
                <w:highlight w:val="none"/>
                <w:lang w:val="en-US" w:eastAsia="zh-CN"/>
              </w:rPr>
              <w:t>成渝双城经济圈</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F6E8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default" w:ascii="宋体" w:hAnsi="宋体" w:eastAsia="宋体" w:cs="宋体"/>
                <w:color w:val="auto"/>
                <w:spacing w:val="6"/>
                <w:sz w:val="20"/>
                <w:szCs w:val="20"/>
                <w:highlight w:val="none"/>
                <w:lang w:val="en-US" w:eastAsia="zh-CN"/>
              </w:rPr>
              <w:t>凝聚广安发展合力</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0F4B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default" w:ascii="宋体" w:hAnsi="宋体" w:eastAsia="宋体" w:cs="宋体"/>
                <w:color w:val="auto"/>
                <w:spacing w:val="6"/>
                <w:sz w:val="20"/>
                <w:szCs w:val="20"/>
                <w:highlight w:val="none"/>
                <w:lang w:val="en-US" w:eastAsia="zh-CN"/>
              </w:rPr>
              <w:t>凝聚广安发展合力</w:t>
            </w:r>
          </w:p>
        </w:tc>
      </w:tr>
      <w:tr w14:paraId="262E79AE">
        <w:tblPrEx>
          <w:tblCellMar>
            <w:top w:w="0" w:type="dxa"/>
            <w:left w:w="0" w:type="dxa"/>
            <w:bottom w:w="0" w:type="dxa"/>
            <w:right w:w="0" w:type="dxa"/>
          </w:tblCellMar>
        </w:tblPrEx>
        <w:trPr>
          <w:trHeight w:val="1925"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EEBBA8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p>
        </w:tc>
        <w:tc>
          <w:tcPr>
            <w:tcW w:w="1193" w:type="dxa"/>
            <w:vMerge w:val="continue"/>
            <w:tcBorders>
              <w:left w:val="single" w:color="000000" w:sz="4" w:space="0"/>
              <w:right w:val="single" w:color="000000" w:sz="4" w:space="0"/>
            </w:tcBorders>
            <w:noWrap w:val="0"/>
            <w:tcMar>
              <w:top w:w="15" w:type="dxa"/>
              <w:left w:w="15" w:type="dxa"/>
              <w:right w:w="15" w:type="dxa"/>
            </w:tcMar>
            <w:vAlign w:val="center"/>
          </w:tcPr>
          <w:p w14:paraId="78E7C14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color w:val="auto"/>
                <w:spacing w:val="6"/>
                <w:sz w:val="20"/>
                <w:szCs w:val="20"/>
                <w:highlight w:val="none"/>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F0BA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default" w:ascii="宋体" w:hAnsi="宋体" w:eastAsia="宋体" w:cs="宋体"/>
                <w:color w:val="auto"/>
                <w:spacing w:val="6"/>
                <w:sz w:val="20"/>
                <w:szCs w:val="20"/>
                <w:highlight w:val="none"/>
                <w:lang w:val="en-US" w:eastAsia="zh-CN"/>
              </w:rPr>
              <w:t>社会效益</w:t>
            </w:r>
          </w:p>
          <w:p w14:paraId="1B8291F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default" w:ascii="宋体" w:hAnsi="宋体" w:eastAsia="宋体" w:cs="宋体"/>
                <w:color w:val="auto"/>
                <w:spacing w:val="6"/>
                <w:sz w:val="20"/>
                <w:szCs w:val="20"/>
                <w:highlight w:val="none"/>
                <w:lang w:val="en-US" w:eastAsia="zh-CN"/>
              </w:rPr>
              <w:t>指标</w:t>
            </w: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26EA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default" w:ascii="宋体" w:hAnsi="宋体" w:eastAsia="宋体" w:cs="宋体"/>
                <w:color w:val="auto"/>
                <w:spacing w:val="6"/>
                <w:sz w:val="20"/>
                <w:szCs w:val="20"/>
                <w:highlight w:val="none"/>
                <w:lang w:val="en-US" w:eastAsia="zh-CN"/>
              </w:rPr>
              <w:t>行业协会信息共享专项工作</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5B76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default" w:ascii="宋体" w:hAnsi="宋体" w:eastAsia="宋体" w:cs="宋体"/>
                <w:color w:val="auto"/>
                <w:spacing w:val="6"/>
                <w:sz w:val="20"/>
                <w:szCs w:val="20"/>
                <w:highlight w:val="none"/>
                <w:lang w:val="en-US" w:eastAsia="zh-CN"/>
              </w:rPr>
              <w:t>发展广安经济，招商工作卓有成效</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6525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default" w:ascii="宋体" w:hAnsi="宋体" w:eastAsia="宋体" w:cs="宋体"/>
                <w:color w:val="auto"/>
                <w:spacing w:val="6"/>
                <w:sz w:val="20"/>
                <w:szCs w:val="20"/>
                <w:highlight w:val="none"/>
                <w:lang w:val="en-US" w:eastAsia="zh-CN"/>
              </w:rPr>
              <w:t>发展广安经济，招商工作卓有成效</w:t>
            </w:r>
          </w:p>
        </w:tc>
      </w:tr>
      <w:tr w14:paraId="650180D0">
        <w:tblPrEx>
          <w:tblCellMar>
            <w:top w:w="0" w:type="dxa"/>
            <w:left w:w="0" w:type="dxa"/>
            <w:bottom w:w="0" w:type="dxa"/>
            <w:right w:w="0" w:type="dxa"/>
          </w:tblCellMar>
        </w:tblPrEx>
        <w:trPr>
          <w:trHeight w:val="588"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896EEF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p>
        </w:tc>
        <w:tc>
          <w:tcPr>
            <w:tcW w:w="1193" w:type="dxa"/>
            <w:vMerge w:val="continue"/>
            <w:tcBorders>
              <w:left w:val="single" w:color="000000" w:sz="4" w:space="0"/>
              <w:right w:val="single" w:color="000000" w:sz="4" w:space="0"/>
            </w:tcBorders>
            <w:noWrap w:val="0"/>
            <w:tcMar>
              <w:top w:w="15" w:type="dxa"/>
              <w:left w:w="15" w:type="dxa"/>
              <w:right w:w="15" w:type="dxa"/>
            </w:tcMar>
            <w:vAlign w:val="center"/>
          </w:tcPr>
          <w:p w14:paraId="1A5DCDC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color w:val="auto"/>
                <w:spacing w:val="6"/>
                <w:sz w:val="20"/>
                <w:szCs w:val="20"/>
                <w:highlight w:val="none"/>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9EEF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生态</w:t>
            </w:r>
            <w:r>
              <w:rPr>
                <w:rFonts w:hint="default" w:ascii="宋体" w:hAnsi="宋体" w:eastAsia="宋体" w:cs="宋体"/>
                <w:color w:val="auto"/>
                <w:spacing w:val="6"/>
                <w:sz w:val="20"/>
                <w:szCs w:val="20"/>
                <w:highlight w:val="none"/>
                <w:lang w:val="en-US" w:eastAsia="zh-CN"/>
              </w:rPr>
              <w:t>效益</w:t>
            </w:r>
          </w:p>
          <w:p w14:paraId="43AC1BD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default" w:ascii="宋体" w:hAnsi="宋体" w:eastAsia="宋体" w:cs="宋体"/>
                <w:color w:val="auto"/>
                <w:spacing w:val="6"/>
                <w:sz w:val="20"/>
                <w:szCs w:val="20"/>
                <w:highlight w:val="none"/>
                <w:lang w:val="en-US" w:eastAsia="zh-CN"/>
              </w:rPr>
              <w:t>指标</w:t>
            </w: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2F9AF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default" w:ascii="宋体" w:hAnsi="宋体" w:eastAsia="宋体" w:cs="宋体"/>
                <w:color w:val="auto"/>
                <w:spacing w:val="6"/>
                <w:sz w:val="20"/>
                <w:szCs w:val="20"/>
                <w:highlight w:val="none"/>
                <w:lang w:val="en-US" w:eastAsia="zh-CN"/>
              </w:rPr>
              <w:t>专项业务费</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17EB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default" w:ascii="宋体" w:hAnsi="宋体" w:eastAsia="宋体" w:cs="宋体"/>
                <w:color w:val="auto"/>
                <w:spacing w:val="6"/>
                <w:sz w:val="20"/>
                <w:szCs w:val="20"/>
                <w:highlight w:val="none"/>
                <w:lang w:val="en-US" w:eastAsia="zh-CN"/>
              </w:rPr>
              <w:t>达到预期目标</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1536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default" w:ascii="宋体" w:hAnsi="宋体" w:eastAsia="宋体" w:cs="宋体"/>
                <w:color w:val="auto"/>
                <w:spacing w:val="6"/>
                <w:sz w:val="20"/>
                <w:szCs w:val="20"/>
                <w:highlight w:val="none"/>
                <w:lang w:val="en-US" w:eastAsia="zh-CN"/>
              </w:rPr>
              <w:t>达到预期目标</w:t>
            </w:r>
          </w:p>
        </w:tc>
      </w:tr>
      <w:tr w14:paraId="59B46ACC">
        <w:tblPrEx>
          <w:tblCellMar>
            <w:top w:w="0" w:type="dxa"/>
            <w:left w:w="0" w:type="dxa"/>
            <w:bottom w:w="0" w:type="dxa"/>
            <w:right w:w="0" w:type="dxa"/>
          </w:tblCellMar>
        </w:tblPrEx>
        <w:trPr>
          <w:trHeight w:val="550"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F8C8CF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p>
        </w:tc>
        <w:tc>
          <w:tcPr>
            <w:tcW w:w="119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91E675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color w:val="auto"/>
                <w:spacing w:val="6"/>
                <w:sz w:val="20"/>
                <w:szCs w:val="20"/>
                <w:highlight w:val="none"/>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9FEDD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default" w:ascii="宋体" w:hAnsi="宋体" w:eastAsia="宋体" w:cs="宋体"/>
                <w:color w:val="auto"/>
                <w:spacing w:val="6"/>
                <w:sz w:val="20"/>
                <w:szCs w:val="20"/>
                <w:highlight w:val="none"/>
                <w:lang w:val="en-US" w:eastAsia="zh-CN"/>
              </w:rPr>
              <w:t>可持续影响指标</w:t>
            </w: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77B2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default" w:ascii="宋体" w:hAnsi="宋体" w:eastAsia="宋体" w:cs="宋体"/>
                <w:spacing w:val="6"/>
                <w:sz w:val="20"/>
                <w:szCs w:val="20"/>
                <w:lang w:val="en-US" w:eastAsia="zh-CN"/>
              </w:rPr>
              <w:t>持续影响年限</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5774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eastAsia" w:ascii="宋体" w:hAnsi="宋体" w:cs="宋体"/>
                <w:color w:val="auto"/>
                <w:spacing w:val="6"/>
                <w:sz w:val="20"/>
                <w:szCs w:val="20"/>
                <w:highlight w:val="none"/>
                <w:lang w:val="en-US" w:eastAsia="zh-CN"/>
              </w:rPr>
              <w:t>长期</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189D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eastAsia" w:ascii="宋体" w:hAnsi="宋体" w:cs="宋体"/>
                <w:color w:val="auto"/>
                <w:spacing w:val="6"/>
                <w:sz w:val="20"/>
                <w:szCs w:val="20"/>
                <w:highlight w:val="none"/>
                <w:lang w:val="en-US" w:eastAsia="zh-CN"/>
              </w:rPr>
              <w:t>长期</w:t>
            </w:r>
          </w:p>
        </w:tc>
      </w:tr>
      <w:tr w14:paraId="304E9F05">
        <w:tblPrEx>
          <w:tblCellMar>
            <w:top w:w="0" w:type="dxa"/>
            <w:left w:w="0" w:type="dxa"/>
            <w:bottom w:w="0" w:type="dxa"/>
            <w:right w:w="0" w:type="dxa"/>
          </w:tblCellMar>
        </w:tblPrEx>
        <w:trPr>
          <w:trHeight w:val="90"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45E06F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9868C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color w:val="auto"/>
                <w:spacing w:val="6"/>
                <w:sz w:val="20"/>
                <w:szCs w:val="20"/>
                <w:highlight w:val="none"/>
                <w:lang w:val="en-US" w:eastAsia="zh-CN"/>
              </w:rPr>
            </w:pPr>
            <w:r>
              <w:rPr>
                <w:rFonts w:hint="default" w:ascii="宋体" w:hAnsi="宋体" w:eastAsia="宋体" w:cs="宋体"/>
                <w:b/>
                <w:bCs/>
                <w:color w:val="auto"/>
                <w:spacing w:val="6"/>
                <w:sz w:val="20"/>
                <w:szCs w:val="20"/>
                <w:highlight w:val="none"/>
                <w:lang w:val="en-US" w:eastAsia="zh-CN"/>
              </w:rPr>
              <w:t>满意</w:t>
            </w:r>
          </w:p>
          <w:p w14:paraId="3E74A54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color w:val="auto"/>
                <w:spacing w:val="6"/>
                <w:sz w:val="20"/>
                <w:szCs w:val="20"/>
                <w:highlight w:val="none"/>
                <w:lang w:val="en-US" w:eastAsia="zh-CN"/>
              </w:rPr>
            </w:pPr>
            <w:r>
              <w:rPr>
                <w:rFonts w:hint="default" w:ascii="宋体" w:hAnsi="宋体" w:eastAsia="宋体" w:cs="宋体"/>
                <w:b/>
                <w:bCs/>
                <w:color w:val="auto"/>
                <w:spacing w:val="6"/>
                <w:sz w:val="20"/>
                <w:szCs w:val="20"/>
                <w:highlight w:val="none"/>
                <w:lang w:val="en-US" w:eastAsia="zh-CN"/>
              </w:rPr>
              <w:t>度指</w:t>
            </w:r>
          </w:p>
          <w:p w14:paraId="04D0359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color w:val="auto"/>
                <w:spacing w:val="6"/>
                <w:sz w:val="20"/>
                <w:szCs w:val="20"/>
                <w:highlight w:val="none"/>
                <w:lang w:val="en-US" w:eastAsia="zh-CN"/>
              </w:rPr>
            </w:pPr>
            <w:r>
              <w:rPr>
                <w:rFonts w:hint="default" w:ascii="宋体" w:hAnsi="宋体" w:eastAsia="宋体" w:cs="宋体"/>
                <w:b/>
                <w:bCs/>
                <w:color w:val="auto"/>
                <w:spacing w:val="6"/>
                <w:sz w:val="20"/>
                <w:szCs w:val="20"/>
                <w:highlight w:val="none"/>
                <w:lang w:val="en-US" w:eastAsia="zh-CN"/>
              </w:rPr>
              <w:t>标</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9471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default" w:ascii="宋体" w:hAnsi="宋体" w:eastAsia="宋体" w:cs="宋体"/>
                <w:color w:val="auto"/>
                <w:spacing w:val="6"/>
                <w:sz w:val="20"/>
                <w:szCs w:val="20"/>
                <w:highlight w:val="none"/>
                <w:lang w:val="en-US" w:eastAsia="zh-CN"/>
              </w:rPr>
              <w:t>满意度指标</w:t>
            </w: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4B23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default" w:ascii="宋体" w:hAnsi="宋体" w:eastAsia="宋体" w:cs="宋体"/>
                <w:color w:val="auto"/>
                <w:spacing w:val="6"/>
                <w:sz w:val="20"/>
                <w:szCs w:val="20"/>
                <w:highlight w:val="none"/>
                <w:lang w:val="en-US" w:eastAsia="zh-CN"/>
              </w:rPr>
              <w:t>主管部门满意度</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99179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eastAsia" w:ascii="宋体" w:hAnsi="宋体" w:cs="宋体"/>
                <w:color w:val="auto"/>
                <w:spacing w:val="6"/>
                <w:sz w:val="20"/>
                <w:szCs w:val="20"/>
                <w:highlight w:val="none"/>
                <w:lang w:val="en-US" w:eastAsia="zh-CN"/>
              </w:rPr>
              <w:t>95%</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7FB8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eastAsia" w:ascii="宋体" w:hAnsi="宋体" w:cs="宋体"/>
                <w:color w:val="auto"/>
                <w:spacing w:val="6"/>
                <w:sz w:val="20"/>
                <w:szCs w:val="20"/>
                <w:highlight w:val="none"/>
                <w:lang w:val="en-US" w:eastAsia="zh-CN"/>
              </w:rPr>
              <w:t>95%</w:t>
            </w:r>
          </w:p>
        </w:tc>
      </w:tr>
    </w:tbl>
    <w:p w14:paraId="4158FD97">
      <w:pPr>
        <w:spacing w:line="580" w:lineRule="exact"/>
        <w:ind w:firstLine="640"/>
        <w:rPr>
          <w:rFonts w:hint="eastAsia"/>
        </w:rPr>
      </w:pPr>
    </w:p>
    <w:p w14:paraId="3BDAE37A">
      <w:pPr>
        <w:pStyle w:val="2"/>
        <w:rPr>
          <w:rFonts w:hint="eastAsia"/>
        </w:rPr>
      </w:pPr>
    </w:p>
    <w:p w14:paraId="469CAC0F">
      <w:pPr>
        <w:spacing w:line="600" w:lineRule="exact"/>
        <w:jc w:val="center"/>
        <w:outlineLvl w:val="0"/>
        <w:rPr>
          <w:rFonts w:hint="eastAsia" w:ascii="黑体" w:hAnsi="黑体" w:eastAsia="黑体"/>
          <w:color w:val="auto"/>
          <w:sz w:val="44"/>
          <w:szCs w:val="44"/>
          <w:highlight w:val="none"/>
        </w:rPr>
      </w:pPr>
    </w:p>
    <w:p w14:paraId="0FD434DF">
      <w:pPr>
        <w:spacing w:line="600" w:lineRule="exact"/>
        <w:jc w:val="center"/>
        <w:outlineLvl w:val="0"/>
        <w:rPr>
          <w:rFonts w:hint="eastAsia" w:ascii="黑体" w:hAnsi="黑体" w:eastAsia="黑体"/>
          <w:color w:val="auto"/>
          <w:sz w:val="44"/>
          <w:szCs w:val="44"/>
          <w:highlight w:val="none"/>
        </w:rPr>
      </w:pPr>
    </w:p>
    <w:p w14:paraId="57555E1A">
      <w:pPr>
        <w:spacing w:line="600" w:lineRule="exact"/>
        <w:jc w:val="center"/>
        <w:outlineLvl w:val="0"/>
        <w:rPr>
          <w:rFonts w:hint="eastAsia" w:ascii="黑体" w:hAnsi="黑体" w:eastAsia="黑体"/>
          <w:color w:val="auto"/>
          <w:sz w:val="44"/>
          <w:szCs w:val="44"/>
          <w:highlight w:val="none"/>
        </w:rPr>
      </w:pPr>
    </w:p>
    <w:p w14:paraId="2B58E33D">
      <w:pPr>
        <w:spacing w:line="600" w:lineRule="exact"/>
        <w:jc w:val="center"/>
        <w:outlineLvl w:val="0"/>
        <w:rPr>
          <w:rFonts w:hint="eastAsia" w:ascii="黑体" w:hAnsi="黑体" w:eastAsia="黑体"/>
          <w:color w:val="auto"/>
          <w:sz w:val="44"/>
          <w:szCs w:val="44"/>
          <w:highlight w:val="none"/>
        </w:rPr>
      </w:pPr>
    </w:p>
    <w:p w14:paraId="4E9DD7B9">
      <w:pPr>
        <w:spacing w:line="600" w:lineRule="exact"/>
        <w:jc w:val="center"/>
        <w:outlineLvl w:val="0"/>
        <w:rPr>
          <w:rFonts w:hint="eastAsia" w:ascii="黑体" w:hAnsi="黑体" w:eastAsia="黑体"/>
          <w:color w:val="auto"/>
          <w:sz w:val="44"/>
          <w:szCs w:val="44"/>
          <w:highlight w:val="none"/>
        </w:rPr>
      </w:pPr>
    </w:p>
    <w:p w14:paraId="7A6FA1EA">
      <w:pPr>
        <w:spacing w:line="600" w:lineRule="exact"/>
        <w:jc w:val="center"/>
        <w:outlineLvl w:val="0"/>
        <w:rPr>
          <w:rFonts w:hint="eastAsia" w:ascii="黑体" w:hAnsi="黑体" w:eastAsia="黑体"/>
          <w:color w:val="auto"/>
          <w:sz w:val="44"/>
          <w:szCs w:val="44"/>
          <w:highlight w:val="none"/>
        </w:rPr>
      </w:pPr>
    </w:p>
    <w:p w14:paraId="55741E03">
      <w:pPr>
        <w:spacing w:line="600" w:lineRule="exact"/>
        <w:jc w:val="both"/>
        <w:outlineLvl w:val="0"/>
        <w:rPr>
          <w:rFonts w:hint="eastAsia" w:ascii="黑体" w:hAnsi="黑体" w:eastAsia="黑体"/>
          <w:color w:val="auto"/>
          <w:sz w:val="44"/>
          <w:szCs w:val="44"/>
          <w:highlight w:val="none"/>
        </w:rPr>
      </w:pPr>
    </w:p>
    <w:p w14:paraId="59C298A0">
      <w:pPr>
        <w:spacing w:line="600" w:lineRule="exact"/>
        <w:jc w:val="both"/>
        <w:outlineLvl w:val="0"/>
        <w:rPr>
          <w:rFonts w:hint="eastAsia" w:ascii="黑体" w:hAnsi="黑体" w:eastAsia="黑体"/>
          <w:color w:val="auto"/>
          <w:sz w:val="44"/>
          <w:szCs w:val="44"/>
          <w:highlight w:val="none"/>
        </w:rPr>
      </w:pPr>
    </w:p>
    <w:p w14:paraId="3616BC2D">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58"/>
      <w:bookmarkEnd w:id="64"/>
      <w:bookmarkStart w:id="65" w:name="_Toc15396619"/>
    </w:p>
    <w:p w14:paraId="7BB73CA8">
      <w:pPr>
        <w:pStyle w:val="4"/>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65"/>
    </w:p>
    <w:p w14:paraId="35F834A0">
      <w:pPr>
        <w:pStyle w:val="4"/>
        <w:rPr>
          <w:rFonts w:ascii="仿宋" w:hAnsi="仿宋" w:eastAsia="仿宋"/>
          <w:color w:val="auto"/>
          <w:highlight w:val="none"/>
        </w:rPr>
      </w:pPr>
      <w:bookmarkStart w:id="66"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66"/>
    </w:p>
    <w:p w14:paraId="54BB42D8">
      <w:pPr>
        <w:pStyle w:val="4"/>
        <w:rPr>
          <w:rFonts w:ascii="仿宋" w:hAnsi="仿宋" w:eastAsia="仿宋"/>
          <w:color w:val="auto"/>
          <w:highlight w:val="none"/>
        </w:rPr>
      </w:pPr>
      <w:bookmarkStart w:id="67"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67"/>
    </w:p>
    <w:p w14:paraId="1CF997C9">
      <w:pPr>
        <w:pStyle w:val="4"/>
        <w:rPr>
          <w:rFonts w:ascii="仿宋" w:hAnsi="仿宋" w:eastAsia="仿宋"/>
          <w:b w:val="0"/>
          <w:color w:val="auto"/>
          <w:highlight w:val="none"/>
        </w:rPr>
      </w:pPr>
      <w:bookmarkStart w:id="68"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68"/>
    </w:p>
    <w:p w14:paraId="17CC541B">
      <w:pPr>
        <w:pStyle w:val="4"/>
        <w:rPr>
          <w:rStyle w:val="26"/>
          <w:rFonts w:ascii="仿宋" w:hAnsi="仿宋" w:eastAsia="仿宋"/>
          <w:b w:val="0"/>
          <w:bCs w:val="0"/>
          <w:color w:val="auto"/>
          <w:highlight w:val="none"/>
        </w:rPr>
      </w:pPr>
      <w:bookmarkStart w:id="69"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69"/>
      <w:bookmarkStart w:id="70" w:name="_Toc15396624"/>
    </w:p>
    <w:p w14:paraId="2C5881B5">
      <w:pPr>
        <w:pStyle w:val="4"/>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70"/>
    </w:p>
    <w:p w14:paraId="26F0B4D0">
      <w:pPr>
        <w:pStyle w:val="4"/>
        <w:rPr>
          <w:rFonts w:ascii="仿宋" w:hAnsi="仿宋" w:eastAsia="仿宋"/>
          <w:color w:val="auto"/>
          <w:highlight w:val="none"/>
        </w:rPr>
      </w:pPr>
      <w:bookmarkStart w:id="71"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71"/>
    </w:p>
    <w:p w14:paraId="09764F91">
      <w:pPr>
        <w:pStyle w:val="4"/>
        <w:rPr>
          <w:rFonts w:ascii="仿宋" w:hAnsi="仿宋" w:eastAsia="仿宋"/>
          <w:color w:val="auto"/>
          <w:highlight w:val="none"/>
        </w:rPr>
      </w:pPr>
      <w:bookmarkStart w:id="72"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72"/>
    </w:p>
    <w:p w14:paraId="71FEB303">
      <w:pPr>
        <w:pStyle w:val="4"/>
        <w:rPr>
          <w:rFonts w:ascii="仿宋" w:hAnsi="仿宋" w:eastAsia="仿宋"/>
          <w:color w:val="auto"/>
          <w:highlight w:val="none"/>
        </w:rPr>
      </w:pPr>
      <w:bookmarkStart w:id="73"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73"/>
    </w:p>
    <w:p w14:paraId="1E3C6542">
      <w:pPr>
        <w:pStyle w:val="4"/>
        <w:rPr>
          <w:rFonts w:ascii="仿宋" w:hAnsi="仿宋" w:eastAsia="仿宋"/>
          <w:color w:val="auto"/>
          <w:highlight w:val="none"/>
        </w:rPr>
      </w:pPr>
      <w:bookmarkStart w:id="74" w:name="_Toc15396628"/>
      <w:r>
        <w:rPr>
          <w:rStyle w:val="26"/>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般公共预算财政拨款“三公”经费支出决算表</w:t>
      </w:r>
      <w:bookmarkEnd w:id="74"/>
    </w:p>
    <w:p w14:paraId="06BCBFC2">
      <w:pPr>
        <w:pStyle w:val="4"/>
        <w:rPr>
          <w:rFonts w:ascii="仿宋" w:hAnsi="仿宋" w:eastAsia="仿宋"/>
          <w:color w:val="auto"/>
          <w:highlight w:val="none"/>
        </w:rPr>
      </w:pPr>
      <w:bookmarkStart w:id="75" w:name="_Toc15396629"/>
      <w:r>
        <w:rPr>
          <w:rStyle w:val="26"/>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bookmarkEnd w:id="75"/>
    </w:p>
    <w:p w14:paraId="63B56AA9">
      <w:pPr>
        <w:pStyle w:val="4"/>
        <w:rPr>
          <w:rFonts w:ascii="仿宋" w:hAnsi="仿宋" w:eastAsia="仿宋"/>
          <w:color w:val="auto"/>
          <w:highlight w:val="none"/>
        </w:rPr>
      </w:pPr>
      <w:bookmarkStart w:id="76" w:name="_Toc15396630"/>
      <w:r>
        <w:rPr>
          <w:rStyle w:val="26"/>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府性基金预算财政拨款“三公”经费支出决算表</w:t>
      </w:r>
      <w:bookmarkEnd w:id="76"/>
    </w:p>
    <w:p w14:paraId="039201FF">
      <w:pPr>
        <w:pStyle w:val="4"/>
        <w:rPr>
          <w:rStyle w:val="26"/>
          <w:rFonts w:hint="eastAsia" w:ascii="仿宋" w:hAnsi="仿宋" w:eastAsia="仿宋"/>
          <w:b w:val="0"/>
          <w:bCs w:val="0"/>
          <w:color w:val="auto"/>
          <w:highlight w:val="none"/>
        </w:rPr>
      </w:pPr>
      <w:bookmarkStart w:id="77" w:name="_Toc15396631"/>
      <w:r>
        <w:rPr>
          <w:rStyle w:val="26"/>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bookmarkEnd w:id="77"/>
    </w:p>
    <w:p w14:paraId="06DDE59D">
      <w:pPr>
        <w:rPr>
          <w:rFonts w:hint="eastAsia" w:eastAsia="仿宋"/>
          <w:color w:val="auto"/>
          <w:highlight w:val="none"/>
          <w:lang w:eastAsia="zh-CN"/>
        </w:rPr>
      </w:pPr>
      <w:r>
        <w:rPr>
          <w:rStyle w:val="26"/>
          <w:rFonts w:hint="eastAsia" w:ascii="仿宋" w:hAnsi="仿宋" w:eastAsia="仿宋"/>
          <w:b w:val="0"/>
          <w:bCs w:val="0"/>
          <w:color w:val="auto"/>
          <w:highlight w:val="none"/>
          <w:lang w:eastAsia="zh-CN"/>
        </w:rPr>
        <w:t>十四、国有资本经营预算财政拨款支出决算表</w:t>
      </w:r>
    </w:p>
    <w:sectPr>
      <w:headerReference r:id="rId4" w:type="defaul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0A442">
    <w:pPr>
      <w:pStyle w:val="8"/>
      <w:jc w:val="center"/>
      <w:rPr>
        <w:rFonts w:ascii="Arial" w:hAnsi="Arial" w:cs="Arial"/>
        <w:sz w:val="24"/>
        <w:szCs w:val="24"/>
      </w:rPr>
    </w:pPr>
  </w:p>
  <w:p w14:paraId="302FE8F8">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30F9568C">
        <w:pPr>
          <w:pStyle w:val="8"/>
          <w:jc w:val="center"/>
        </w:pPr>
        <w:r>
          <w:fldChar w:fldCharType="begin"/>
        </w:r>
        <w:r>
          <w:instrText xml:space="preserve">PAGE   \* MERGEFORMAT</w:instrText>
        </w:r>
        <w:r>
          <w:fldChar w:fldCharType="separate"/>
        </w:r>
        <w:r>
          <w:rPr>
            <w:lang w:val="zh-CN"/>
          </w:rPr>
          <w:t>8</w:t>
        </w:r>
        <w:r>
          <w:fldChar w:fldCharType="end"/>
        </w:r>
      </w:p>
    </w:sdtContent>
  </w:sdt>
  <w:p w14:paraId="5A5016FC">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0ABF5">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1EAFA"/>
    <w:multiLevelType w:val="singleLevel"/>
    <w:tmpl w:val="B171EAFA"/>
    <w:lvl w:ilvl="0" w:tentative="0">
      <w:start w:val="1"/>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2CB2A14"/>
    <w:multiLevelType w:val="singleLevel"/>
    <w:tmpl w:val="32CB2A14"/>
    <w:lvl w:ilvl="0" w:tentative="0">
      <w:start w:val="7"/>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YmQ3MWE3NmQ0NzEzN2ZkZjIwMGM5ZWE1NjFhY2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76388C"/>
    <w:rsid w:val="043062DF"/>
    <w:rsid w:val="066E0107"/>
    <w:rsid w:val="06D761F2"/>
    <w:rsid w:val="07996F6E"/>
    <w:rsid w:val="0A2032A3"/>
    <w:rsid w:val="101860EC"/>
    <w:rsid w:val="10C055FF"/>
    <w:rsid w:val="118107EC"/>
    <w:rsid w:val="13D50BC4"/>
    <w:rsid w:val="16BB723D"/>
    <w:rsid w:val="1BE8440E"/>
    <w:rsid w:val="1CE5381D"/>
    <w:rsid w:val="1D155CEE"/>
    <w:rsid w:val="1E0D5EE0"/>
    <w:rsid w:val="20DA787E"/>
    <w:rsid w:val="23860B96"/>
    <w:rsid w:val="240371BF"/>
    <w:rsid w:val="263E32C7"/>
    <w:rsid w:val="2828461C"/>
    <w:rsid w:val="29FD04D3"/>
    <w:rsid w:val="2BDFF701"/>
    <w:rsid w:val="2C8A61B5"/>
    <w:rsid w:val="2DF04E50"/>
    <w:rsid w:val="2F6E5C96"/>
    <w:rsid w:val="319F7F4E"/>
    <w:rsid w:val="3444521B"/>
    <w:rsid w:val="36AA5135"/>
    <w:rsid w:val="37E16F03"/>
    <w:rsid w:val="38ED5EE2"/>
    <w:rsid w:val="39CD23A1"/>
    <w:rsid w:val="3D98207C"/>
    <w:rsid w:val="431C3499"/>
    <w:rsid w:val="44E268DA"/>
    <w:rsid w:val="4A627F82"/>
    <w:rsid w:val="4B4F25DA"/>
    <w:rsid w:val="4BE068DB"/>
    <w:rsid w:val="4D577224"/>
    <w:rsid w:val="4EAB630A"/>
    <w:rsid w:val="4ECE2238"/>
    <w:rsid w:val="526A1D61"/>
    <w:rsid w:val="52930B3E"/>
    <w:rsid w:val="573A6660"/>
    <w:rsid w:val="57DF3590"/>
    <w:rsid w:val="5AF92295"/>
    <w:rsid w:val="5CBC7ECE"/>
    <w:rsid w:val="5CD71FC4"/>
    <w:rsid w:val="64A106E5"/>
    <w:rsid w:val="68562368"/>
    <w:rsid w:val="6A162E07"/>
    <w:rsid w:val="6C4A05C8"/>
    <w:rsid w:val="6E7E3605"/>
    <w:rsid w:val="6FF5CC65"/>
    <w:rsid w:val="715C0E4B"/>
    <w:rsid w:val="72734D90"/>
    <w:rsid w:val="73AD73D5"/>
    <w:rsid w:val="73B6EB34"/>
    <w:rsid w:val="79EE5BA4"/>
    <w:rsid w:val="7A894339"/>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next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99"/>
    <w:pPr>
      <w:jc w:val="left"/>
    </w:pPr>
    <w:rPr>
      <w:kern w:val="0"/>
      <w:sz w:val="24"/>
      <w:szCs w:val="20"/>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5.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2020年度</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总收入</c:v>
                </c:pt>
                <c:pt idx="1">
                  <c:v>总支出</c:v>
                </c:pt>
              </c:strCache>
            </c:strRef>
          </c:cat>
          <c:val>
            <c:numRef>
              <c:f>Sheet1!$B$2:$B$3</c:f>
              <c:numCache>
                <c:formatCode>General</c:formatCode>
                <c:ptCount val="2"/>
                <c:pt idx="0">
                  <c:v>394.53</c:v>
                </c:pt>
                <c:pt idx="1">
                  <c:v>394.53</c:v>
                </c:pt>
              </c:numCache>
            </c:numRef>
          </c:val>
        </c:ser>
        <c:ser>
          <c:idx val="1"/>
          <c:order val="1"/>
          <c:tx>
            <c:strRef>
              <c:f>Sheet1!$C$1</c:f>
              <c:strCache>
                <c:ptCount val="1"/>
                <c:pt idx="0">
                  <c:v>2021年度</c:v>
                </c:pt>
              </c:strCache>
            </c:strRef>
          </c:tx>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总收入</c:v>
                </c:pt>
                <c:pt idx="1">
                  <c:v>总支出</c:v>
                </c:pt>
              </c:strCache>
            </c:strRef>
          </c:cat>
          <c:val>
            <c:numRef>
              <c:f>Sheet1!$C$2:$C$3</c:f>
              <c:numCache>
                <c:formatCode>General</c:formatCode>
                <c:ptCount val="2"/>
                <c:pt idx="0">
                  <c:v>309.74</c:v>
                </c:pt>
                <c:pt idx="1">
                  <c:v>309.74</c:v>
                </c:pt>
              </c:numCache>
            </c:numRef>
          </c:val>
        </c:ser>
        <c:dLbls>
          <c:showLegendKey val="0"/>
          <c:showVal val="0"/>
          <c:showCatName val="0"/>
          <c:showSerName val="0"/>
          <c:showPercent val="0"/>
          <c:showBubbleSize val="0"/>
        </c:dLbls>
        <c:gapWidth val="150"/>
        <c:axId val="106679680"/>
        <c:axId val="112338048"/>
      </c:barChart>
      <c:catAx>
        <c:axId val="10667968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338048"/>
        <c:crosses val="autoZero"/>
        <c:auto val="1"/>
        <c:lblAlgn val="ctr"/>
        <c:lblOffset val="100"/>
        <c:noMultiLvlLbl val="0"/>
      </c:catAx>
      <c:valAx>
        <c:axId val="1123380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67968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5f54566-4755-4d2e-a933-4d8e8857ba8a}"/>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2021年本年收入</c:v>
                </c:pt>
              </c:strCache>
            </c:strRef>
          </c:tx>
          <c:explosion val="0"/>
          <c:dPt>
            <c:idx val="0"/>
            <c:bubble3D val="0"/>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c:f>
              <c:strCache>
                <c:ptCount val="1"/>
                <c:pt idx="0">
                  <c:v>一般公共预算财政拨款收入</c:v>
                </c:pt>
              </c:strCache>
            </c:strRef>
          </c:cat>
          <c:val>
            <c:numRef>
              <c:f>Sheet1!$B$2</c:f>
              <c:numCache>
                <c:formatCode>0%</c:formatCode>
                <c:ptCount val="1"/>
                <c:pt idx="0">
                  <c:v>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4d004a88-3167-489a-8f9d-13e948481e93}"/>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2021年本年支出</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0.00%</c:formatCode>
                <c:ptCount val="2"/>
                <c:pt idx="0">
                  <c:v>0.6352</c:v>
                </c:pt>
                <c:pt idx="1">
                  <c:v>0.3648</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f5f3dd17-c4ed-43ca-b6c0-6cfbb7af30e0}"/>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2020年度</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总收入</c:v>
                </c:pt>
                <c:pt idx="1">
                  <c:v>总支出</c:v>
                </c:pt>
              </c:strCache>
            </c:strRef>
          </c:cat>
          <c:val>
            <c:numRef>
              <c:f>Sheet1!$B$2:$B$3</c:f>
              <c:numCache>
                <c:formatCode>General</c:formatCode>
                <c:ptCount val="2"/>
                <c:pt idx="0">
                  <c:v>394.53</c:v>
                </c:pt>
                <c:pt idx="1">
                  <c:v>394.53</c:v>
                </c:pt>
              </c:numCache>
            </c:numRef>
          </c:val>
        </c:ser>
        <c:ser>
          <c:idx val="1"/>
          <c:order val="1"/>
          <c:tx>
            <c:strRef>
              <c:f>Sheet1!$C$1</c:f>
              <c:strCache>
                <c:ptCount val="1"/>
                <c:pt idx="0">
                  <c:v>2021年度</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总收入</c:v>
                </c:pt>
                <c:pt idx="1">
                  <c:v>总支出</c:v>
                </c:pt>
              </c:strCache>
            </c:strRef>
          </c:cat>
          <c:val>
            <c:numRef>
              <c:f>Sheet1!$C$2:$C$3</c:f>
              <c:numCache>
                <c:formatCode>General</c:formatCode>
                <c:ptCount val="2"/>
                <c:pt idx="0">
                  <c:v>309.74</c:v>
                </c:pt>
                <c:pt idx="1">
                  <c:v>309.74</c:v>
                </c:pt>
              </c:numCache>
            </c:numRef>
          </c:val>
        </c:ser>
        <c:dLbls>
          <c:showLegendKey val="0"/>
          <c:showVal val="1"/>
          <c:showCatName val="0"/>
          <c:showSerName val="0"/>
          <c:showPercent val="0"/>
          <c:showBubbleSize val="0"/>
        </c:dLbls>
        <c:gapWidth val="150"/>
        <c:axId val="112884736"/>
        <c:axId val="112890624"/>
      </c:barChart>
      <c:catAx>
        <c:axId val="11288473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890624"/>
        <c:crosses val="autoZero"/>
        <c:auto val="1"/>
        <c:lblAlgn val="ctr"/>
        <c:lblOffset val="100"/>
        <c:noMultiLvlLbl val="0"/>
      </c:catAx>
      <c:valAx>
        <c:axId val="1128906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88473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ebf3e616-effd-4410-83b8-27ea0ac2ab33}"/>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2020年度</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一般公共预算财政拨款支出决算变动情况</c:v>
                </c:pt>
              </c:strCache>
            </c:strRef>
          </c:cat>
          <c:val>
            <c:numRef>
              <c:f>Sheet1!$B$2</c:f>
              <c:numCache>
                <c:formatCode>General</c:formatCode>
                <c:ptCount val="1"/>
                <c:pt idx="0">
                  <c:v>248.32</c:v>
                </c:pt>
              </c:numCache>
            </c:numRef>
          </c:val>
        </c:ser>
        <c:ser>
          <c:idx val="1"/>
          <c:order val="1"/>
          <c:tx>
            <c:strRef>
              <c:f>Sheet1!$C$1</c:f>
              <c:strCache>
                <c:ptCount val="1"/>
                <c:pt idx="0">
                  <c:v>2021年度</c:v>
                </c:pt>
              </c:strCache>
            </c:strRef>
          </c:tx>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一般公共预算财政拨款支出决算变动情况</c:v>
                </c:pt>
              </c:strCache>
            </c:strRef>
          </c:cat>
          <c:val>
            <c:numRef>
              <c:f>Sheet1!$C$2</c:f>
              <c:numCache>
                <c:formatCode>General</c:formatCode>
                <c:ptCount val="1"/>
                <c:pt idx="0">
                  <c:v>243.86</c:v>
                </c:pt>
              </c:numCache>
            </c:numRef>
          </c:val>
        </c:ser>
        <c:dLbls>
          <c:showLegendKey val="0"/>
          <c:showVal val="0"/>
          <c:showCatName val="0"/>
          <c:showSerName val="0"/>
          <c:showPercent val="0"/>
          <c:showBubbleSize val="0"/>
        </c:dLbls>
        <c:gapWidth val="150"/>
        <c:axId val="112870912"/>
        <c:axId val="112872448"/>
      </c:barChart>
      <c:catAx>
        <c:axId val="11287091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872448"/>
        <c:crosses val="autoZero"/>
        <c:auto val="1"/>
        <c:lblAlgn val="ctr"/>
        <c:lblOffset val="100"/>
        <c:noMultiLvlLbl val="0"/>
      </c:catAx>
      <c:valAx>
        <c:axId val="1128724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87091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c90dbb1c-f42e-45cf-b2fa-b09f109ad534}"/>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explosion val="0"/>
          <c:dPt>
            <c:idx val="0"/>
            <c:bubble3D val="0"/>
          </c:dPt>
          <c:dPt>
            <c:idx val="1"/>
            <c:bubble3D val="0"/>
          </c:dPt>
          <c:dPt>
            <c:idx val="2"/>
            <c:bubble3D val="0"/>
          </c:dPt>
          <c:dPt>
            <c:idx val="3"/>
            <c:bubble3D val="0"/>
          </c:dPt>
          <c:dPt>
            <c:idx val="4"/>
            <c:bubble3D val="0"/>
          </c:dPt>
          <c:dLbls>
            <c:dLbl>
              <c:idx val="0"/>
              <c:delete val="1"/>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dLblPos val="bestFit"/>
              <c:showLegendKey val="0"/>
              <c:showVal val="1"/>
              <c:showCatName val="0"/>
              <c:showSerName val="0"/>
              <c:showPercent val="0"/>
              <c:showBubbleSize val="0"/>
              <c:extLst>
                <c:ext xmlns:c15="http://schemas.microsoft.com/office/drawing/2012/chart" uri="{CE6537A1-D6FC-4f65-9D91-7224C49458BB}"/>
              </c:extLst>
            </c:dLbl>
            <c:dLbl>
              <c:idx val="4"/>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1">
                  <c:v>一般公共服务支出</c:v>
                </c:pt>
                <c:pt idx="2">
                  <c:v>社会保障和就业支出</c:v>
                </c:pt>
                <c:pt idx="3">
                  <c:v>卫生健康支出</c:v>
                </c:pt>
                <c:pt idx="4">
                  <c:v>其他支出</c:v>
                </c:pt>
              </c:strCache>
            </c:strRef>
          </c:cat>
          <c:val>
            <c:numRef>
              <c:f>Sheet1!$B$2:$B$6</c:f>
              <c:numCache>
                <c:formatCode>General</c:formatCode>
                <c:ptCount val="5"/>
                <c:pt idx="1" c:formatCode="0.00%">
                  <c:v>0.8823</c:v>
                </c:pt>
                <c:pt idx="2" c:formatCode="0.00%">
                  <c:v>0.0516</c:v>
                </c:pt>
                <c:pt idx="3" c:formatCode="0.00%">
                  <c:v>0.021</c:v>
                </c:pt>
                <c:pt idx="4" c:formatCode="0.00%">
                  <c:v>0.0451</c:v>
                </c:pt>
              </c:numCache>
            </c:numRef>
          </c:val>
        </c:ser>
        <c:ser>
          <c:idx val="1"/>
          <c:order val="1"/>
          <c:tx>
            <c:strRef>
              <c:f>Sheet1!$C$1</c:f>
              <c:strCache>
                <c:ptCount val="1"/>
                <c:pt idx="0">
                  <c:v>列1</c:v>
                </c:pt>
              </c:strCache>
            </c:strRef>
          </c:tx>
          <c:explosion val="0"/>
          <c:dPt>
            <c:idx val="0"/>
            <c:bubble3D val="0"/>
          </c:dPt>
          <c:dPt>
            <c:idx val="1"/>
            <c:bubble3D val="0"/>
          </c:dPt>
          <c:dPt>
            <c:idx val="2"/>
            <c:bubble3D val="0"/>
          </c:dPt>
          <c:dPt>
            <c:idx val="3"/>
            <c:bubble3D val="0"/>
          </c:dPt>
          <c:dPt>
            <c:idx val="4"/>
            <c:bubble3D val="0"/>
          </c:dPt>
          <c:dLbls>
            <c:delete val="1"/>
          </c:dLbls>
          <c:cat>
            <c:strRef>
              <c:f>Sheet1!$A$2:$A$6</c:f>
              <c:strCache>
                <c:ptCount val="5"/>
                <c:pt idx="1">
                  <c:v>一般公共服务支出</c:v>
                </c:pt>
                <c:pt idx="2">
                  <c:v>社会保障和就业支出</c:v>
                </c:pt>
                <c:pt idx="3">
                  <c:v>卫生健康支出</c:v>
                </c:pt>
                <c:pt idx="4">
                  <c:v>其他支出</c:v>
                </c:pt>
              </c:strCache>
            </c:strRef>
          </c:cat>
          <c:val>
            <c:numRef>
              <c:f>Sheet1!$C$2:$C$6</c:f>
              <c:numCache>
                <c:formatCode>General</c:formatCode>
                <c:ptCount val="5"/>
                <c:pt idx="0">
                  <c:v>0</c:v>
                </c:pt>
                <c:pt idx="1">
                  <c:v>215.16</c:v>
                </c:pt>
                <c:pt idx="2">
                  <c:v>12.59</c:v>
                </c:pt>
                <c:pt idx="3">
                  <c:v>5.11</c:v>
                </c:pt>
                <c:pt idx="4">
                  <c:v>11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48923359580053"/>
          <c:y val="0.17569224136838"/>
          <c:w val="0.237743307086615"/>
          <c:h val="0.76971001813179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d16560d0-417b-487e-8f16-3508ec6ba998}"/>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0444755534360223"/>
          <c:y val="0"/>
        </c:manualLayout>
      </c:layout>
      <c:overlay val="0"/>
      <c:txPr>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explosion val="0"/>
          <c:dPt>
            <c:idx val="0"/>
            <c:bubble3D val="0"/>
          </c:dPt>
          <c:dPt>
            <c:idx val="1"/>
            <c:bubble3D val="0"/>
            <c:explosion val="28"/>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0.00%</c:formatCode>
                <c:ptCount val="3"/>
                <c:pt idx="0">
                  <c:v>0</c:v>
                </c:pt>
                <c:pt idx="1">
                  <c:v>0.9973</c:v>
                </c:pt>
                <c:pt idx="2">
                  <c:v>0</c:v>
                </c:pt>
              </c:numCache>
            </c:numRef>
          </c:val>
        </c:ser>
        <c:dLbls>
          <c:showLegendKey val="0"/>
          <c:showVal val="1"/>
          <c:showCatName val="0"/>
          <c:showSerName val="0"/>
          <c:showPercent val="0"/>
          <c:showBubbleSize val="0"/>
          <c:showLeaderLines val="1"/>
        </c:dLbls>
        <c:firstSliceAng val="0"/>
      </c:pieChart>
    </c:plotArea>
    <c:legend>
      <c:legendPos val="r"/>
      <c:layout>
        <c:manualLayout>
          <c:xMode val="edge"/>
          <c:yMode val="edge"/>
          <c:x val="0.677665565104564"/>
          <c:y val="0.194644836091946"/>
          <c:w val="0.322334434895446"/>
          <c:h val="0.68940446541704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9d79b3b5-1ea0-40a6-816d-fa09c3ace9f7}"/>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40</Pages>
  <Words>13732</Words>
  <Characters>14533</Characters>
  <Lines>61</Lines>
  <Paragraphs>17</Paragraphs>
  <TotalTime>0</TotalTime>
  <ScaleCrop>false</ScaleCrop>
  <LinksUpToDate>false</LinksUpToDate>
  <CharactersWithSpaces>16130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2020-08-05T17:49:00Z</dcterms:created>
  <dc:creator>曹颖</dc:creator>
  <cp:lastModifiedBy>XLX-100</cp:lastModifiedBy>
  <cp:lastPrinted>2022-08-09T01:11:00Z</cp:lastPrinted>
  <dcterms:modified xsi:type="dcterms:W3CDTF">2024-12-23T11:43:53Z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F3367AD4BEA34F819FA0ABABE4C72179_13</vt:lpwstr>
  </property>
</Properties>
</file>