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425"/>
      <w:bookmarkStart w:id="3" w:name="_Toc15396597"/>
      <w:bookmarkStart w:id="4" w:name="_Toc15377193"/>
      <w:bookmarkStart w:id="5" w:name="_Toc15378441"/>
      <w:r>
        <w:rPr>
          <w:rFonts w:ascii="黑体" w:hAnsi="黑体" w:eastAsia="黑体"/>
          <w:color w:val="000000"/>
          <w:sz w:val="72"/>
          <w:szCs w:val="72"/>
        </w:rPr>
        <w:t>20</w:t>
      </w:r>
      <w:r>
        <w:rPr>
          <w:rFonts w:hint="eastAsia" w:ascii="黑体" w:hAnsi="黑体" w:eastAsia="黑体"/>
          <w:color w:val="000000"/>
          <w:sz w:val="72"/>
          <w:szCs w:val="72"/>
        </w:rPr>
        <w:t>2</w:t>
      </w:r>
      <w:r>
        <w:rPr>
          <w:rFonts w:hint="eastAsia" w:ascii="黑体" w:hAnsi="黑体" w:eastAsia="黑体"/>
          <w:color w:val="000000"/>
          <w:sz w:val="72"/>
          <w:szCs w:val="72"/>
          <w:lang w:val="en-US" w:eastAsia="zh-CN"/>
        </w:rPr>
        <w:t>1</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96598"/>
      <w:bookmarkStart w:id="8" w:name="_Toc15377426"/>
      <w:bookmarkStart w:id="9" w:name="_Toc15306268"/>
      <w:bookmarkStart w:id="10" w:name="_Toc15377194"/>
      <w:bookmarkStart w:id="11" w:name="_Toc15378442"/>
      <w:r>
        <w:rPr>
          <w:rFonts w:hint="eastAsia" w:ascii="方正小标宋简体" w:hAnsi="宋体" w:eastAsia="方正小标宋简体"/>
          <w:color w:val="000000"/>
          <w:sz w:val="72"/>
          <w:szCs w:val="72"/>
          <w:lang w:val="en-US" w:eastAsia="zh-CN"/>
        </w:rPr>
        <w:t>中共广安市委巡察工作领导小组办公室</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bookmarkStart w:id="12" w:name="_Toc27213"/>
      <w:r>
        <w:rPr>
          <w:rFonts w:hint="eastAsia" w:ascii="黑体" w:hAnsi="黑体" w:eastAsia="黑体"/>
          <w:color w:val="000000"/>
          <w:sz w:val="48"/>
          <w:szCs w:val="48"/>
        </w:rPr>
        <w:t>目录</w:t>
      </w:r>
      <w:bookmarkEnd w:id="12"/>
    </w:p>
    <w:p>
      <w:pPr>
        <w:widowControl/>
        <w:jc w:val="center"/>
        <w:rPr>
          <w:rFonts w:ascii="黑体" w:hAnsi="黑体" w:eastAsia="黑体" w:cstheme="minorBidi"/>
          <w:sz w:val="28"/>
          <w:szCs w:val="28"/>
        </w:rPr>
      </w:pPr>
    </w:p>
    <w:p>
      <w:pPr>
        <w:pStyle w:val="10"/>
        <w:rPr>
          <w:rFonts w:hint="eastAsia"/>
          <w:highlight w:val="none"/>
        </w:rPr>
      </w:pPr>
      <w:bookmarkStart w:id="13" w:name="_Toc21831"/>
      <w:r>
        <w:rPr>
          <w:rFonts w:hint="eastAsia"/>
          <w:highlight w:val="none"/>
        </w:rPr>
        <w:t>公开时间：202</w:t>
      </w:r>
      <w:r>
        <w:rPr>
          <w:rFonts w:hint="eastAsia"/>
          <w:highlight w:val="none"/>
          <w:lang w:val="en-US" w:eastAsia="zh-CN"/>
        </w:rPr>
        <w:t>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29</w:t>
      </w:r>
      <w:r>
        <w:rPr>
          <w:rFonts w:hint="eastAsia"/>
          <w:highlight w:val="none"/>
        </w:rPr>
        <w:t>日</w:t>
      </w:r>
      <w:bookmarkEnd w:id="13"/>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w:t>
      </w:r>
      <w:r>
        <w:rPr>
          <w:rFonts w:hint="eastAsia"/>
          <w:sz w:val="24"/>
          <w:lang w:val="en-US" w:eastAsia="zh-CN"/>
        </w:rPr>
        <w:t xml:space="preserve"> </w:t>
      </w:r>
      <w:r>
        <w:rPr>
          <w:rFonts w:hint="eastAsia"/>
          <w:sz w:val="24"/>
        </w:rPr>
        <w:t>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hint="eastAsia"/>
          <w:sz w:val="24"/>
        </w:rPr>
      </w:pPr>
      <w:r>
        <w:rPr>
          <w:rFonts w:hint="eastAsia"/>
          <w:sz w:val="24"/>
        </w:rPr>
        <w:t>六、一般公共预算财政拨款基本支出决算情况说明</w:t>
      </w:r>
    </w:p>
    <w:p>
      <w:pPr>
        <w:pStyle w:val="11"/>
        <w:adjustRightInd w:val="0"/>
        <w:snapToGrid w:val="0"/>
        <w:spacing w:line="440" w:lineRule="exact"/>
        <w:jc w:val="left"/>
        <w:rPr>
          <w:rFonts w:hint="eastAsia"/>
        </w:rPr>
      </w:pPr>
      <w:r>
        <w:rPr>
          <w:rFonts w:hint="eastAsia"/>
          <w:sz w:val="24"/>
          <w:lang w:eastAsia="zh-CN"/>
        </w:rPr>
        <w:t>七</w:t>
      </w:r>
      <w:r>
        <w:rPr>
          <w:rFonts w:hint="eastAsia"/>
          <w:sz w:val="24"/>
        </w:rPr>
        <w:t>、一般公共预算财政拨款</w:t>
      </w:r>
      <w:r>
        <w:rPr>
          <w:rFonts w:hint="eastAsia"/>
          <w:sz w:val="24"/>
          <w:lang w:eastAsia="zh-CN"/>
        </w:rPr>
        <w:t>项目</w:t>
      </w:r>
      <w:r>
        <w:rPr>
          <w:rFonts w:hint="eastAsia"/>
          <w:sz w:val="24"/>
        </w:rPr>
        <w:t>支出决算情况说明</w:t>
      </w:r>
    </w:p>
    <w:p>
      <w:pPr>
        <w:pStyle w:val="11"/>
        <w:adjustRightInd w:val="0"/>
        <w:snapToGrid w:val="0"/>
        <w:spacing w:line="440" w:lineRule="exact"/>
        <w:jc w:val="left"/>
        <w:rPr>
          <w:rFonts w:ascii="仿宋" w:hAnsi="仿宋" w:eastAsia="仿宋" w:cstheme="minorBidi"/>
          <w:sz w:val="24"/>
        </w:rPr>
      </w:pPr>
      <w:r>
        <w:rPr>
          <w:rFonts w:hint="eastAsia"/>
          <w:sz w:val="24"/>
          <w:lang w:eastAsia="zh-CN"/>
        </w:rPr>
        <w:t>八</w:t>
      </w:r>
      <w:r>
        <w:rPr>
          <w:rFonts w:hint="eastAsia"/>
          <w:sz w:val="24"/>
        </w:rPr>
        <w:t>、</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lang w:eastAsia="zh-CN"/>
        </w:rPr>
        <w:t>九</w:t>
      </w:r>
      <w:r>
        <w:rPr>
          <w:rFonts w:hint="eastAsia"/>
          <w:sz w:val="24"/>
        </w:rPr>
        <w:t>、政府性基金预算支出决算情况说明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lang w:eastAsia="zh-CN"/>
        </w:rPr>
        <w:t>十</w:t>
      </w:r>
      <w:r>
        <w:rPr>
          <w:rFonts w:hint="eastAsia" w:ascii="仿宋" w:hAnsi="仿宋" w:eastAsia="仿宋"/>
          <w:sz w:val="24"/>
        </w:rPr>
        <w:t>、</w:t>
      </w:r>
      <w:r>
        <w:rPr>
          <w:sz w:val="24"/>
        </w:rPr>
        <w:t xml:space="preserve"> 国</w:t>
      </w:r>
      <w:r>
        <w:rPr>
          <w:rFonts w:hint="eastAsia"/>
          <w:sz w:val="24"/>
        </w:rPr>
        <w:t>有资本经营预算支出决算情况说明</w:t>
      </w:r>
    </w:p>
    <w:p>
      <w:pPr>
        <w:adjustRightInd w:val="0"/>
        <w:snapToGrid w:val="0"/>
        <w:spacing w:line="440" w:lineRule="exact"/>
        <w:ind w:left="0" w:leftChars="0" w:firstLine="420" w:firstLineChars="175"/>
        <w:jc w:val="left"/>
        <w:rPr>
          <w:rFonts w:ascii="仿宋" w:hAnsi="仿宋" w:eastAsia="仿宋" w:cstheme="minorBidi"/>
          <w:sz w:val="24"/>
        </w:rPr>
      </w:pPr>
      <w:r>
        <w:rPr>
          <w:rStyle w:val="14"/>
          <w:rFonts w:hint="eastAsia" w:ascii="仿宋" w:hAnsi="仿宋" w:eastAsia="仿宋"/>
          <w:color w:val="000000" w:themeColor="text1"/>
          <w:sz w:val="24"/>
          <w:u w:val="none"/>
          <w:lang w:eastAsia="zh-CN"/>
          <w14:textFill>
            <w14:solidFill>
              <w14:schemeClr w14:val="tx1"/>
            </w14:solidFill>
          </w14:textFill>
        </w:rPr>
        <w:t>十一</w:t>
      </w:r>
      <w:r>
        <w:rPr>
          <w:rStyle w:val="14"/>
          <w:rFonts w:hint="eastAsia" w:ascii="仿宋" w:hAnsi="仿宋" w:eastAsia="仿宋"/>
          <w:color w:val="000000" w:themeColor="text1"/>
          <w:sz w:val="24"/>
          <w:u w:val="none"/>
          <w14:textFill>
            <w14:solidFill>
              <w14:schemeClr w14:val="tx1"/>
            </w14:solidFill>
          </w14:textFill>
        </w:rPr>
        <w:t>、</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sz w:val="24"/>
        </w:rPr>
      </w:pPr>
      <w:r>
        <w:rPr>
          <w:rFonts w:hint="eastAsia"/>
          <w:sz w:val="24"/>
        </w:rPr>
        <w:t>附件</w:t>
      </w:r>
      <w:r>
        <w:rPr>
          <w:sz w:val="24"/>
        </w:rPr>
        <w:t>2</w:t>
      </w:r>
    </w:p>
    <w:p>
      <w:pPr>
        <w:pStyle w:val="11"/>
        <w:adjustRightInd w:val="0"/>
        <w:snapToGrid w:val="0"/>
        <w:spacing w:line="440" w:lineRule="exact"/>
        <w:ind w:leftChars="0"/>
        <w:jc w:val="left"/>
        <w:rPr>
          <w:rFonts w:hint="default" w:ascii="Times New Roman" w:hAnsi="Times New Roman" w:cs="Times New Roman"/>
          <w:sz w:val="24"/>
          <w:lang w:val="en-US" w:eastAsia="zh-CN"/>
        </w:rPr>
      </w:pPr>
      <w:r>
        <w:rPr>
          <w:rFonts w:hint="eastAsia" w:ascii="Times New Roman" w:hAnsi="Times New Roman" w:cs="Times New Roman"/>
          <w:sz w:val="24"/>
        </w:rPr>
        <w:t>附件</w:t>
      </w:r>
      <w:r>
        <w:rPr>
          <w:rFonts w:hint="eastAsia" w:ascii="Times New Roman" w:hAnsi="Times New Roman" w:cs="Times New Roman"/>
          <w:sz w:val="24"/>
          <w:lang w:val="en-US" w:eastAsia="zh-CN"/>
        </w:rPr>
        <w:t>3</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t>二、收入决算表</w:t>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t>三、支出决算表</w:t>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t>四、财政拨款收入支出决算总表</w:t>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t>五、财政拨款支出决算明细表</w:t>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t>六、一般公共预算财政拨款支出决算表</w:t>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t>七、一般公共预算财政拨款支出决算明细表</w:t>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t>八、一般公共预算财政拨款基本支出决算表</w:t>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t>九、一般公共预算财政拨款项目支出决算表</w:t>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t>十、一般公共预算财政拨款“三公”经费支出决算表</w:t>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t>十一、政府性基金预算财政拨款收入支出决算表</w:t>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t>十二、政府性基金预算财政拨款“三公”经费支出决算表</w:t>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t>十三、国有资本经营预算财政拨款收入支出决算表</w:t>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t>十四、国有资本经营预算财政拨款支出决算表</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jc w:val="center"/>
        <w:rPr>
          <w:rFonts w:ascii="黑体" w:eastAsia="黑体"/>
          <w:color w:val="000000"/>
          <w:sz w:val="32"/>
          <w:szCs w:val="32"/>
        </w:rPr>
      </w:pPr>
      <w:bookmarkStart w:id="14" w:name="_Toc6799"/>
      <w:bookmarkStart w:id="15" w:name="_Toc31210"/>
      <w:bookmarkStart w:id="16" w:name="_Toc15396599"/>
      <w:bookmarkStart w:id="17" w:name="_Toc15377196"/>
      <w:r>
        <w:rPr>
          <w:rFonts w:hint="eastAsia" w:ascii="黑体" w:hAnsi="黑体" w:eastAsia="黑体"/>
          <w:b w:val="0"/>
        </w:rPr>
        <w:t xml:space="preserve">第一部分 </w:t>
      </w:r>
      <w:r>
        <w:rPr>
          <w:rStyle w:val="24"/>
          <w:rFonts w:hint="eastAsia" w:ascii="黑体" w:hAnsi="黑体" w:eastAsia="黑体"/>
          <w:b w:val="0"/>
          <w:bCs w:val="0"/>
        </w:rPr>
        <w:t>部门概况</w:t>
      </w:r>
      <w:bookmarkEnd w:id="14"/>
      <w:bookmarkEnd w:id="15"/>
      <w:bookmarkEnd w:id="16"/>
      <w:bookmarkEnd w:id="17"/>
    </w:p>
    <w:p>
      <w:pPr>
        <w:pStyle w:val="4"/>
        <w:rPr>
          <w:rStyle w:val="25"/>
          <w:rFonts w:ascii="仿宋" w:hAnsi="仿宋" w:eastAsia="仿宋"/>
          <w:b w:val="0"/>
          <w:bCs w:val="0"/>
        </w:rPr>
      </w:pPr>
      <w:bookmarkStart w:id="18" w:name="_Toc15396600"/>
      <w:bookmarkStart w:id="19" w:name="_Toc15377197"/>
      <w:bookmarkStart w:id="20" w:name="_Toc16068"/>
      <w:bookmarkStart w:id="21" w:name="_Toc405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8"/>
      <w:bookmarkEnd w:id="19"/>
      <w:bookmarkEnd w:id="20"/>
      <w:bookmarkEnd w:id="21"/>
    </w:p>
    <w:p>
      <w:pPr>
        <w:ind w:firstLine="640" w:firstLineChars="200"/>
        <w:rPr>
          <w:rFonts w:hint="eastAsia" w:ascii="Times New Roman" w:hAnsi="Times New Roman" w:eastAsia="方正仿宋简体" w:cs="方正仿宋简体"/>
          <w:color w:val="333333"/>
          <w:sz w:val="33"/>
          <w:szCs w:val="33"/>
          <w:lang w:val="en-US" w:eastAsia="zh-CN"/>
        </w:rPr>
      </w:pPr>
      <w:bookmarkStart w:id="22" w:name="_Toc15377198"/>
      <w:bookmarkStart w:id="23" w:name="_Toc15378445"/>
      <w:r>
        <w:rPr>
          <w:rFonts w:hint="eastAsia" w:ascii="仿宋" w:hAnsi="仿宋" w:eastAsia="仿宋"/>
          <w:bCs/>
          <w:color w:val="000000"/>
          <w:sz w:val="32"/>
          <w:szCs w:val="32"/>
        </w:rPr>
        <w:t>（一）主要职能。</w:t>
      </w:r>
      <w:bookmarkEnd w:id="22"/>
      <w:bookmarkEnd w:id="23"/>
      <w:bookmarkStart w:id="24" w:name="_Toc15377199"/>
      <w:bookmarkStart w:id="25" w:name="_Toc15378446"/>
      <w:r>
        <w:rPr>
          <w:rFonts w:hint="eastAsia"/>
          <w:sz w:val="24"/>
          <w:lang w:val="en-US" w:eastAsia="zh-CN"/>
        </w:rPr>
        <w:t xml:space="preserve"> </w:t>
      </w:r>
      <w:r>
        <w:rPr>
          <w:rFonts w:hint="eastAsia" w:ascii="Times New Roman" w:hAnsi="Times New Roman" w:eastAsia="方正仿宋简体" w:cs="方正仿宋简体"/>
          <w:color w:val="333333"/>
          <w:sz w:val="33"/>
          <w:szCs w:val="33"/>
          <w:lang w:val="en-US" w:eastAsia="zh-CN"/>
        </w:rPr>
        <w:t>中共广安市委巡察工作领导小组办公室（以下简称市委巡察办）为市委工作部门，设在市纪委。主要承担向省委巡视工作领导小组办公室报送我市巡察工作规划、年度计划、年度巡察工作总结、重要情况和信息等；向巡察工作领导小组报告工作情况，传达贯彻巡察工作领导小组的决策和部署；统筹、协调、指导巡察组开展工作；承担政策研究、制度建设等工作；对市委和巡察工作领导小组决定的事项进行督办；配合市委、市委组织部及有关部门对巡察工作人员进行培训、考核、监督和管理；健全完善与纪检监察机关、政法机关和组织、审计、信访等部门的联系机制，负责与其进行沟通衔接；承担与上级党委巡视工作机构及巡视组日常联络工作，办理交办事项；指导区市县委巡察工作机构开展工作；办理巡察工作领导小组交办的其他事项等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eastAsia" w:ascii="Times New Roman" w:hAnsi="Times New Roman" w:eastAsia="方正仿宋简体" w:cs="方正仿宋简体"/>
          <w:color w:val="333333"/>
          <w:sz w:val="33"/>
          <w:szCs w:val="33"/>
          <w:lang w:val="en-US" w:eastAsia="zh-CN"/>
        </w:rPr>
      </w:pPr>
      <w:r>
        <w:rPr>
          <w:rFonts w:hint="eastAsia" w:ascii="Times New Roman" w:hAnsi="Times New Roman" w:eastAsia="方正仿宋简体" w:cs="方正仿宋简体"/>
          <w:color w:val="333333"/>
          <w:sz w:val="33"/>
          <w:szCs w:val="33"/>
          <w:lang w:val="en-US" w:eastAsia="zh-CN"/>
        </w:rPr>
        <w:t>市委巡察组主要承担向巡察工作领导小组报告工作情况，贯彻落实巡察工作领导小组的决策和部署；根据巡察工作计划开展巡察工作；根据巡察工作领导小组决定开展回访督查；对巡察组干部进行日常教育、管理和监督；办理巡察工作领导小组交办的其他事项。</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年重点工作完成情况。</w:t>
      </w:r>
      <w:bookmarkEnd w:id="24"/>
      <w:bookmarkEnd w:id="25"/>
    </w:p>
    <w:p>
      <w:pPr>
        <w:overflowPunct w:val="0"/>
        <w:spacing w:line="590" w:lineRule="exact"/>
        <w:ind w:firstLine="660" w:firstLineChars="200"/>
        <w:rPr>
          <w:rFonts w:hint="eastAsia" w:ascii="Times New Roman" w:hAnsi="Times New Roman" w:eastAsia="方正仿宋_GBK"/>
          <w:sz w:val="33"/>
          <w:szCs w:val="33"/>
        </w:rPr>
      </w:pPr>
      <w:r>
        <w:rPr>
          <w:rFonts w:hint="eastAsia" w:ascii="Times New Roman" w:hAnsi="Times New Roman" w:eastAsia="方正仿宋_GBK"/>
          <w:sz w:val="33"/>
          <w:szCs w:val="33"/>
        </w:rPr>
        <w:t>完成一届党委巡察全覆盖任务。</w:t>
      </w:r>
      <w:r>
        <w:rPr>
          <w:rFonts w:hint="eastAsia" w:eastAsia="方正仿宋_GBK"/>
          <w:sz w:val="33"/>
          <w:szCs w:val="33"/>
          <w:lang w:val="en-US" w:eastAsia="zh-CN"/>
        </w:rPr>
        <w:t>2021年</w:t>
      </w:r>
      <w:r>
        <w:rPr>
          <w:rFonts w:hint="eastAsia" w:ascii="Times New Roman" w:hAnsi="Times New Roman" w:eastAsia="方正仿宋_GBK"/>
          <w:sz w:val="33"/>
          <w:szCs w:val="33"/>
        </w:rPr>
        <w:t>上半年，市委巡察机构开展了五届市委第九轮巡察，对17个单位开展常规巡察，对7个单位开展“回头看”，发现问题1371个（含立行立改问题747个），移送问题线索89件；截至今年8月，五届市委巡察工作共开展9轮常规巡察、完成对127个单位的巡察全覆盖。对全市森林防灭火工作开展机动式巡察，发现问题35个，移送问题线索4件；对6个县（市、区）换届风气开展为期2周的专项巡察，发现问题40个；对市本级涉粮单位、企业以及6个县（市、区）党委政府落实粮食安全主体责任情况开展专项巡察，并指导督导6个县（市、区）巡察组开展交叉巡察，全市共发现问题107个，向纪委监委移交问题线索18件。10月上旬至11月中旬，组建1个巡审联动工作组对市本级国有平台公司在工程发包、融资举债、土地整理经营方面开展专项巡察和审计监督，共发现问题19个，向纪委监委移交问题线索7件。</w:t>
      </w:r>
    </w:p>
    <w:p>
      <w:pPr>
        <w:pStyle w:val="4"/>
        <w:rPr>
          <w:rStyle w:val="25"/>
          <w:rFonts w:hint="eastAsia" w:ascii="黑体" w:hAnsi="黑体" w:eastAsia="黑体"/>
          <w:b w:val="0"/>
          <w:bCs w:val="0"/>
        </w:rPr>
      </w:pPr>
      <w:bookmarkStart w:id="26" w:name="_Toc13754"/>
      <w:bookmarkStart w:id="27" w:name="_Toc15396601"/>
      <w:bookmarkStart w:id="28" w:name="_Toc15377200"/>
      <w:bookmarkStart w:id="29" w:name="_Toc2535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6"/>
      <w:bookmarkEnd w:id="27"/>
      <w:bookmarkEnd w:id="28"/>
      <w:bookmarkEnd w:id="29"/>
    </w:p>
    <w:p>
      <w:pPr>
        <w:ind w:firstLine="800" w:firstLineChars="250"/>
        <w:rPr>
          <w:rFonts w:ascii="仿宋" w:hAnsi="仿宋" w:eastAsia="仿宋"/>
          <w:sz w:val="32"/>
          <w:szCs w:val="32"/>
        </w:rPr>
      </w:pPr>
      <w:r>
        <w:rPr>
          <w:rFonts w:hint="eastAsia" w:ascii="仿宋" w:hAnsi="仿宋" w:eastAsia="仿宋"/>
          <w:sz w:val="32"/>
          <w:szCs w:val="32"/>
          <w:lang w:val="en-US" w:eastAsia="zh-CN"/>
        </w:rPr>
        <w:t>市委巡察办</w:t>
      </w:r>
      <w:r>
        <w:rPr>
          <w:rFonts w:hint="eastAsia" w:ascii="仿宋" w:hAnsi="仿宋" w:eastAsia="仿宋"/>
          <w:sz w:val="32"/>
          <w:szCs w:val="32"/>
        </w:rPr>
        <w:t>下属二级单位</w:t>
      </w:r>
      <w:r>
        <w:rPr>
          <w:rFonts w:hint="eastAsia" w:ascii="仿宋" w:hAnsi="仿宋" w:eastAsia="仿宋"/>
          <w:sz w:val="32"/>
          <w:szCs w:val="32"/>
          <w:lang w:val="en-US" w:eastAsia="zh-CN"/>
        </w:rPr>
        <w:t>2</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p>
    <w:p>
      <w:pPr>
        <w:pStyle w:val="2"/>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年度部门决算编制范围的二级预算单位包括：</w:t>
      </w:r>
    </w:p>
    <w:p>
      <w:pPr>
        <w:pStyle w:val="2"/>
        <w:numPr>
          <w:ilvl w:val="0"/>
          <w:numId w:val="1"/>
        </w:numPr>
        <w:adjustRightInd w:val="0"/>
        <w:snapToGrid w:val="0"/>
        <w:spacing w:before="93" w:line="600" w:lineRule="exact"/>
        <w:outlineLvl w:val="2"/>
        <w:rPr>
          <w:rFonts w:ascii="仿宋" w:hAnsi="仿宋" w:eastAsia="仿宋"/>
          <w:color w:val="000000"/>
          <w:sz w:val="32"/>
          <w:szCs w:val="32"/>
        </w:rPr>
      </w:pPr>
      <w:bookmarkStart w:id="30" w:name="_Toc15377433"/>
      <w:bookmarkStart w:id="31" w:name="_Toc15377202"/>
      <w:bookmarkStart w:id="32" w:name="_Toc15378449"/>
      <w:bookmarkStart w:id="33" w:name="_Toc15306276"/>
      <w:r>
        <w:rPr>
          <w:rFonts w:hint="eastAsia" w:ascii="仿宋" w:hAnsi="仿宋" w:eastAsia="仿宋"/>
          <w:color w:val="000000"/>
          <w:sz w:val="32"/>
          <w:szCs w:val="32"/>
          <w:lang w:val="en-US" w:eastAsia="zh-CN"/>
        </w:rPr>
        <w:t>市委巡察办机关</w:t>
      </w:r>
      <w:bookmarkEnd w:id="30"/>
      <w:bookmarkEnd w:id="31"/>
      <w:bookmarkEnd w:id="32"/>
      <w:bookmarkEnd w:id="33"/>
    </w:p>
    <w:p>
      <w:pPr>
        <w:pStyle w:val="2"/>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lang w:val="en-US" w:eastAsia="zh-CN"/>
        </w:rPr>
        <w:t>广安市巡察信息服务中心</w:t>
      </w:r>
    </w:p>
    <w:p>
      <w:pPr>
        <w:pStyle w:val="3"/>
        <w:ind w:right="440"/>
        <w:jc w:val="right"/>
      </w:pPr>
      <w:bookmarkStart w:id="34" w:name="_Toc31558"/>
      <w:bookmarkStart w:id="35" w:name="_Toc15377204"/>
      <w:bookmarkStart w:id="36" w:name="_Toc2171"/>
      <w:bookmarkStart w:id="37"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202</w:t>
      </w:r>
      <w:r>
        <w:rPr>
          <w:rStyle w:val="24"/>
          <w:rFonts w:hint="eastAsia" w:ascii="黑体" w:hAnsi="黑体" w:eastAsia="黑体"/>
          <w:b w:val="0"/>
          <w:bCs w:val="0"/>
          <w:lang w:val="en-US" w:eastAsia="zh-CN"/>
        </w:rPr>
        <w:t>1</w:t>
      </w:r>
      <w:r>
        <w:rPr>
          <w:rStyle w:val="24"/>
          <w:rFonts w:hint="eastAsia" w:ascii="黑体" w:hAnsi="黑体" w:eastAsia="黑体"/>
          <w:b w:val="0"/>
          <w:bCs w:val="0"/>
        </w:rPr>
        <w:t>年度部门决算情况说明</w:t>
      </w:r>
      <w:bookmarkEnd w:id="34"/>
      <w:bookmarkEnd w:id="35"/>
      <w:bookmarkEnd w:id="36"/>
      <w:bookmarkEnd w:id="37"/>
    </w:p>
    <w:p>
      <w:pPr>
        <w:pStyle w:val="23"/>
        <w:numPr>
          <w:ilvl w:val="0"/>
          <w:numId w:val="2"/>
        </w:numPr>
        <w:spacing w:line="600" w:lineRule="exact"/>
        <w:ind w:firstLineChars="0"/>
        <w:outlineLvl w:val="1"/>
        <w:rPr>
          <w:rStyle w:val="25"/>
          <w:rFonts w:ascii="黑体" w:hAnsi="黑体" w:eastAsia="黑体"/>
          <w:b w:val="0"/>
        </w:rPr>
      </w:pPr>
      <w:bookmarkStart w:id="38" w:name="_Toc4286"/>
      <w:bookmarkStart w:id="39" w:name="_Toc29535"/>
      <w:bookmarkStart w:id="40" w:name="_Toc15377205"/>
      <w:bookmarkStart w:id="41"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38"/>
      <w:bookmarkEnd w:id="39"/>
      <w:bookmarkEnd w:id="40"/>
      <w:bookmarkEnd w:id="41"/>
    </w:p>
    <w:p>
      <w:pPr>
        <w:pageBreakBefore w:val="0"/>
        <w:kinsoku/>
        <w:topLinePunct w:val="0"/>
        <w:bidi w:val="0"/>
        <w:spacing w:line="590" w:lineRule="exact"/>
        <w:ind w:firstLine="660" w:firstLineChars="200"/>
        <w:jc w:val="both"/>
        <w:rPr>
          <w:rFonts w:hint="eastAsia" w:ascii="Times New Roman" w:hAnsi="Times New Roman" w:eastAsia="方正仿宋_GBK" w:cs="方正仿宋_GBK"/>
          <w:color w:val="000000"/>
          <w:sz w:val="33"/>
          <w:szCs w:val="33"/>
        </w:rPr>
      </w:pPr>
      <w:r>
        <w:rPr>
          <w:rFonts w:hint="eastAsia" w:ascii="Times New Roman" w:hAnsi="Times New Roman" w:eastAsia="方正仿宋_GBK" w:cs="方正仿宋_GBK"/>
          <w:color w:val="000000"/>
          <w:sz w:val="33"/>
          <w:szCs w:val="33"/>
        </w:rPr>
        <w:t>20</w:t>
      </w:r>
      <w:r>
        <w:rPr>
          <w:rFonts w:hint="eastAsia" w:eastAsia="方正仿宋_GBK" w:cs="方正仿宋_GBK"/>
          <w:color w:val="000000"/>
          <w:sz w:val="33"/>
          <w:szCs w:val="33"/>
          <w:lang w:val="en-US" w:eastAsia="zh-CN"/>
        </w:rPr>
        <w:t>21</w:t>
      </w:r>
      <w:r>
        <w:rPr>
          <w:rFonts w:hint="eastAsia" w:ascii="Times New Roman" w:hAnsi="Times New Roman" w:eastAsia="方正仿宋_GBK" w:cs="方正仿宋_GBK"/>
          <w:color w:val="000000"/>
          <w:sz w:val="33"/>
          <w:szCs w:val="33"/>
        </w:rPr>
        <w:t>年</w:t>
      </w:r>
      <w:r>
        <w:rPr>
          <w:rFonts w:hint="eastAsia" w:ascii="Times New Roman" w:hAnsi="Times New Roman" w:eastAsia="方正仿宋_GBK" w:cs="方正仿宋_GBK"/>
          <w:color w:val="000000"/>
          <w:sz w:val="33"/>
          <w:szCs w:val="33"/>
          <w:lang w:eastAsia="zh-CN"/>
        </w:rPr>
        <w:t>，市委巡察办</w:t>
      </w:r>
      <w:r>
        <w:rPr>
          <w:rFonts w:hint="eastAsia" w:ascii="Times New Roman" w:hAnsi="Times New Roman" w:eastAsia="方正仿宋_GBK" w:cs="方正仿宋_GBK"/>
          <w:color w:val="000000"/>
          <w:sz w:val="33"/>
          <w:szCs w:val="33"/>
        </w:rPr>
        <w:t>决算收入总额为</w:t>
      </w:r>
      <w:r>
        <w:rPr>
          <w:rFonts w:hint="eastAsia" w:eastAsia="方正仿宋_GBK" w:cs="方正仿宋_GBK"/>
          <w:color w:val="000000"/>
          <w:sz w:val="33"/>
          <w:szCs w:val="33"/>
          <w:lang w:val="en-US" w:eastAsia="zh-CN"/>
        </w:rPr>
        <w:t>966.85万元，</w:t>
      </w:r>
      <w:r>
        <w:rPr>
          <w:rFonts w:hint="eastAsia" w:ascii="Times New Roman" w:hAnsi="Times New Roman" w:eastAsia="方正仿宋_GBK" w:cs="方正仿宋_GBK"/>
          <w:color w:val="000000"/>
          <w:sz w:val="33"/>
          <w:szCs w:val="33"/>
        </w:rPr>
        <w:t>收入决算总额较20</w:t>
      </w:r>
      <w:r>
        <w:rPr>
          <w:rFonts w:hint="eastAsia" w:eastAsia="方正仿宋_GBK" w:cs="方正仿宋_GBK"/>
          <w:color w:val="000000"/>
          <w:sz w:val="33"/>
          <w:szCs w:val="33"/>
          <w:lang w:val="en-US" w:eastAsia="zh-CN"/>
        </w:rPr>
        <w:t>20</w:t>
      </w:r>
      <w:r>
        <w:rPr>
          <w:rFonts w:hint="eastAsia" w:ascii="Times New Roman" w:hAnsi="Times New Roman" w:eastAsia="方正仿宋_GBK" w:cs="方正仿宋_GBK"/>
          <w:color w:val="000000"/>
          <w:sz w:val="33"/>
          <w:szCs w:val="33"/>
        </w:rPr>
        <w:t>年</w:t>
      </w:r>
      <w:r>
        <w:rPr>
          <w:rFonts w:hint="eastAsia" w:ascii="Times New Roman" w:hAnsi="Times New Roman" w:eastAsia="方正仿宋_GBK" w:cs="方正仿宋_GBK"/>
          <w:color w:val="000000"/>
          <w:sz w:val="33"/>
          <w:szCs w:val="33"/>
          <w:lang w:val="en-US" w:eastAsia="zh-CN"/>
        </w:rPr>
        <w:t>增加</w:t>
      </w:r>
      <w:r>
        <w:rPr>
          <w:rFonts w:hint="eastAsia" w:eastAsia="方正仿宋_GBK" w:cs="方正仿宋_GBK"/>
          <w:color w:val="000000"/>
          <w:sz w:val="33"/>
          <w:szCs w:val="33"/>
          <w:lang w:val="en-US" w:eastAsia="zh-CN"/>
        </w:rPr>
        <w:t>274.63</w:t>
      </w:r>
      <w:r>
        <w:rPr>
          <w:rFonts w:hint="eastAsia" w:ascii="Times New Roman" w:hAnsi="Times New Roman" w:eastAsia="方正仿宋_GBK" w:cs="方正仿宋_GBK"/>
          <w:color w:val="000000"/>
          <w:sz w:val="33"/>
          <w:szCs w:val="33"/>
        </w:rPr>
        <w:t>万元，</w:t>
      </w:r>
      <w:r>
        <w:rPr>
          <w:rFonts w:hint="eastAsia" w:ascii="Times New Roman" w:hAnsi="Times New Roman" w:eastAsia="方正仿宋_GBK" w:cs="方正仿宋_GBK"/>
          <w:color w:val="000000"/>
          <w:sz w:val="33"/>
          <w:szCs w:val="33"/>
          <w:lang w:val="en-US" w:eastAsia="zh-CN"/>
        </w:rPr>
        <w:t>增长</w:t>
      </w:r>
      <w:r>
        <w:rPr>
          <w:rFonts w:hint="eastAsia" w:eastAsia="方正仿宋_GBK" w:cs="方正仿宋_GBK"/>
          <w:color w:val="000000"/>
          <w:sz w:val="33"/>
          <w:szCs w:val="33"/>
          <w:lang w:val="en-US" w:eastAsia="zh-CN"/>
        </w:rPr>
        <w:t>39</w:t>
      </w:r>
      <w:r>
        <w:rPr>
          <w:rFonts w:hint="eastAsia" w:ascii="Times New Roman" w:hAnsi="Times New Roman" w:eastAsia="方正仿宋_GBK" w:cs="方正仿宋_GBK"/>
          <w:color w:val="000000"/>
          <w:sz w:val="33"/>
          <w:szCs w:val="33"/>
          <w:lang w:val="en-US" w:eastAsia="zh-CN"/>
        </w:rPr>
        <w:t>%，</w:t>
      </w:r>
      <w:r>
        <w:rPr>
          <w:rFonts w:hint="eastAsia" w:ascii="Times New Roman" w:hAnsi="Times New Roman" w:eastAsia="方正仿宋_GBK" w:cs="方正仿宋_GBK"/>
          <w:color w:val="000000"/>
          <w:sz w:val="33"/>
          <w:szCs w:val="33"/>
        </w:rPr>
        <w:t>主要原因是</w:t>
      </w:r>
      <w:r>
        <w:rPr>
          <w:rFonts w:hint="eastAsia" w:ascii="Times New Roman" w:hAnsi="Times New Roman" w:eastAsia="方正仿宋_GBK" w:cs="方正仿宋_GBK"/>
          <w:color w:val="000000"/>
          <w:sz w:val="33"/>
          <w:szCs w:val="33"/>
          <w:lang w:eastAsia="zh-CN"/>
        </w:rPr>
        <w:t>巡察专项经费</w:t>
      </w:r>
      <w:r>
        <w:rPr>
          <w:rFonts w:hint="eastAsia" w:ascii="Times New Roman" w:hAnsi="Times New Roman" w:eastAsia="方正仿宋_GBK" w:cs="方正仿宋_GBK"/>
          <w:color w:val="000000"/>
          <w:sz w:val="33"/>
          <w:szCs w:val="33"/>
          <w:lang w:val="en-US" w:eastAsia="zh-CN"/>
        </w:rPr>
        <w:t>增加</w:t>
      </w:r>
      <w:r>
        <w:rPr>
          <w:rFonts w:hint="eastAsia" w:ascii="Times New Roman" w:hAnsi="Times New Roman" w:eastAsia="方正仿宋_GBK" w:cs="方正仿宋_GBK"/>
          <w:color w:val="000000"/>
          <w:sz w:val="33"/>
          <w:szCs w:val="33"/>
        </w:rPr>
        <w:t xml:space="preserve">。 </w:t>
      </w:r>
    </w:p>
    <w:p>
      <w:pPr>
        <w:pageBreakBefore w:val="0"/>
        <w:kinsoku/>
        <w:topLinePunct w:val="0"/>
        <w:bidi w:val="0"/>
        <w:spacing w:line="590" w:lineRule="exact"/>
        <w:ind w:firstLine="660" w:firstLineChars="200"/>
        <w:jc w:val="both"/>
        <w:rPr>
          <w:rFonts w:hint="eastAsia" w:ascii="Times New Roman" w:hAnsi="Times New Roman" w:eastAsia="方正仿宋_GBK" w:cs="方正仿宋_GBK"/>
          <w:color w:val="000000"/>
          <w:sz w:val="33"/>
          <w:szCs w:val="33"/>
        </w:rPr>
      </w:pPr>
      <w:r>
        <w:rPr>
          <w:rFonts w:hint="eastAsia" w:ascii="Times New Roman" w:hAnsi="Times New Roman" w:eastAsia="方正仿宋_GBK" w:cs="方正仿宋_GBK"/>
          <w:color w:val="000000"/>
          <w:sz w:val="33"/>
          <w:szCs w:val="33"/>
        </w:rPr>
        <w:t>20</w:t>
      </w:r>
      <w:r>
        <w:rPr>
          <w:rFonts w:hint="eastAsia" w:eastAsia="方正仿宋_GBK" w:cs="方正仿宋_GBK"/>
          <w:color w:val="000000"/>
          <w:sz w:val="33"/>
          <w:szCs w:val="33"/>
          <w:lang w:val="en-US" w:eastAsia="zh-CN"/>
        </w:rPr>
        <w:t>21</w:t>
      </w:r>
      <w:r>
        <w:rPr>
          <w:rFonts w:hint="eastAsia" w:ascii="Times New Roman" w:hAnsi="Times New Roman" w:eastAsia="方正仿宋_GBK" w:cs="方正仿宋_GBK"/>
          <w:color w:val="000000"/>
          <w:sz w:val="33"/>
          <w:szCs w:val="33"/>
        </w:rPr>
        <w:t>年</w:t>
      </w:r>
      <w:r>
        <w:rPr>
          <w:rFonts w:hint="eastAsia" w:ascii="Times New Roman" w:hAnsi="Times New Roman" w:eastAsia="方正仿宋_GBK" w:cs="方正仿宋_GBK"/>
          <w:color w:val="000000"/>
          <w:sz w:val="33"/>
          <w:szCs w:val="33"/>
          <w:lang w:eastAsia="zh-CN"/>
        </w:rPr>
        <w:t>，市委巡察办</w:t>
      </w:r>
      <w:r>
        <w:rPr>
          <w:rFonts w:hint="eastAsia" w:ascii="Times New Roman" w:hAnsi="Times New Roman" w:eastAsia="方正仿宋_GBK" w:cs="方正仿宋_GBK"/>
          <w:color w:val="000000"/>
          <w:sz w:val="33"/>
          <w:szCs w:val="33"/>
        </w:rPr>
        <w:t>决算</w:t>
      </w:r>
      <w:r>
        <w:rPr>
          <w:rFonts w:hint="eastAsia" w:ascii="Times New Roman" w:hAnsi="Times New Roman" w:eastAsia="方正仿宋_GBK" w:cs="方正仿宋_GBK"/>
          <w:color w:val="000000"/>
          <w:sz w:val="33"/>
          <w:szCs w:val="33"/>
          <w:lang w:val="en-US" w:eastAsia="zh-CN"/>
        </w:rPr>
        <w:t>支出</w:t>
      </w:r>
      <w:r>
        <w:rPr>
          <w:rFonts w:hint="eastAsia" w:ascii="Times New Roman" w:hAnsi="Times New Roman" w:eastAsia="方正仿宋_GBK" w:cs="方正仿宋_GBK"/>
          <w:color w:val="000000"/>
          <w:sz w:val="33"/>
          <w:szCs w:val="33"/>
        </w:rPr>
        <w:t>总额为</w:t>
      </w:r>
      <w:r>
        <w:rPr>
          <w:rFonts w:hint="eastAsia" w:eastAsia="方正仿宋_GBK" w:cs="方正仿宋_GBK"/>
          <w:color w:val="000000"/>
          <w:sz w:val="33"/>
          <w:szCs w:val="33"/>
          <w:lang w:val="en-US" w:eastAsia="zh-CN"/>
        </w:rPr>
        <w:t>929.88</w:t>
      </w:r>
      <w:r>
        <w:rPr>
          <w:rFonts w:hint="eastAsia" w:ascii="Times New Roman" w:hAnsi="Times New Roman" w:eastAsia="方正仿宋_GBK" w:cs="方正仿宋_GBK"/>
          <w:color w:val="000000"/>
          <w:sz w:val="33"/>
          <w:szCs w:val="33"/>
        </w:rPr>
        <w:t>万元，</w:t>
      </w:r>
      <w:r>
        <w:rPr>
          <w:rFonts w:hint="eastAsia" w:eastAsia="方正仿宋_GBK" w:cs="方正仿宋_GBK"/>
          <w:color w:val="000000"/>
          <w:sz w:val="33"/>
          <w:szCs w:val="33"/>
          <w:lang w:val="en-US" w:eastAsia="zh-CN"/>
        </w:rPr>
        <w:t>支出</w:t>
      </w:r>
      <w:r>
        <w:rPr>
          <w:rFonts w:hint="eastAsia" w:ascii="Times New Roman" w:hAnsi="Times New Roman" w:eastAsia="方正仿宋_GBK" w:cs="方正仿宋_GBK"/>
          <w:color w:val="000000"/>
          <w:sz w:val="33"/>
          <w:szCs w:val="33"/>
        </w:rPr>
        <w:t>决算总额较20</w:t>
      </w:r>
      <w:r>
        <w:rPr>
          <w:rFonts w:hint="eastAsia" w:eastAsia="方正仿宋_GBK" w:cs="方正仿宋_GBK"/>
          <w:color w:val="000000"/>
          <w:sz w:val="33"/>
          <w:szCs w:val="33"/>
          <w:lang w:val="en-US" w:eastAsia="zh-CN"/>
        </w:rPr>
        <w:t>20</w:t>
      </w:r>
      <w:r>
        <w:rPr>
          <w:rFonts w:hint="eastAsia" w:ascii="Times New Roman" w:hAnsi="Times New Roman" w:eastAsia="方正仿宋_GBK" w:cs="方正仿宋_GBK"/>
          <w:color w:val="000000"/>
          <w:sz w:val="33"/>
          <w:szCs w:val="33"/>
        </w:rPr>
        <w:t>年</w:t>
      </w:r>
      <w:r>
        <w:rPr>
          <w:rFonts w:hint="eastAsia" w:ascii="Times New Roman" w:hAnsi="Times New Roman" w:eastAsia="方正仿宋_GBK" w:cs="方正仿宋_GBK"/>
          <w:color w:val="000000"/>
          <w:sz w:val="33"/>
          <w:szCs w:val="33"/>
          <w:lang w:val="en-US" w:eastAsia="zh-CN"/>
        </w:rPr>
        <w:t>增加</w:t>
      </w:r>
      <w:r>
        <w:rPr>
          <w:rFonts w:hint="eastAsia" w:eastAsia="方正仿宋_GBK" w:cs="方正仿宋_GBK"/>
          <w:color w:val="000000"/>
          <w:sz w:val="33"/>
          <w:szCs w:val="33"/>
          <w:lang w:val="en-US" w:eastAsia="zh-CN"/>
        </w:rPr>
        <w:t>291.84</w:t>
      </w:r>
      <w:r>
        <w:rPr>
          <w:rFonts w:hint="eastAsia" w:ascii="Times New Roman" w:hAnsi="Times New Roman" w:eastAsia="方正仿宋_GBK" w:cs="方正仿宋_GBK"/>
          <w:color w:val="000000"/>
          <w:sz w:val="33"/>
          <w:szCs w:val="33"/>
        </w:rPr>
        <w:t>万元，</w:t>
      </w:r>
      <w:r>
        <w:rPr>
          <w:rFonts w:hint="eastAsia" w:ascii="Times New Roman" w:hAnsi="Times New Roman" w:eastAsia="方正仿宋_GBK" w:cs="方正仿宋_GBK"/>
          <w:color w:val="000000"/>
          <w:sz w:val="33"/>
          <w:szCs w:val="33"/>
          <w:lang w:val="en-US" w:eastAsia="zh-CN"/>
        </w:rPr>
        <w:t>增长</w:t>
      </w:r>
      <w:r>
        <w:rPr>
          <w:rFonts w:hint="eastAsia" w:eastAsia="方正仿宋_GBK" w:cs="方正仿宋_GBK"/>
          <w:color w:val="000000"/>
          <w:sz w:val="33"/>
          <w:szCs w:val="33"/>
          <w:lang w:val="en-US" w:eastAsia="zh-CN"/>
        </w:rPr>
        <w:t>45</w:t>
      </w:r>
      <w:r>
        <w:rPr>
          <w:rFonts w:hint="eastAsia" w:ascii="Times New Roman" w:hAnsi="Times New Roman" w:eastAsia="方正仿宋_GBK" w:cs="方正仿宋_GBK"/>
          <w:color w:val="000000"/>
          <w:sz w:val="33"/>
          <w:szCs w:val="33"/>
          <w:lang w:val="en-US" w:eastAsia="zh-CN"/>
        </w:rPr>
        <w:t>%，</w:t>
      </w:r>
      <w:r>
        <w:rPr>
          <w:rFonts w:hint="eastAsia" w:ascii="Times New Roman" w:hAnsi="Times New Roman" w:eastAsia="方正仿宋_GBK" w:cs="方正仿宋_GBK"/>
          <w:color w:val="000000"/>
          <w:sz w:val="33"/>
          <w:szCs w:val="33"/>
        </w:rPr>
        <w:t>主要原因是</w:t>
      </w:r>
      <w:r>
        <w:rPr>
          <w:rFonts w:hint="eastAsia" w:ascii="Times New Roman" w:hAnsi="Times New Roman" w:eastAsia="方正仿宋_GBK" w:cs="方正仿宋_GBK"/>
          <w:color w:val="000000"/>
          <w:sz w:val="33"/>
          <w:szCs w:val="33"/>
          <w:lang w:eastAsia="zh-CN"/>
        </w:rPr>
        <w:t>巡察专项经费</w:t>
      </w:r>
      <w:r>
        <w:rPr>
          <w:rFonts w:hint="eastAsia" w:ascii="Times New Roman" w:hAnsi="Times New Roman" w:eastAsia="方正仿宋_GBK" w:cs="方正仿宋_GBK"/>
          <w:color w:val="000000"/>
          <w:sz w:val="33"/>
          <w:szCs w:val="33"/>
          <w:lang w:val="en-US" w:eastAsia="zh-CN"/>
        </w:rPr>
        <w:t>增加</w:t>
      </w:r>
      <w:r>
        <w:rPr>
          <w:rFonts w:hint="eastAsia" w:ascii="Times New Roman" w:hAnsi="Times New Roman" w:eastAsia="方正仿宋_GBK" w:cs="方正仿宋_GBK"/>
          <w:color w:val="000000"/>
          <w:sz w:val="33"/>
          <w:szCs w:val="33"/>
        </w:rPr>
        <w:t xml:space="preserve">。 </w:t>
      </w:r>
    </w:p>
    <w:p>
      <w:pPr>
        <w:pageBreakBefore w:val="0"/>
        <w:kinsoku/>
        <w:topLinePunct w:val="0"/>
        <w:bidi w:val="0"/>
        <w:spacing w:line="240" w:lineRule="auto"/>
        <w:ind w:firstLine="660" w:firstLineChars="200"/>
        <w:jc w:val="both"/>
        <w:rPr>
          <w:rFonts w:hint="eastAsia" w:ascii="Times New Roman" w:hAnsi="Times New Roman" w:eastAsia="方正仿宋_GBK" w:cs="方正仿宋_GBK"/>
          <w:color w:val="000000"/>
          <w:sz w:val="33"/>
          <w:szCs w:val="33"/>
          <w:lang w:eastAsia="zh-CN"/>
        </w:rPr>
      </w:pPr>
      <w:r>
        <w:rPr>
          <w:rFonts w:hint="eastAsia" w:ascii="Times New Roman" w:hAnsi="Times New Roman" w:eastAsia="方正仿宋_GBK" w:cs="方正仿宋_GBK"/>
          <w:color w:val="000000"/>
          <w:sz w:val="33"/>
          <w:szCs w:val="33"/>
          <w:lang w:eastAsia="zh-CN"/>
        </w:rPr>
        <w:drawing>
          <wp:inline distT="0" distB="0" distL="114300" distR="114300">
            <wp:extent cx="4584700" cy="2755900"/>
            <wp:effectExtent l="0" t="0" r="6350" b="6350"/>
            <wp:docPr id="1" name="图片 1" descr="图1：收、支决算总计变动情况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1：收、支决算总计变动情况图"/>
                    <pic:cNvPicPr>
                      <a:picLocks noChangeAspect="1"/>
                    </pic:cNvPicPr>
                  </pic:nvPicPr>
                  <pic:blipFill>
                    <a:blip r:embed="rId6"/>
                    <a:stretch>
                      <a:fillRect/>
                    </a:stretch>
                  </pic:blipFill>
                  <pic:spPr>
                    <a:xfrm>
                      <a:off x="0" y="0"/>
                      <a:ext cx="4584700" cy="2755900"/>
                    </a:xfrm>
                    <a:prstGeom prst="rect">
                      <a:avLst/>
                    </a:prstGeom>
                  </pic:spPr>
                </pic:pic>
              </a:graphicData>
            </a:graphic>
          </wp:inline>
        </w:drawing>
      </w:r>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pStyle w:val="23"/>
        <w:numPr>
          <w:ilvl w:val="0"/>
          <w:numId w:val="2"/>
        </w:numPr>
        <w:spacing w:line="600" w:lineRule="exact"/>
        <w:ind w:firstLineChars="0"/>
        <w:outlineLvl w:val="1"/>
        <w:rPr>
          <w:rStyle w:val="25"/>
          <w:rFonts w:ascii="黑体" w:hAnsi="黑体" w:eastAsia="黑体"/>
          <w:b w:val="0"/>
        </w:rPr>
      </w:pPr>
      <w:bookmarkStart w:id="42" w:name="_Toc16401"/>
      <w:bookmarkStart w:id="43" w:name="_Toc15396604"/>
      <w:bookmarkStart w:id="44" w:name="_Toc15377206"/>
      <w:bookmarkStart w:id="45" w:name="_Toc9721"/>
      <w:r>
        <w:rPr>
          <w:rFonts w:hint="eastAsia" w:ascii="黑体" w:hAnsi="黑体" w:eastAsia="黑体"/>
          <w:color w:val="000000"/>
          <w:sz w:val="32"/>
          <w:szCs w:val="32"/>
        </w:rPr>
        <w:t>收</w:t>
      </w:r>
      <w:r>
        <w:rPr>
          <w:rStyle w:val="25"/>
          <w:rFonts w:hint="eastAsia" w:ascii="黑体" w:hAnsi="黑体" w:eastAsia="黑体"/>
          <w:b w:val="0"/>
        </w:rPr>
        <w:t>入决算情况说明</w:t>
      </w:r>
      <w:bookmarkEnd w:id="42"/>
      <w:bookmarkEnd w:id="43"/>
      <w:bookmarkEnd w:id="44"/>
      <w:bookmarkEnd w:id="45"/>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912.67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912.67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240" w:lineRule="auto"/>
        <w:ind w:firstLine="420" w:firstLineChars="200"/>
        <w:outlineLvl w:val="1"/>
        <w:rPr>
          <w:rFonts w:hint="eastAsia" w:ascii="仿宋" w:hAnsi="仿宋" w:eastAsia="仿宋"/>
          <w:color w:val="000000"/>
          <w:sz w:val="32"/>
          <w:szCs w:val="32"/>
          <w:lang w:eastAsia="zh-CN"/>
        </w:rPr>
      </w:pPr>
      <w:r>
        <w:drawing>
          <wp:inline distT="0" distB="0" distL="114300" distR="114300">
            <wp:extent cx="4572000" cy="2743200"/>
            <wp:effectExtent l="4445" t="4445" r="1460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1280" w:firstLineChars="4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（图2：收入决算结构图）（饼状图）</w:t>
      </w:r>
    </w:p>
    <w:p>
      <w:pPr>
        <w:pStyle w:val="23"/>
        <w:numPr>
          <w:ilvl w:val="0"/>
          <w:numId w:val="2"/>
        </w:numPr>
        <w:spacing w:line="600" w:lineRule="exact"/>
        <w:ind w:firstLineChars="0"/>
        <w:outlineLvl w:val="1"/>
        <w:rPr>
          <w:rStyle w:val="25"/>
          <w:rFonts w:ascii="黑体" w:hAnsi="黑体" w:eastAsia="黑体"/>
          <w:b w:val="0"/>
        </w:rPr>
      </w:pPr>
      <w:bookmarkStart w:id="46" w:name="_Toc25896"/>
      <w:bookmarkStart w:id="47" w:name="_Toc15540"/>
      <w:bookmarkStart w:id="48" w:name="_Toc15396605"/>
      <w:bookmarkStart w:id="4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46"/>
      <w:bookmarkEnd w:id="47"/>
      <w:bookmarkEnd w:id="48"/>
      <w:bookmarkEnd w:id="4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929.88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546.81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383.07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41</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24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4584700" cy="2755900"/>
            <wp:effectExtent l="0" t="0" r="6350" b="6350"/>
            <wp:docPr id="3" name="图片 3" descr="图3：支出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3：支出决算结构图"/>
                    <pic:cNvPicPr>
                      <a:picLocks noChangeAspect="1"/>
                    </pic:cNvPicPr>
                  </pic:nvPicPr>
                  <pic:blipFill>
                    <a:blip r:embed="rId8"/>
                    <a:stretch>
                      <a:fillRect/>
                    </a:stretch>
                  </pic:blipFill>
                  <pic:spPr>
                    <a:xfrm>
                      <a:off x="0" y="0"/>
                      <a:ext cx="4584700" cy="2755900"/>
                    </a:xfrm>
                    <a:prstGeom prst="rect">
                      <a:avLst/>
                    </a:prstGeom>
                  </pic:spPr>
                </pic:pic>
              </a:graphicData>
            </a:graphic>
          </wp:inline>
        </w:drawing>
      </w: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outlineLvl w:val="1"/>
        <w:rPr>
          <w:rStyle w:val="25"/>
          <w:rFonts w:ascii="黑体" w:hAnsi="黑体" w:eastAsia="黑体"/>
          <w:b w:val="0"/>
        </w:rPr>
      </w:pPr>
      <w:bookmarkStart w:id="50" w:name="_Toc27540"/>
      <w:bookmarkStart w:id="51" w:name="_Toc15377208"/>
      <w:bookmarkStart w:id="52" w:name="_Toc15396606"/>
      <w:bookmarkStart w:id="53" w:name="_Toc15911"/>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50"/>
      <w:bookmarkEnd w:id="51"/>
      <w:bookmarkEnd w:id="52"/>
      <w:bookmarkEnd w:id="53"/>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951.85</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财政拨款</w:t>
      </w:r>
      <w:r>
        <w:rPr>
          <w:rFonts w:hint="eastAsia" w:ascii="仿宋" w:hAnsi="仿宋" w:eastAsia="仿宋"/>
          <w:color w:val="000000"/>
          <w:sz w:val="32"/>
          <w:szCs w:val="32"/>
          <w:lang w:eastAsia="zh-CN"/>
        </w:rPr>
        <w:t>支出总计</w:t>
      </w:r>
      <w:r>
        <w:rPr>
          <w:rFonts w:hint="eastAsia" w:ascii="仿宋" w:hAnsi="仿宋" w:eastAsia="仿宋"/>
          <w:color w:val="000000"/>
          <w:sz w:val="32"/>
          <w:szCs w:val="32"/>
          <w:lang w:val="en-US" w:eastAsia="zh-CN"/>
        </w:rPr>
        <w:t>914.87</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总计增加减少</w:t>
      </w:r>
      <w:r>
        <w:rPr>
          <w:rFonts w:hint="eastAsia" w:ascii="仿宋" w:hAnsi="仿宋" w:eastAsia="仿宋"/>
          <w:color w:val="000000"/>
          <w:sz w:val="32"/>
          <w:szCs w:val="32"/>
          <w:lang w:val="en-US" w:eastAsia="zh-CN"/>
        </w:rPr>
        <w:t>274.63</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40</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财政拨款</w:t>
      </w:r>
      <w:r>
        <w:rPr>
          <w:rFonts w:hint="eastAsia" w:ascii="仿宋" w:hAnsi="仿宋" w:eastAsia="仿宋"/>
          <w:color w:val="000000"/>
          <w:sz w:val="32"/>
          <w:szCs w:val="32"/>
          <w:lang w:eastAsia="zh-CN"/>
        </w:rPr>
        <w:t>支出总计</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237.65</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35</w:t>
      </w:r>
      <w:r>
        <w:rPr>
          <w:rFonts w:hint="eastAsia" w:ascii="仿宋" w:hAnsi="仿宋" w:eastAsia="仿宋"/>
          <w:color w:val="000000"/>
          <w:sz w:val="32"/>
          <w:szCs w:val="32"/>
        </w:rPr>
        <w:t>%。</w:t>
      </w:r>
    </w:p>
    <w:p>
      <w:pPr>
        <w:spacing w:line="600" w:lineRule="exact"/>
        <w:ind w:firstLine="640"/>
        <w:rPr>
          <w:rFonts w:hint="eastAsia" w:ascii="Times New Roman" w:hAnsi="Times New Roman" w:eastAsia="方正仿宋_GBK" w:cs="方正仿宋_GBK"/>
          <w:color w:val="000000"/>
          <w:sz w:val="33"/>
          <w:szCs w:val="33"/>
          <w:lang w:val="en-US" w:eastAsia="zh-CN"/>
        </w:rPr>
      </w:pPr>
      <w:r>
        <w:rPr>
          <w:rFonts w:hint="eastAsia" w:ascii="仿宋" w:hAnsi="仿宋" w:eastAsia="仿宋"/>
          <w:color w:val="000000"/>
          <w:sz w:val="32"/>
          <w:szCs w:val="32"/>
        </w:rPr>
        <w:t>主要变动原因是</w:t>
      </w:r>
      <w:r>
        <w:rPr>
          <w:rFonts w:hint="eastAsia" w:ascii="Times New Roman" w:hAnsi="Times New Roman" w:eastAsia="方正仿宋_GBK" w:cs="方正仿宋_GBK"/>
          <w:color w:val="000000"/>
          <w:sz w:val="33"/>
          <w:szCs w:val="33"/>
          <w:lang w:eastAsia="zh-CN"/>
        </w:rPr>
        <w:t>巡察专项经费</w:t>
      </w:r>
      <w:r>
        <w:rPr>
          <w:rFonts w:hint="eastAsia" w:ascii="Times New Roman" w:hAnsi="Times New Roman" w:eastAsia="方正仿宋_GBK" w:cs="方正仿宋_GBK"/>
          <w:color w:val="000000"/>
          <w:sz w:val="33"/>
          <w:szCs w:val="33"/>
          <w:lang w:val="en-US" w:eastAsia="zh-CN"/>
        </w:rPr>
        <w:t>增加</w:t>
      </w:r>
      <w:r>
        <w:rPr>
          <w:rFonts w:hint="eastAsia" w:eastAsia="方正仿宋_GBK" w:cs="方正仿宋_GBK"/>
          <w:color w:val="000000"/>
          <w:sz w:val="33"/>
          <w:szCs w:val="33"/>
          <w:lang w:val="en-US" w:eastAsia="zh-CN"/>
        </w:rPr>
        <w:t>。</w:t>
      </w:r>
    </w:p>
    <w:p>
      <w:pPr>
        <w:spacing w:line="24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4584700" cy="2755900"/>
            <wp:effectExtent l="0" t="0" r="6350" b="6350"/>
            <wp:docPr id="4" name="图片 4" descr="图4：财政拨款收、支决算总计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4：财政拨款收、支决算总计变动情况"/>
                    <pic:cNvPicPr>
                      <a:picLocks noChangeAspect="1"/>
                    </pic:cNvPicPr>
                  </pic:nvPicPr>
                  <pic:blipFill>
                    <a:blip r:embed="rId9"/>
                    <a:stretch>
                      <a:fillRect/>
                    </a:stretch>
                  </pic:blipFill>
                  <pic:spPr>
                    <a:xfrm>
                      <a:off x="0" y="0"/>
                      <a:ext cx="4584700" cy="2755900"/>
                    </a:xfrm>
                    <a:prstGeom prst="rect">
                      <a:avLst/>
                    </a:prstGeom>
                  </pic:spPr>
                </pic:pic>
              </a:graphicData>
            </a:graphic>
          </wp:inline>
        </w:drawing>
      </w:r>
    </w:p>
    <w:p>
      <w:pPr>
        <w:spacing w:line="600" w:lineRule="exact"/>
        <w:ind w:firstLine="640" w:firstLineChars="200"/>
        <w:rPr>
          <w:rFonts w:ascii="仿宋" w:hAnsi="仿宋" w:eastAsia="仿宋"/>
          <w:b/>
          <w:color w:val="00B050"/>
          <w:sz w:val="32"/>
          <w:szCs w:val="32"/>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600" w:lineRule="exact"/>
        <w:ind w:firstLine="640" w:firstLineChars="200"/>
        <w:outlineLvl w:val="1"/>
        <w:rPr>
          <w:rStyle w:val="25"/>
          <w:rFonts w:ascii="黑体" w:hAnsi="黑体" w:eastAsia="黑体"/>
          <w:b w:val="0"/>
        </w:rPr>
      </w:pPr>
      <w:bookmarkStart w:id="54" w:name="_Toc29082"/>
      <w:bookmarkStart w:id="55" w:name="_Toc15377209"/>
      <w:bookmarkStart w:id="56" w:name="_Toc20011"/>
      <w:bookmarkStart w:id="57"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54"/>
      <w:bookmarkEnd w:id="55"/>
      <w:bookmarkEnd w:id="56"/>
      <w:bookmarkEnd w:id="57"/>
    </w:p>
    <w:p>
      <w:pPr>
        <w:spacing w:line="600" w:lineRule="exact"/>
        <w:ind w:firstLine="643" w:firstLineChars="200"/>
        <w:outlineLvl w:val="2"/>
        <w:rPr>
          <w:rFonts w:ascii="仿宋" w:hAnsi="仿宋" w:eastAsia="仿宋"/>
          <w:b/>
          <w:color w:val="000000"/>
          <w:sz w:val="32"/>
          <w:szCs w:val="32"/>
        </w:rPr>
      </w:pPr>
      <w:bookmarkStart w:id="58" w:name="_Toc12729"/>
      <w:bookmarkStart w:id="59" w:name="_Toc15377210"/>
      <w:bookmarkStart w:id="60" w:name="_Toc9243"/>
      <w:r>
        <w:rPr>
          <w:rFonts w:hint="eastAsia" w:ascii="仿宋" w:hAnsi="仿宋" w:eastAsia="仿宋"/>
          <w:b/>
          <w:color w:val="000000"/>
          <w:sz w:val="32"/>
          <w:szCs w:val="32"/>
        </w:rPr>
        <w:t>（一）一般公共预算财政拨款支出决算总体情况</w:t>
      </w:r>
      <w:bookmarkEnd w:id="58"/>
      <w:bookmarkEnd w:id="59"/>
      <w:bookmarkEnd w:id="60"/>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914.87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276.83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43</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Times New Roman" w:hAnsi="Times New Roman" w:eastAsia="方正仿宋_GBK" w:cs="方正仿宋_GBK"/>
          <w:color w:val="000000"/>
          <w:sz w:val="33"/>
          <w:szCs w:val="33"/>
          <w:lang w:val="en-US" w:eastAsia="zh-CN"/>
        </w:rPr>
      </w:pPr>
      <w:r>
        <w:rPr>
          <w:rFonts w:hint="eastAsia" w:ascii="仿宋" w:hAnsi="仿宋" w:eastAsia="仿宋"/>
          <w:color w:val="000000"/>
          <w:sz w:val="32"/>
          <w:szCs w:val="32"/>
        </w:rPr>
        <w:t>主要变动原因是</w:t>
      </w:r>
      <w:r>
        <w:rPr>
          <w:rFonts w:hint="eastAsia" w:ascii="Times New Roman" w:hAnsi="Times New Roman" w:eastAsia="方正仿宋_GBK" w:cs="方正仿宋_GBK"/>
          <w:color w:val="000000"/>
          <w:sz w:val="33"/>
          <w:szCs w:val="33"/>
          <w:lang w:eastAsia="zh-CN"/>
        </w:rPr>
        <w:t>巡察专项经费</w:t>
      </w:r>
      <w:r>
        <w:rPr>
          <w:rFonts w:hint="eastAsia" w:ascii="Times New Roman" w:hAnsi="Times New Roman" w:eastAsia="方正仿宋_GBK" w:cs="方正仿宋_GBK"/>
          <w:color w:val="000000"/>
          <w:sz w:val="33"/>
          <w:szCs w:val="33"/>
          <w:lang w:val="en-US" w:eastAsia="zh-CN"/>
        </w:rPr>
        <w:t>增加</w:t>
      </w:r>
      <w:r>
        <w:rPr>
          <w:rFonts w:hint="eastAsia" w:eastAsia="方正仿宋_GBK" w:cs="方正仿宋_GBK"/>
          <w:color w:val="000000"/>
          <w:sz w:val="33"/>
          <w:szCs w:val="33"/>
          <w:lang w:val="en-US" w:eastAsia="zh-CN"/>
        </w:rPr>
        <w:t>。</w:t>
      </w:r>
    </w:p>
    <w:p>
      <w:pPr>
        <w:spacing w:line="240" w:lineRule="auto"/>
        <w:ind w:firstLine="660" w:firstLineChars="200"/>
        <w:rPr>
          <w:rFonts w:hint="eastAsia" w:ascii="Times New Roman" w:hAnsi="Times New Roman" w:eastAsia="方正仿宋_GBK" w:cs="方正仿宋_GBK"/>
          <w:color w:val="000000"/>
          <w:sz w:val="33"/>
          <w:szCs w:val="33"/>
          <w:lang w:val="en-US" w:eastAsia="zh-CN"/>
        </w:rPr>
      </w:pPr>
      <w:r>
        <w:rPr>
          <w:rFonts w:hint="eastAsia" w:ascii="Times New Roman" w:hAnsi="Times New Roman" w:eastAsia="方正仿宋_GBK" w:cs="方正仿宋_GBK"/>
          <w:color w:val="000000"/>
          <w:sz w:val="33"/>
          <w:szCs w:val="33"/>
          <w:lang w:val="en-US" w:eastAsia="zh-CN"/>
        </w:rPr>
        <w:drawing>
          <wp:inline distT="0" distB="0" distL="114300" distR="114300">
            <wp:extent cx="4584700" cy="2755900"/>
            <wp:effectExtent l="0" t="0" r="6350" b="6350"/>
            <wp:docPr id="6" name="图片 6" descr="图5：一般公共预算财政拨款支出决算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5：一般公共预算财政拨款支出决算变动情况"/>
                    <pic:cNvPicPr>
                      <a:picLocks noChangeAspect="1"/>
                    </pic:cNvPicPr>
                  </pic:nvPicPr>
                  <pic:blipFill>
                    <a:blip r:embed="rId10"/>
                    <a:stretch>
                      <a:fillRect/>
                    </a:stretch>
                  </pic:blipFill>
                  <pic:spPr>
                    <a:xfrm>
                      <a:off x="0" y="0"/>
                      <a:ext cx="4584700" cy="2755900"/>
                    </a:xfrm>
                    <a:prstGeom prst="rect">
                      <a:avLst/>
                    </a:prstGeom>
                  </pic:spPr>
                </pic:pic>
              </a:graphicData>
            </a:graphic>
          </wp:inline>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61" w:name="_Toc6703"/>
      <w:bookmarkStart w:id="62" w:name="_Toc15377211"/>
      <w:bookmarkStart w:id="63" w:name="_Toc19853"/>
      <w:r>
        <w:rPr>
          <w:rFonts w:hint="eastAsia" w:ascii="仿宋" w:hAnsi="仿宋" w:eastAsia="仿宋"/>
          <w:b/>
          <w:color w:val="000000"/>
          <w:sz w:val="32"/>
          <w:szCs w:val="32"/>
        </w:rPr>
        <w:t>（二）一般公共预算财政拨款支出决算结构情况</w:t>
      </w:r>
      <w:bookmarkEnd w:id="61"/>
      <w:bookmarkEnd w:id="62"/>
      <w:bookmarkEnd w:id="63"/>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914.87</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871.07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bCs/>
          <w:color w:val="000000" w:themeColor="text1"/>
          <w:sz w:val="32"/>
          <w:szCs w:val="32"/>
          <w:lang w:val="en-US" w:eastAsia="zh-CN"/>
          <w14:textFill>
            <w14:solidFill>
              <w14:schemeClr w14:val="tx1"/>
            </w14:solidFill>
          </w14:textFill>
        </w:rPr>
        <w:t>0</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b/>
          <w:bCs/>
          <w:color w:val="000000" w:themeColor="text1"/>
          <w:sz w:val="32"/>
          <w:szCs w:val="32"/>
          <w:lang w:val="en-US" w:eastAsia="zh-CN"/>
          <w14:textFill>
            <w14:solidFill>
              <w14:schemeClr w14:val="tx1"/>
            </w14:solidFill>
          </w14:textFill>
        </w:rPr>
        <w:t>0</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31.89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b/>
          <w:bCs/>
          <w:color w:val="000000" w:themeColor="text1"/>
          <w:sz w:val="32"/>
          <w:szCs w:val="32"/>
          <w:lang w:val="en-US" w:eastAsia="zh-CN"/>
          <w14:textFill>
            <w14:solidFill>
              <w14:schemeClr w14:val="tx1"/>
            </w14:solidFill>
          </w14:textFill>
        </w:rPr>
        <w:t>11.91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240" w:lineRule="auto"/>
        <w:ind w:firstLine="64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4584700" cy="2755900"/>
            <wp:effectExtent l="0" t="0" r="6350" b="6350"/>
            <wp:docPr id="7" name="图片 7" descr="图6：一般公共预算财政拨款支出决算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6：一般公共预算财政拨款支出决算结构"/>
                    <pic:cNvPicPr>
                      <a:picLocks noChangeAspect="1"/>
                    </pic:cNvPicPr>
                  </pic:nvPicPr>
                  <pic:blipFill>
                    <a:blip r:embed="rId11"/>
                    <a:stretch>
                      <a:fillRect/>
                    </a:stretch>
                  </pic:blipFill>
                  <pic:spPr>
                    <a:xfrm>
                      <a:off x="0" y="0"/>
                      <a:ext cx="4584700" cy="2755900"/>
                    </a:xfrm>
                    <a:prstGeom prst="rect">
                      <a:avLst/>
                    </a:prstGeom>
                  </pic:spPr>
                </pic:pic>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64" w:name="_Toc15377212"/>
      <w:bookmarkStart w:id="65" w:name="_Toc32157"/>
      <w:bookmarkStart w:id="66" w:name="_Toc8779"/>
      <w:r>
        <w:rPr>
          <w:rFonts w:hint="eastAsia" w:ascii="仿宋" w:hAnsi="仿宋" w:eastAsia="仿宋"/>
          <w:b/>
          <w:color w:val="000000"/>
          <w:sz w:val="32"/>
          <w:szCs w:val="32"/>
        </w:rPr>
        <w:t>（三）一般公共预算财政拨款支出决算具体情况</w:t>
      </w:r>
      <w:bookmarkEnd w:id="64"/>
      <w:bookmarkEnd w:id="65"/>
      <w:bookmarkEnd w:id="66"/>
    </w:p>
    <w:p>
      <w:pPr>
        <w:spacing w:line="600" w:lineRule="exact"/>
        <w:ind w:firstLine="643" w:firstLineChars="200"/>
        <w:outlineLvl w:val="2"/>
        <w:rPr>
          <w:rFonts w:ascii="仿宋" w:hAnsi="仿宋" w:eastAsia="仿宋"/>
          <w:color w:val="FF0000"/>
          <w:sz w:val="32"/>
          <w:szCs w:val="32"/>
        </w:rPr>
      </w:pPr>
      <w:bookmarkStart w:id="67" w:name="_Toc15377444"/>
      <w:bookmarkStart w:id="68" w:name="_Toc15377213"/>
      <w:bookmarkStart w:id="69" w:name="_Toc15378460"/>
      <w:r>
        <w:rPr>
          <w:rFonts w:hint="eastAsia" w:ascii="仿宋" w:hAnsi="仿宋" w:eastAsia="仿宋"/>
          <w:b/>
          <w:color w:val="000000" w:themeColor="text1"/>
          <w:sz w:val="32"/>
          <w:szCs w:val="32"/>
          <w14:textFill>
            <w14:solidFill>
              <w14:schemeClr w14:val="tx1"/>
            </w14:solidFill>
          </w14:textFill>
        </w:rPr>
        <w:t>202</w:t>
      </w:r>
      <w:r>
        <w:rPr>
          <w:rFonts w:hint="eastAsia" w:ascii="仿宋" w:hAnsi="仿宋" w:eastAsia="仿宋"/>
          <w:b/>
          <w:color w:val="000000" w:themeColor="text1"/>
          <w:sz w:val="32"/>
          <w:szCs w:val="32"/>
          <w:lang w:val="en-US" w:eastAsia="zh-CN"/>
          <w14:textFill>
            <w14:solidFill>
              <w14:schemeClr w14:val="tx1"/>
            </w14:solidFill>
          </w14:textFill>
        </w:rPr>
        <w:t>1</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color w:val="000000"/>
          <w:sz w:val="32"/>
          <w:szCs w:val="32"/>
          <w:lang w:val="en-US" w:eastAsia="zh-CN"/>
        </w:rPr>
        <w:t>914.87</w:t>
      </w:r>
      <w:r>
        <w:rPr>
          <w:rFonts w:hint="eastAsia" w:ascii="仿宋" w:hAnsi="仿宋" w:eastAsia="仿宋"/>
          <w:color w:val="000000" w:themeColor="text1"/>
          <w:sz w:val="32"/>
          <w:szCs w:val="32"/>
          <w14:textFill>
            <w14:solidFill>
              <w14:schemeClr w14:val="tx1"/>
            </w14:solidFill>
          </w14:textFill>
        </w:rPr>
        <w:t>，</w:t>
      </w:r>
      <w:r>
        <w:rPr>
          <w:rStyle w:val="13"/>
          <w:rFonts w:hint="eastAsia" w:ascii="仿宋" w:hAnsi="仿宋" w:eastAsia="仿宋"/>
          <w:bCs/>
          <w:color w:val="000000" w:themeColor="text1"/>
          <w:sz w:val="32"/>
          <w:szCs w:val="32"/>
          <w14:textFill>
            <w14:solidFill>
              <w14:schemeClr w14:val="tx1"/>
            </w14:solidFill>
          </w14:textFill>
        </w:rPr>
        <w:t>完成</w:t>
      </w:r>
      <w:r>
        <w:rPr>
          <w:rStyle w:val="13"/>
          <w:rFonts w:hint="eastAsia" w:ascii="仿宋" w:hAnsi="仿宋" w:eastAsia="仿宋"/>
          <w:bCs/>
          <w:color w:val="000000"/>
          <w:sz w:val="32"/>
          <w:szCs w:val="32"/>
        </w:rPr>
        <w:t>预算</w:t>
      </w:r>
      <w:r>
        <w:rPr>
          <w:rStyle w:val="13"/>
          <w:rFonts w:hint="eastAsia" w:ascii="仿宋" w:hAnsi="仿宋" w:eastAsia="仿宋"/>
          <w:bCs/>
          <w:color w:val="000000"/>
          <w:sz w:val="32"/>
          <w:szCs w:val="32"/>
          <w:lang w:val="en-US" w:eastAsia="zh-CN"/>
        </w:rPr>
        <w:t>96</w:t>
      </w:r>
      <w:r>
        <w:rPr>
          <w:rStyle w:val="13"/>
          <w:rFonts w:ascii="仿宋" w:hAnsi="仿宋" w:eastAsia="仿宋"/>
          <w:bCs/>
          <w:color w:val="000000"/>
          <w:sz w:val="32"/>
          <w:szCs w:val="32"/>
        </w:rPr>
        <w:t>%</w:t>
      </w:r>
      <w:r>
        <w:rPr>
          <w:rStyle w:val="13"/>
          <w:rFonts w:hint="eastAsia" w:ascii="仿宋" w:hAnsi="仿宋" w:eastAsia="仿宋"/>
          <w:bCs/>
          <w:color w:val="000000"/>
          <w:sz w:val="32"/>
          <w:szCs w:val="32"/>
        </w:rPr>
        <w:t>。其中：</w:t>
      </w:r>
      <w:bookmarkEnd w:id="67"/>
      <w:bookmarkEnd w:id="68"/>
      <w:bookmarkEnd w:id="69"/>
    </w:p>
    <w:p>
      <w:pPr>
        <w:spacing w:line="600" w:lineRule="exact"/>
        <w:ind w:firstLine="643" w:firstLineChars="200"/>
        <w:rPr>
          <w:rStyle w:val="13"/>
          <w:rFonts w:hint="eastAsia" w:ascii="仿宋" w:hAnsi="仿宋" w:eastAsia="仿宋"/>
          <w:b w:val="0"/>
          <w:bCs/>
          <w:color w:val="000000"/>
          <w:sz w:val="32"/>
          <w:szCs w:val="32"/>
        </w:rPr>
      </w:pPr>
      <w:r>
        <w:rPr>
          <w:rStyle w:val="13"/>
          <w:rFonts w:ascii="仿宋" w:hAnsi="仿宋" w:eastAsia="仿宋"/>
          <w:bCs/>
          <w:color w:val="000000"/>
          <w:sz w:val="32"/>
          <w:szCs w:val="32"/>
        </w:rPr>
        <w:t>1.</w:t>
      </w:r>
      <w:r>
        <w:rPr>
          <w:rStyle w:val="13"/>
          <w:rFonts w:hint="eastAsia" w:ascii="仿宋" w:hAnsi="仿宋" w:eastAsia="仿宋"/>
          <w:bCs/>
          <w:color w:val="000000"/>
          <w:sz w:val="32"/>
          <w:szCs w:val="32"/>
        </w:rPr>
        <w:t>一般公共服务（类）纪检监察事务（款）行政运行（项）</w:t>
      </w:r>
      <w:r>
        <w:rPr>
          <w:rStyle w:val="13"/>
          <w:rFonts w:ascii="仿宋" w:hAnsi="仿宋" w:eastAsia="仿宋"/>
          <w:bCs/>
          <w:color w:val="000000"/>
          <w:sz w:val="32"/>
          <w:szCs w:val="32"/>
        </w:rPr>
        <w:t>:</w:t>
      </w:r>
      <w:r>
        <w:rPr>
          <w:rStyle w:val="13"/>
          <w:rFonts w:ascii="仿宋" w:hAnsi="仿宋" w:eastAsia="仿宋"/>
          <w:b w:val="0"/>
          <w:bCs/>
          <w:color w:val="000000"/>
          <w:sz w:val="32"/>
          <w:szCs w:val="32"/>
        </w:rPr>
        <w:t xml:space="preserve"> </w:t>
      </w:r>
      <w:r>
        <w:rPr>
          <w:rStyle w:val="13"/>
          <w:rFonts w:hint="eastAsia" w:ascii="仿宋" w:hAnsi="仿宋" w:eastAsia="仿宋"/>
          <w:b w:val="0"/>
          <w:bCs/>
          <w:color w:val="000000"/>
          <w:sz w:val="32"/>
          <w:szCs w:val="32"/>
        </w:rPr>
        <w:t>支出决算为</w:t>
      </w:r>
      <w:r>
        <w:rPr>
          <w:rStyle w:val="13"/>
          <w:rFonts w:hint="eastAsia" w:ascii="仿宋" w:hAnsi="仿宋" w:eastAsia="仿宋"/>
          <w:b w:val="0"/>
          <w:bCs/>
          <w:color w:val="000000"/>
          <w:sz w:val="32"/>
          <w:szCs w:val="32"/>
          <w:lang w:val="en-US" w:eastAsia="zh-CN"/>
        </w:rPr>
        <w:t>488.01</w:t>
      </w:r>
      <w:r>
        <w:rPr>
          <w:rStyle w:val="13"/>
          <w:rFonts w:hint="eastAsia" w:ascii="仿宋" w:hAnsi="仿宋" w:eastAsia="仿宋"/>
          <w:b w:val="0"/>
          <w:bCs/>
          <w:color w:val="000000"/>
          <w:sz w:val="32"/>
          <w:szCs w:val="32"/>
        </w:rPr>
        <w:t>万元，完成预算</w:t>
      </w:r>
      <w:r>
        <w:rPr>
          <w:rStyle w:val="13"/>
          <w:rFonts w:hint="eastAsia" w:ascii="仿宋" w:hAnsi="仿宋" w:eastAsia="仿宋"/>
          <w:b w:val="0"/>
          <w:bCs/>
          <w:color w:val="000000"/>
          <w:sz w:val="32"/>
          <w:szCs w:val="32"/>
          <w:lang w:val="en-US" w:eastAsia="zh-CN"/>
        </w:rPr>
        <w:t>99</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，决算数小于预算数的主要原因是</w:t>
      </w:r>
      <w:r>
        <w:rPr>
          <w:rStyle w:val="13"/>
          <w:rFonts w:hint="eastAsia" w:ascii="仿宋" w:hAnsi="仿宋" w:eastAsia="仿宋"/>
          <w:b w:val="0"/>
          <w:bCs/>
          <w:color w:val="000000"/>
          <w:sz w:val="32"/>
          <w:szCs w:val="32"/>
          <w:lang w:val="en-US" w:eastAsia="zh-CN"/>
        </w:rPr>
        <w:t>租赁费尚未支付</w:t>
      </w:r>
      <w:r>
        <w:rPr>
          <w:rStyle w:val="13"/>
          <w:rFonts w:hint="eastAsia" w:ascii="仿宋" w:hAnsi="仿宋" w:eastAsia="仿宋"/>
          <w:b w:val="0"/>
          <w:bCs/>
          <w:color w:val="000000"/>
          <w:sz w:val="32"/>
          <w:szCs w:val="32"/>
        </w:rPr>
        <w:t>。</w:t>
      </w:r>
    </w:p>
    <w:p>
      <w:pPr>
        <w:spacing w:line="600" w:lineRule="exact"/>
        <w:ind w:firstLine="643" w:firstLineChars="200"/>
        <w:rPr>
          <w:rStyle w:val="13"/>
          <w:rFonts w:hint="eastAsia" w:ascii="仿宋" w:hAnsi="仿宋" w:eastAsia="仿宋"/>
          <w:b w:val="0"/>
          <w:bCs/>
          <w:color w:val="000000"/>
          <w:sz w:val="32"/>
          <w:szCs w:val="32"/>
        </w:rPr>
      </w:pPr>
      <w:r>
        <w:rPr>
          <w:rStyle w:val="13"/>
          <w:rFonts w:ascii="仿宋" w:hAnsi="仿宋" w:eastAsia="仿宋"/>
          <w:bCs/>
          <w:color w:val="000000"/>
          <w:sz w:val="32"/>
          <w:szCs w:val="32"/>
        </w:rPr>
        <w:t>2</w:t>
      </w:r>
      <w:r>
        <w:rPr>
          <w:rStyle w:val="13"/>
          <w:rFonts w:hint="eastAsia" w:ascii="仿宋" w:hAnsi="仿宋" w:eastAsia="仿宋"/>
          <w:b w:val="0"/>
          <w:bCs/>
          <w:color w:val="000000"/>
          <w:sz w:val="32"/>
          <w:szCs w:val="32"/>
          <w:lang w:val="en-US" w:eastAsia="zh-CN"/>
        </w:rPr>
        <w:t>.</w:t>
      </w:r>
      <w:r>
        <w:rPr>
          <w:rStyle w:val="13"/>
          <w:rFonts w:hint="eastAsia" w:ascii="仿宋" w:hAnsi="仿宋" w:eastAsia="仿宋"/>
          <w:bCs/>
          <w:color w:val="000000"/>
          <w:sz w:val="32"/>
          <w:szCs w:val="32"/>
        </w:rPr>
        <w:t>一般公共服务（类）纪检监察事务（款）一般行政管理事务（项）</w:t>
      </w:r>
      <w:r>
        <w:rPr>
          <w:rStyle w:val="13"/>
          <w:rFonts w:ascii="仿宋" w:hAnsi="仿宋" w:eastAsia="仿宋"/>
          <w:bCs/>
          <w:color w:val="000000"/>
          <w:sz w:val="32"/>
          <w:szCs w:val="32"/>
        </w:rPr>
        <w:t>:</w:t>
      </w:r>
      <w:r>
        <w:rPr>
          <w:rStyle w:val="13"/>
          <w:rFonts w:ascii="仿宋" w:hAnsi="仿宋" w:eastAsia="仿宋"/>
          <w:b w:val="0"/>
          <w:bCs/>
          <w:color w:val="000000"/>
          <w:sz w:val="32"/>
          <w:szCs w:val="32"/>
        </w:rPr>
        <w:t xml:space="preserve"> </w:t>
      </w:r>
      <w:r>
        <w:rPr>
          <w:rStyle w:val="13"/>
          <w:rFonts w:hint="eastAsia" w:ascii="仿宋" w:hAnsi="仿宋" w:eastAsia="仿宋"/>
          <w:b w:val="0"/>
          <w:bCs/>
          <w:color w:val="000000"/>
          <w:sz w:val="32"/>
          <w:szCs w:val="32"/>
        </w:rPr>
        <w:t>支出决算为</w:t>
      </w:r>
      <w:r>
        <w:rPr>
          <w:rStyle w:val="13"/>
          <w:rFonts w:hint="eastAsia" w:ascii="仿宋" w:hAnsi="仿宋" w:eastAsia="仿宋"/>
          <w:b w:val="0"/>
          <w:bCs/>
          <w:color w:val="000000"/>
          <w:sz w:val="32"/>
          <w:szCs w:val="32"/>
          <w:lang w:val="en-US" w:eastAsia="zh-CN"/>
        </w:rPr>
        <w:t>383.06</w:t>
      </w:r>
      <w:r>
        <w:rPr>
          <w:rStyle w:val="13"/>
          <w:rFonts w:hint="eastAsia" w:ascii="仿宋" w:hAnsi="仿宋" w:eastAsia="仿宋"/>
          <w:b w:val="0"/>
          <w:bCs/>
          <w:color w:val="000000"/>
          <w:sz w:val="32"/>
          <w:szCs w:val="32"/>
        </w:rPr>
        <w:t>万元，完成预算</w:t>
      </w:r>
      <w:r>
        <w:rPr>
          <w:rStyle w:val="13"/>
          <w:rFonts w:hint="eastAsia" w:ascii="仿宋" w:hAnsi="仿宋" w:eastAsia="仿宋"/>
          <w:b w:val="0"/>
          <w:bCs/>
          <w:color w:val="000000"/>
          <w:sz w:val="32"/>
          <w:szCs w:val="32"/>
          <w:lang w:val="en-US" w:eastAsia="zh-CN"/>
        </w:rPr>
        <w:t>92</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，决算数小于预算数的主要原因是</w:t>
      </w:r>
      <w:r>
        <w:rPr>
          <w:rStyle w:val="13"/>
          <w:rFonts w:hint="eastAsia" w:ascii="仿宋" w:hAnsi="仿宋" w:eastAsia="仿宋"/>
          <w:b w:val="0"/>
          <w:bCs/>
          <w:color w:val="000000"/>
          <w:sz w:val="32"/>
          <w:szCs w:val="32"/>
          <w:lang w:val="en-US" w:eastAsia="zh-CN"/>
        </w:rPr>
        <w:t>巡察期间部分食宿费尚未支付</w:t>
      </w:r>
      <w:r>
        <w:rPr>
          <w:rStyle w:val="13"/>
          <w:rFonts w:hint="eastAsia" w:ascii="仿宋" w:hAnsi="仿宋" w:eastAsia="仿宋"/>
          <w:b w:val="0"/>
          <w:bCs/>
          <w:color w:val="000000"/>
          <w:sz w:val="32"/>
          <w:szCs w:val="32"/>
        </w:rPr>
        <w:t>。</w:t>
      </w:r>
    </w:p>
    <w:p>
      <w:pPr>
        <w:spacing w:line="600" w:lineRule="exact"/>
        <w:ind w:firstLine="643" w:firstLineChars="200"/>
        <w:rPr>
          <w:rStyle w:val="13"/>
          <w:rFonts w:hint="eastAsia" w:ascii="仿宋" w:hAnsi="仿宋" w:eastAsia="仿宋"/>
          <w:b w:val="0"/>
          <w:bCs/>
          <w:color w:val="000000"/>
          <w:sz w:val="32"/>
          <w:szCs w:val="32"/>
        </w:rPr>
      </w:pPr>
      <w:r>
        <w:rPr>
          <w:rStyle w:val="13"/>
          <w:rFonts w:hint="eastAsia" w:ascii="仿宋" w:hAnsi="仿宋" w:eastAsia="仿宋"/>
          <w:bCs/>
          <w:color w:val="000000"/>
          <w:sz w:val="32"/>
          <w:szCs w:val="32"/>
          <w:lang w:val="en-US" w:eastAsia="zh-CN"/>
        </w:rPr>
        <w:t>3</w:t>
      </w:r>
      <w:r>
        <w:rPr>
          <w:rStyle w:val="13"/>
          <w:rFonts w:ascii="仿宋" w:hAnsi="仿宋" w:eastAsia="仿宋"/>
          <w:bCs/>
          <w:color w:val="000000"/>
          <w:sz w:val="32"/>
          <w:szCs w:val="32"/>
        </w:rPr>
        <w:t>.</w:t>
      </w:r>
      <w:r>
        <w:rPr>
          <w:rStyle w:val="13"/>
          <w:rFonts w:hint="eastAsia" w:ascii="仿宋" w:hAnsi="仿宋" w:eastAsia="仿宋"/>
          <w:bCs/>
          <w:color w:val="000000"/>
          <w:sz w:val="32"/>
          <w:szCs w:val="32"/>
        </w:rPr>
        <w:t>社会保障和就业（类）行政事业单位养老支出（款）机关事业单位基本养老保险缴费支出（项）</w:t>
      </w:r>
      <w:r>
        <w:rPr>
          <w:rStyle w:val="13"/>
          <w:rFonts w:ascii="仿宋" w:hAnsi="仿宋" w:eastAsia="仿宋"/>
          <w:bCs/>
          <w:color w:val="000000"/>
          <w:sz w:val="32"/>
          <w:szCs w:val="32"/>
        </w:rPr>
        <w:t>:</w:t>
      </w:r>
      <w:r>
        <w:rPr>
          <w:rStyle w:val="13"/>
          <w:rFonts w:ascii="仿宋" w:hAnsi="仿宋" w:eastAsia="仿宋"/>
          <w:b w:val="0"/>
          <w:bCs/>
          <w:color w:val="000000"/>
          <w:sz w:val="32"/>
          <w:szCs w:val="32"/>
        </w:rPr>
        <w:t xml:space="preserve"> </w:t>
      </w:r>
      <w:r>
        <w:rPr>
          <w:rStyle w:val="13"/>
          <w:rFonts w:hint="eastAsia" w:ascii="仿宋" w:hAnsi="仿宋" w:eastAsia="仿宋"/>
          <w:b w:val="0"/>
          <w:bCs/>
          <w:color w:val="000000"/>
          <w:sz w:val="32"/>
          <w:szCs w:val="32"/>
        </w:rPr>
        <w:t>支出决算为</w:t>
      </w:r>
      <w:r>
        <w:rPr>
          <w:rStyle w:val="13"/>
          <w:rFonts w:hint="eastAsia" w:ascii="仿宋" w:hAnsi="仿宋" w:eastAsia="仿宋"/>
          <w:b w:val="0"/>
          <w:bCs/>
          <w:color w:val="000000"/>
          <w:sz w:val="32"/>
          <w:szCs w:val="32"/>
          <w:lang w:val="en-US" w:eastAsia="zh-CN"/>
        </w:rPr>
        <w:t>31.89</w:t>
      </w:r>
      <w:r>
        <w:rPr>
          <w:rStyle w:val="13"/>
          <w:rFonts w:hint="eastAsia" w:ascii="仿宋" w:hAnsi="仿宋" w:eastAsia="仿宋"/>
          <w:b w:val="0"/>
          <w:bCs/>
          <w:color w:val="000000"/>
          <w:sz w:val="32"/>
          <w:szCs w:val="32"/>
        </w:rPr>
        <w:t>万元，完成预算</w:t>
      </w:r>
      <w:r>
        <w:rPr>
          <w:rStyle w:val="13"/>
          <w:rFonts w:hint="eastAsia" w:ascii="仿宋" w:hAnsi="仿宋" w:eastAsia="仿宋"/>
          <w:b w:val="0"/>
          <w:bCs/>
          <w:color w:val="000000"/>
          <w:sz w:val="32"/>
          <w:szCs w:val="32"/>
          <w:lang w:val="en-US" w:eastAsia="zh-CN"/>
        </w:rPr>
        <w:t>90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，决算数小于预算数的主要原因是人员流动导致少缴养老保险。</w:t>
      </w:r>
    </w:p>
    <w:p>
      <w:pPr>
        <w:spacing w:line="600" w:lineRule="exact"/>
        <w:ind w:firstLine="643" w:firstLineChars="200"/>
        <w:rPr>
          <w:rFonts w:ascii="仿宋" w:hAnsi="仿宋" w:eastAsia="仿宋"/>
          <w:b/>
          <w:color w:val="000000"/>
          <w:sz w:val="32"/>
          <w:szCs w:val="32"/>
        </w:rPr>
      </w:pPr>
      <w:r>
        <w:rPr>
          <w:rStyle w:val="13"/>
          <w:rFonts w:hint="eastAsia" w:ascii="仿宋" w:hAnsi="仿宋" w:eastAsia="仿宋"/>
          <w:bCs/>
          <w:color w:val="000000"/>
          <w:sz w:val="32"/>
          <w:szCs w:val="32"/>
          <w:lang w:val="en-US" w:eastAsia="zh-CN"/>
        </w:rPr>
        <w:t>4</w:t>
      </w:r>
      <w:r>
        <w:rPr>
          <w:rStyle w:val="13"/>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3"/>
          <w:rFonts w:hint="eastAsia" w:ascii="仿宋" w:hAnsi="仿宋" w:eastAsia="仿宋"/>
          <w:bCs/>
          <w:color w:val="000000"/>
          <w:sz w:val="32"/>
          <w:szCs w:val="32"/>
        </w:rPr>
        <w:t>（类）行政事业单位医疗（款）行政单位医疗（项）</w:t>
      </w:r>
      <w:r>
        <w:rPr>
          <w:rStyle w:val="13"/>
          <w:rFonts w:ascii="仿宋" w:hAnsi="仿宋" w:eastAsia="仿宋"/>
          <w:bCs/>
          <w:color w:val="000000"/>
          <w:sz w:val="32"/>
          <w:szCs w:val="32"/>
        </w:rPr>
        <w:t>:</w:t>
      </w:r>
      <w:r>
        <w:rPr>
          <w:rStyle w:val="13"/>
          <w:rFonts w:hint="eastAsia" w:ascii="仿宋" w:hAnsi="仿宋" w:eastAsia="仿宋"/>
          <w:b w:val="0"/>
          <w:bCs/>
          <w:color w:val="000000"/>
          <w:sz w:val="32"/>
          <w:szCs w:val="32"/>
        </w:rPr>
        <w:t>支出决算为</w:t>
      </w:r>
      <w:r>
        <w:rPr>
          <w:rStyle w:val="13"/>
          <w:rFonts w:hint="eastAsia" w:ascii="仿宋" w:hAnsi="仿宋" w:eastAsia="仿宋"/>
          <w:b w:val="0"/>
          <w:bCs/>
          <w:color w:val="000000"/>
          <w:sz w:val="32"/>
          <w:szCs w:val="32"/>
          <w:lang w:val="en-US" w:eastAsia="zh-CN"/>
        </w:rPr>
        <w:t>11.91</w:t>
      </w:r>
      <w:r>
        <w:rPr>
          <w:rStyle w:val="13"/>
          <w:rFonts w:hint="eastAsia" w:ascii="仿宋" w:hAnsi="仿宋" w:eastAsia="仿宋"/>
          <w:b w:val="0"/>
          <w:bCs/>
          <w:color w:val="000000"/>
          <w:sz w:val="32"/>
          <w:szCs w:val="32"/>
        </w:rPr>
        <w:t>万元，完成预算</w:t>
      </w:r>
      <w:r>
        <w:rPr>
          <w:rStyle w:val="13"/>
          <w:rFonts w:hint="eastAsia" w:ascii="仿宋" w:hAnsi="仿宋" w:eastAsia="仿宋"/>
          <w:b w:val="0"/>
          <w:bCs/>
          <w:color w:val="000000"/>
          <w:sz w:val="32"/>
          <w:szCs w:val="32"/>
          <w:lang w:val="en-US" w:eastAsia="zh-CN"/>
        </w:rPr>
        <w:t>90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，决算数小于预算数的主要原因是人员流动导致少缴</w:t>
      </w:r>
      <w:r>
        <w:rPr>
          <w:rStyle w:val="13"/>
          <w:rFonts w:hint="eastAsia" w:ascii="仿宋" w:hAnsi="仿宋" w:eastAsia="仿宋"/>
          <w:b w:val="0"/>
          <w:bCs/>
          <w:color w:val="000000"/>
          <w:sz w:val="32"/>
          <w:szCs w:val="32"/>
          <w:lang w:val="en-US" w:eastAsia="zh-CN"/>
        </w:rPr>
        <w:t>医保</w:t>
      </w:r>
      <w:r>
        <w:rPr>
          <w:rStyle w:val="13"/>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70" w:name="_Toc15377214"/>
      <w:bookmarkStart w:id="71" w:name="_Toc14930"/>
      <w:bookmarkStart w:id="72" w:name="_Toc13574"/>
      <w:bookmarkStart w:id="73"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70"/>
      <w:bookmarkEnd w:id="71"/>
      <w:bookmarkEnd w:id="72"/>
      <w:bookmarkEnd w:id="73"/>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531.81</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255.94</w:t>
      </w:r>
      <w:r>
        <w:rPr>
          <w:rFonts w:hint="eastAsia" w:ascii="仿宋" w:hAnsi="仿宋" w:eastAsia="仿宋"/>
          <w:color w:val="000000"/>
          <w:sz w:val="32"/>
          <w:szCs w:val="32"/>
        </w:rPr>
        <w:t>万元，主要包括：基本工资、津贴补贴、机关事业单位基本养老保险缴费、职工基本医疗保险缴费</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其他社会保障缴费</w:t>
      </w:r>
      <w:r>
        <w:rPr>
          <w:rFonts w:hint="eastAsia" w:ascii="仿宋" w:hAnsi="仿宋" w:eastAsia="仿宋"/>
          <w:color w:val="000000"/>
          <w:sz w:val="32"/>
          <w:szCs w:val="32"/>
          <w:lang w:eastAsia="zh-CN"/>
        </w:rPr>
        <w:t>、奖励金、其他对个人和家庭的补助</w:t>
      </w:r>
      <w:r>
        <w:rPr>
          <w:rFonts w:hint="eastAsia" w:ascii="仿宋" w:hAnsi="仿宋" w:eastAsia="仿宋"/>
          <w:color w:val="000000"/>
          <w:sz w:val="32"/>
          <w:szCs w:val="32"/>
        </w:rPr>
        <w:t>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275.87</w:t>
      </w:r>
      <w:r>
        <w:rPr>
          <w:rFonts w:hint="eastAsia" w:ascii="仿宋" w:hAnsi="仿宋" w:eastAsia="仿宋"/>
          <w:color w:val="000000"/>
          <w:sz w:val="32"/>
          <w:szCs w:val="32"/>
        </w:rPr>
        <w:t>万元，主要包括：办公费、水费、邮电费、物业管理费、差旅费、维修（护）费、会议费、劳务费、工会经费、福利费、公务用车运行维护费、其他交通费等。</w:t>
      </w:r>
    </w:p>
    <w:p>
      <w:pPr>
        <w:numPr>
          <w:ilvl w:val="0"/>
          <w:numId w:val="3"/>
        </w:numPr>
        <w:spacing w:line="600" w:lineRule="exact"/>
        <w:ind w:firstLine="640"/>
        <w:rPr>
          <w:rStyle w:val="25"/>
          <w:rFonts w:hint="eastAsia" w:ascii="黑体" w:hAnsi="黑体" w:eastAsia="黑体"/>
          <w:b w:val="0"/>
          <w:bCs/>
        </w:rPr>
      </w:pPr>
      <w:bookmarkStart w:id="74" w:name="_Toc22246"/>
      <w:bookmarkStart w:id="75" w:name="_Toc32097"/>
      <w:r>
        <w:rPr>
          <w:rFonts w:hint="eastAsia" w:ascii="黑体" w:hAnsi="黑体" w:eastAsia="黑体"/>
          <w:b w:val="0"/>
          <w:bCs/>
          <w:color w:val="000000"/>
          <w:sz w:val="32"/>
          <w:szCs w:val="32"/>
        </w:rPr>
        <w:t>一</w:t>
      </w:r>
      <w:r>
        <w:rPr>
          <w:rStyle w:val="25"/>
          <w:rFonts w:hint="eastAsia" w:ascii="黑体" w:hAnsi="黑体" w:eastAsia="黑体"/>
          <w:b w:val="0"/>
          <w:bCs/>
        </w:rPr>
        <w:t>般公共预算财政拨款</w:t>
      </w:r>
      <w:r>
        <w:rPr>
          <w:rStyle w:val="25"/>
          <w:rFonts w:hint="eastAsia" w:ascii="黑体" w:hAnsi="黑体" w:eastAsia="黑体"/>
          <w:b w:val="0"/>
          <w:bCs/>
          <w:lang w:eastAsia="zh-CN"/>
        </w:rPr>
        <w:t>项目</w:t>
      </w:r>
      <w:r>
        <w:rPr>
          <w:rStyle w:val="25"/>
          <w:rFonts w:hint="eastAsia" w:ascii="黑体" w:hAnsi="黑体" w:eastAsia="黑体"/>
          <w:b w:val="0"/>
          <w:bCs/>
        </w:rPr>
        <w:t>支出决算情况说明</w:t>
      </w:r>
      <w:bookmarkEnd w:id="74"/>
      <w:bookmarkEnd w:id="75"/>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w:t>
      </w:r>
      <w:r>
        <w:rPr>
          <w:rFonts w:hint="eastAsia" w:ascii="仿宋" w:hAnsi="仿宋" w:eastAsia="仿宋"/>
          <w:color w:val="000000"/>
          <w:sz w:val="32"/>
          <w:szCs w:val="32"/>
          <w:lang w:eastAsia="zh-CN"/>
        </w:rPr>
        <w:t>项目</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383.07</w:t>
      </w:r>
      <w:r>
        <w:rPr>
          <w:rFonts w:hint="eastAsia" w:ascii="仿宋" w:hAnsi="仿宋" w:eastAsia="仿宋"/>
          <w:color w:val="000000"/>
          <w:sz w:val="32"/>
          <w:szCs w:val="32"/>
        </w:rPr>
        <w:t>万元，其中：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olor w:val="000000"/>
          <w:sz w:val="32"/>
          <w:szCs w:val="32"/>
          <w:lang w:val="en-US" w:eastAsia="zh-CN"/>
        </w:rPr>
      </w:pPr>
      <w:r>
        <w:rPr>
          <w:rFonts w:hint="eastAsia" w:ascii="仿宋_GB2312" w:hAnsi="仿宋_GB2312" w:eastAsia="仿宋_GB2312" w:cs="仿宋_GB2312"/>
          <w:sz w:val="32"/>
          <w:szCs w:val="32"/>
          <w:lang w:val="en-US" w:eastAsia="zh-CN"/>
        </w:rPr>
        <w:t>巡察专项经费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支出</w:t>
      </w:r>
      <w:r>
        <w:rPr>
          <w:rFonts w:hint="eastAsia" w:ascii="仿宋" w:hAnsi="仿宋" w:eastAsia="仿宋"/>
          <w:color w:val="000000"/>
          <w:sz w:val="32"/>
          <w:szCs w:val="32"/>
          <w:lang w:val="en-US" w:eastAsia="zh-CN"/>
        </w:rPr>
        <w:t>383.07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，主要用于：项目人员支出</w:t>
      </w:r>
      <w:r>
        <w:rPr>
          <w:rFonts w:hint="eastAsia" w:ascii="仿宋" w:hAnsi="仿宋" w:eastAsia="仿宋"/>
          <w:color w:val="000000"/>
          <w:sz w:val="32"/>
          <w:szCs w:val="32"/>
          <w:lang w:val="en-US" w:eastAsia="zh-CN"/>
        </w:rPr>
        <w:t>28.58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，包括</w:t>
      </w:r>
      <w:r>
        <w:rPr>
          <w:rFonts w:hint="eastAsia" w:ascii="仿宋" w:hAnsi="仿宋" w:eastAsia="仿宋"/>
          <w:color w:val="000000"/>
          <w:sz w:val="32"/>
          <w:szCs w:val="32"/>
        </w:rPr>
        <w:t>其他对个人和家庭的补助支出等</w:t>
      </w:r>
      <w:r>
        <w:rPr>
          <w:rFonts w:hint="eastAsia" w:ascii="仿宋" w:hAnsi="仿宋" w:eastAsia="仿宋"/>
          <w:color w:val="000000"/>
          <w:sz w:val="32"/>
          <w:szCs w:val="32"/>
          <w:lang w:eastAsia="zh-CN"/>
        </w:rPr>
        <w:t>；项目经费支出</w:t>
      </w:r>
      <w:r>
        <w:rPr>
          <w:rFonts w:hint="eastAsia" w:ascii="仿宋" w:hAnsi="仿宋" w:eastAsia="仿宋"/>
          <w:color w:val="000000"/>
          <w:sz w:val="32"/>
          <w:szCs w:val="32"/>
          <w:lang w:val="en-US" w:eastAsia="zh-CN"/>
        </w:rPr>
        <w:t>354.49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，包括</w:t>
      </w:r>
      <w:r>
        <w:rPr>
          <w:rFonts w:hint="eastAsia" w:ascii="仿宋" w:hAnsi="仿宋" w:eastAsia="仿宋"/>
          <w:color w:val="000000"/>
          <w:sz w:val="32"/>
          <w:szCs w:val="32"/>
        </w:rPr>
        <w:t>办公费、印刷费、邮电费、差旅费、培训费、劳务费、其他交通费、其他商品和服务支出、办公设备购置、信息网络及软件购置更新等</w:t>
      </w:r>
      <w:r>
        <w:rPr>
          <w:rFonts w:hint="eastAsia" w:ascii="仿宋" w:hAnsi="仿宋" w:eastAsia="仿宋"/>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olor w:val="000000"/>
          <w:sz w:val="32"/>
          <w:szCs w:val="32"/>
          <w:lang w:eastAsia="zh-CN"/>
        </w:rPr>
      </w:pPr>
    </w:p>
    <w:p>
      <w:pPr>
        <w:spacing w:line="600" w:lineRule="exact"/>
        <w:ind w:firstLine="640"/>
        <w:outlineLvl w:val="1"/>
        <w:rPr>
          <w:rStyle w:val="25"/>
          <w:rFonts w:ascii="黑体" w:hAnsi="黑体" w:eastAsia="黑体"/>
          <w:b w:val="0"/>
        </w:rPr>
      </w:pPr>
      <w:bookmarkStart w:id="76" w:name="_Toc15377215"/>
      <w:bookmarkStart w:id="77" w:name="_Toc12794"/>
      <w:bookmarkStart w:id="78" w:name="_Toc18519"/>
      <w:bookmarkStart w:id="79" w:name="_Toc15396609"/>
      <w:r>
        <w:rPr>
          <w:rFonts w:hint="eastAsia" w:ascii="黑体" w:eastAsia="黑体"/>
          <w:color w:val="000000"/>
          <w:sz w:val="32"/>
          <w:szCs w:val="32"/>
          <w:lang w:eastAsia="zh-CN"/>
        </w:rPr>
        <w:t>八</w:t>
      </w:r>
      <w:r>
        <w:rPr>
          <w:rFonts w:hint="eastAsia" w:ascii="黑体" w:eastAsia="黑体"/>
          <w:color w:val="000000"/>
          <w:sz w:val="32"/>
          <w:szCs w:val="32"/>
        </w:rPr>
        <w:t>、</w:t>
      </w:r>
      <w:r>
        <w:rPr>
          <w:rStyle w:val="25"/>
          <w:rFonts w:hint="eastAsia" w:ascii="黑体" w:hAnsi="黑体" w:eastAsia="黑体"/>
        </w:rPr>
        <w:t>“</w:t>
      </w:r>
      <w:r>
        <w:rPr>
          <w:rStyle w:val="25"/>
          <w:rFonts w:hint="eastAsia" w:ascii="黑体" w:hAnsi="黑体" w:eastAsia="黑体"/>
          <w:b w:val="0"/>
        </w:rPr>
        <w:t>三公”经费财政拨款支出决算情况说明</w:t>
      </w:r>
      <w:bookmarkEnd w:id="76"/>
      <w:bookmarkEnd w:id="77"/>
      <w:bookmarkEnd w:id="78"/>
      <w:bookmarkEnd w:id="79"/>
    </w:p>
    <w:p>
      <w:pPr>
        <w:spacing w:line="600" w:lineRule="exact"/>
        <w:ind w:firstLine="640"/>
        <w:outlineLvl w:val="2"/>
        <w:rPr>
          <w:rFonts w:hint="eastAsia" w:ascii="仿宋" w:hAnsi="仿宋" w:eastAsia="仿宋"/>
          <w:b/>
          <w:color w:val="000000"/>
          <w:sz w:val="32"/>
          <w:szCs w:val="32"/>
        </w:rPr>
      </w:pPr>
      <w:bookmarkStart w:id="80" w:name="_Toc19024"/>
      <w:bookmarkStart w:id="81" w:name="_Toc21376"/>
      <w:bookmarkStart w:id="82" w:name="_Toc15377216"/>
      <w:r>
        <w:rPr>
          <w:rFonts w:hint="eastAsia" w:ascii="仿宋" w:hAnsi="仿宋" w:eastAsia="仿宋"/>
          <w:b/>
          <w:color w:val="000000"/>
          <w:sz w:val="32"/>
          <w:szCs w:val="32"/>
        </w:rPr>
        <w:t>（一）“三公”经费财政拨款支出决算总体情况说明</w:t>
      </w:r>
      <w:bookmarkEnd w:id="80"/>
      <w:bookmarkEnd w:id="81"/>
      <w:bookmarkEnd w:id="82"/>
    </w:p>
    <w:p>
      <w:pPr>
        <w:spacing w:line="600" w:lineRule="exact"/>
        <w:ind w:firstLine="64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1</w:t>
      </w:r>
      <w:r>
        <w:rPr>
          <w:rFonts w:hint="eastAsia" w:ascii="仿宋" w:hAnsi="仿宋" w:eastAsia="仿宋" w:cs="Times New Roman"/>
          <w:color w:val="000000"/>
          <w:sz w:val="32"/>
          <w:szCs w:val="32"/>
        </w:rPr>
        <w:t>年“三公”经费财政拨款支出决算为</w:t>
      </w:r>
      <w:r>
        <w:rPr>
          <w:rFonts w:hint="eastAsia" w:ascii="仿宋" w:hAnsi="仿宋" w:eastAsia="仿宋" w:cs="Times New Roman"/>
          <w:color w:val="000000"/>
          <w:sz w:val="32"/>
          <w:szCs w:val="32"/>
          <w:lang w:val="en-US" w:eastAsia="zh-CN"/>
        </w:rPr>
        <w:t>3.</w:t>
      </w:r>
      <w:bookmarkStart w:id="195" w:name="_GoBack"/>
      <w:bookmarkEnd w:id="195"/>
      <w:r>
        <w:rPr>
          <w:rFonts w:hint="eastAsia" w:ascii="仿宋" w:hAnsi="仿宋" w:eastAsia="仿宋" w:cs="Times New Roman"/>
          <w:color w:val="000000"/>
          <w:sz w:val="32"/>
          <w:szCs w:val="32"/>
          <w:lang w:val="en-US" w:eastAsia="zh-CN"/>
        </w:rPr>
        <w:t>66</w:t>
      </w:r>
      <w:r>
        <w:rPr>
          <w:rFonts w:hint="eastAsia" w:ascii="仿宋" w:hAnsi="仿宋" w:eastAsia="仿宋" w:cs="Times New Roman"/>
          <w:color w:val="000000"/>
          <w:sz w:val="32"/>
          <w:szCs w:val="32"/>
        </w:rPr>
        <w:t>万元，完成预算</w:t>
      </w:r>
      <w:r>
        <w:rPr>
          <w:rFonts w:hint="eastAsia" w:ascii="仿宋" w:hAnsi="仿宋" w:eastAsia="仿宋" w:cs="Times New Roman"/>
          <w:color w:val="000000"/>
          <w:sz w:val="32"/>
          <w:szCs w:val="32"/>
          <w:lang w:val="en-US" w:eastAsia="zh-CN"/>
        </w:rPr>
        <w:t>44</w:t>
      </w:r>
      <w:r>
        <w:rPr>
          <w:rFonts w:hint="eastAsia" w:ascii="仿宋" w:hAnsi="仿宋" w:eastAsia="仿宋" w:cs="Times New Roman"/>
          <w:color w:val="000000"/>
          <w:sz w:val="32"/>
          <w:szCs w:val="32"/>
        </w:rPr>
        <w:t>%，比20</w:t>
      </w:r>
      <w:r>
        <w:rPr>
          <w:rFonts w:hint="eastAsia" w:ascii="仿宋" w:hAnsi="仿宋" w:eastAsia="仿宋" w:cs="Times New Roman"/>
          <w:color w:val="000000"/>
          <w:sz w:val="32"/>
          <w:szCs w:val="32"/>
          <w:lang w:val="en-US" w:eastAsia="zh-CN"/>
        </w:rPr>
        <w:t>20</w:t>
      </w:r>
      <w:r>
        <w:rPr>
          <w:rFonts w:hint="eastAsia" w:ascii="仿宋" w:hAnsi="仿宋" w:eastAsia="仿宋" w:cs="Times New Roman"/>
          <w:color w:val="000000"/>
          <w:sz w:val="32"/>
          <w:szCs w:val="32"/>
        </w:rPr>
        <w:t>年减少</w:t>
      </w:r>
      <w:r>
        <w:rPr>
          <w:rFonts w:hint="eastAsia" w:ascii="仿宋" w:hAnsi="仿宋" w:eastAsia="仿宋" w:cs="Times New Roman"/>
          <w:color w:val="000000"/>
          <w:sz w:val="32"/>
          <w:szCs w:val="32"/>
          <w:lang w:val="en-US" w:eastAsia="zh-CN"/>
        </w:rPr>
        <w:t>0.14</w:t>
      </w:r>
      <w:r>
        <w:rPr>
          <w:rFonts w:hint="eastAsia" w:ascii="仿宋" w:hAnsi="仿宋" w:eastAsia="仿宋" w:cs="Times New Roman"/>
          <w:color w:val="000000"/>
          <w:sz w:val="32"/>
          <w:szCs w:val="32"/>
        </w:rPr>
        <w:t>万元，下降</w:t>
      </w: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主要原因是</w:t>
      </w:r>
      <w:r>
        <w:rPr>
          <w:rFonts w:hint="eastAsia" w:ascii="仿宋" w:hAnsi="仿宋" w:eastAsia="仿宋" w:cs="Times New Roman"/>
          <w:color w:val="000000"/>
          <w:sz w:val="32"/>
          <w:szCs w:val="32"/>
          <w:lang w:val="en-US" w:eastAsia="zh-CN"/>
        </w:rPr>
        <w:t>进一步规范公务用车</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CN"/>
        </w:rPr>
        <w:t>严格按程序和规定标准进行公务接待。</w:t>
      </w:r>
      <w:r>
        <w:rPr>
          <w:rFonts w:hint="eastAsia" w:ascii="仿宋" w:hAnsi="仿宋" w:eastAsia="仿宋" w:cs="Times New Roman"/>
          <w:color w:val="000000"/>
          <w:sz w:val="32"/>
          <w:szCs w:val="32"/>
        </w:rPr>
        <w:t>决算数小于预算数的主要原因是</w:t>
      </w:r>
      <w:r>
        <w:rPr>
          <w:rFonts w:hint="eastAsia" w:ascii="仿宋" w:hAnsi="仿宋" w:eastAsia="仿宋" w:cs="Times New Roman"/>
          <w:color w:val="000000"/>
          <w:sz w:val="32"/>
          <w:szCs w:val="32"/>
          <w:lang w:val="en-US" w:eastAsia="zh-CN"/>
        </w:rPr>
        <w:t>进一步规范公务用车</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CN"/>
        </w:rPr>
        <w:t>严格按程序和规定标准进行公务接待</w:t>
      </w:r>
      <w:r>
        <w:rPr>
          <w:rFonts w:hint="eastAsia" w:ascii="仿宋" w:hAnsi="仿宋" w:eastAsia="仿宋" w:cs="Times New Roman"/>
          <w:color w:val="000000"/>
          <w:sz w:val="32"/>
          <w:szCs w:val="32"/>
        </w:rPr>
        <w:t>。</w:t>
      </w:r>
    </w:p>
    <w:p>
      <w:pPr>
        <w:spacing w:line="600" w:lineRule="exact"/>
        <w:ind w:firstLine="640"/>
        <w:outlineLvl w:val="2"/>
        <w:rPr>
          <w:rFonts w:hint="eastAsia" w:ascii="仿宋" w:hAnsi="仿宋" w:eastAsia="仿宋"/>
          <w:b/>
          <w:color w:val="000000"/>
          <w:sz w:val="32"/>
          <w:szCs w:val="32"/>
        </w:rPr>
      </w:pPr>
      <w:bookmarkStart w:id="83" w:name="_Toc15377217"/>
      <w:bookmarkStart w:id="84" w:name="_Toc28420"/>
      <w:bookmarkStart w:id="85" w:name="_Toc18201"/>
      <w:r>
        <w:rPr>
          <w:rFonts w:hint="eastAsia" w:ascii="仿宋" w:hAnsi="仿宋" w:eastAsia="仿宋"/>
          <w:b/>
          <w:color w:val="000000"/>
          <w:sz w:val="32"/>
          <w:szCs w:val="32"/>
        </w:rPr>
        <w:t>（二）“三公”经费财政拨款支出决算具体情况说明</w:t>
      </w:r>
      <w:bookmarkEnd w:id="83"/>
      <w:bookmarkEnd w:id="84"/>
      <w:bookmarkEnd w:id="85"/>
    </w:p>
    <w:p>
      <w:pPr>
        <w:pStyle w:val="2"/>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2021年“三公”经费财政拨款支出3.66万元，比2020年减少0.14万元，下降3%，主要原因是进一步规范公务用车，严格按程序和规定标准进行公务接待。其中：因公出国（境）费支出决算0万元，占0%；公务用车购置及运行维护费支出决算</w:t>
      </w:r>
      <w:r>
        <w:rPr>
          <w:rFonts w:hint="eastAsia" w:ascii="仿宋" w:hAnsi="仿宋" w:eastAsia="仿宋"/>
          <w:color w:val="000000"/>
          <w:sz w:val="32"/>
          <w:szCs w:val="32"/>
          <w:lang w:val="en-US" w:eastAsia="zh-CN"/>
        </w:rPr>
        <w:t>3.66</w:t>
      </w:r>
      <w:r>
        <w:rPr>
          <w:rFonts w:hint="eastAsia" w:ascii="仿宋" w:hAnsi="仿宋" w:eastAsia="仿宋" w:cs="Times New Roman"/>
          <w:color w:val="000000"/>
          <w:kern w:val="2"/>
          <w:sz w:val="32"/>
          <w:szCs w:val="32"/>
          <w:lang w:val="en-US" w:eastAsia="zh-CN" w:bidi="ar-SA"/>
        </w:rPr>
        <w:t>万元，占</w:t>
      </w:r>
      <w:r>
        <w:rPr>
          <w:rFonts w:hint="eastAsia" w:ascii="仿宋" w:hAnsi="仿宋" w:eastAsia="仿宋"/>
          <w:color w:val="000000"/>
          <w:sz w:val="32"/>
          <w:szCs w:val="32"/>
          <w:lang w:val="en-US" w:eastAsia="zh-CN"/>
        </w:rPr>
        <w:t>100</w:t>
      </w:r>
      <w:r>
        <w:rPr>
          <w:rFonts w:hint="eastAsia" w:ascii="仿宋" w:hAnsi="仿宋" w:eastAsia="仿宋" w:cs="Times New Roman"/>
          <w:color w:val="000000"/>
          <w:kern w:val="2"/>
          <w:sz w:val="32"/>
          <w:szCs w:val="32"/>
          <w:lang w:val="en-US" w:eastAsia="zh-CN" w:bidi="ar-SA"/>
        </w:rPr>
        <w:t>%；公务接待费支出决算0万元，占0%。具体情况如下：</w:t>
      </w:r>
    </w:p>
    <w:p>
      <w:pPr>
        <w:spacing w:line="240" w:lineRule="auto"/>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84700" cy="2755900"/>
            <wp:effectExtent l="0" t="0" r="6350" b="6350"/>
            <wp:docPr id="8" name="图片 8" descr="图7：“三公”经费财政拨款支出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7：“三公”经费财政拨款支出结构"/>
                    <pic:cNvPicPr>
                      <a:picLocks noChangeAspect="1"/>
                    </pic:cNvPicPr>
                  </pic:nvPicPr>
                  <pic:blipFill>
                    <a:blip r:embed="rId12"/>
                    <a:stretch>
                      <a:fillRect/>
                    </a:stretch>
                  </pic:blipFill>
                  <pic:spPr>
                    <a:xfrm>
                      <a:off x="0" y="0"/>
                      <a:ext cx="4584700" cy="2755900"/>
                    </a:xfrm>
                    <a:prstGeom prst="rect">
                      <a:avLst/>
                    </a:prstGeom>
                  </pic:spPr>
                </pic:pic>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3"/>
          <w:rFonts w:hint="eastAsia" w:ascii="仿宋" w:hAnsi="仿宋" w:eastAsia="仿宋"/>
          <w:b w:val="0"/>
          <w:bCs/>
          <w:color w:val="000000"/>
          <w:sz w:val="32"/>
          <w:szCs w:val="32"/>
        </w:rPr>
        <w:t>完成预算</w:t>
      </w:r>
      <w:r>
        <w:rPr>
          <w:rStyle w:val="13"/>
          <w:rFonts w:hint="eastAsia" w:ascii="仿宋" w:hAnsi="仿宋" w:eastAsia="仿宋"/>
          <w:b w:val="0"/>
          <w:bCs/>
          <w:color w:val="000000"/>
          <w:sz w:val="32"/>
          <w:szCs w:val="32"/>
          <w:lang w:val="en-US" w:eastAsia="zh-CN"/>
        </w:rPr>
        <w:t>100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w:t>
      </w:r>
      <w:r>
        <w:rPr>
          <w:rFonts w:hint="eastAsia" w:ascii="仿宋_GB2312" w:eastAsia="仿宋_GB2312"/>
          <w:color w:val="000000"/>
          <w:sz w:val="32"/>
          <w:szCs w:val="32"/>
          <w:lang w:val="en-US"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持平。</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人。因公出国（境）支出决算。因公出国（境）支出决算</w:t>
      </w:r>
      <w:r>
        <w:rPr>
          <w:rFonts w:hint="eastAsia" w:ascii="仿宋_GB2312" w:eastAsia="仿宋_GB2312"/>
          <w:color w:val="000000"/>
          <w:sz w:val="32"/>
          <w:szCs w:val="32"/>
          <w:lang w:val="en-US"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持平</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3.66</w:t>
      </w:r>
      <w:r>
        <w:rPr>
          <w:rFonts w:hint="eastAsia" w:ascii="仿宋_GB2312" w:eastAsia="仿宋_GB2312"/>
          <w:color w:val="000000"/>
          <w:sz w:val="32"/>
          <w:szCs w:val="32"/>
        </w:rPr>
        <w:t>万元,</w:t>
      </w:r>
      <w:r>
        <w:rPr>
          <w:rStyle w:val="13"/>
          <w:rFonts w:hint="eastAsia" w:ascii="仿宋" w:hAnsi="仿宋" w:eastAsia="仿宋"/>
          <w:b w:val="0"/>
          <w:bCs/>
          <w:color w:val="000000"/>
          <w:sz w:val="32"/>
          <w:szCs w:val="32"/>
        </w:rPr>
        <w:t>完成预算</w:t>
      </w:r>
      <w:r>
        <w:rPr>
          <w:rStyle w:val="13"/>
          <w:rFonts w:hint="eastAsia" w:ascii="仿宋" w:hAnsi="仿宋" w:eastAsia="仿宋"/>
          <w:b w:val="0"/>
          <w:bCs/>
          <w:color w:val="000000"/>
          <w:sz w:val="32"/>
          <w:szCs w:val="32"/>
          <w:lang w:val="en-US" w:eastAsia="zh-CN"/>
        </w:rPr>
        <w:t>99</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0.05</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进一步规范公务用车</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持平</w:t>
      </w:r>
      <w:r>
        <w:rPr>
          <w:rFonts w:hint="eastAsia" w:ascii="仿宋_GB2312" w:eastAsia="仿宋_GB2312"/>
          <w:color w:val="000000"/>
          <w:sz w:val="32"/>
          <w:szCs w:val="32"/>
        </w:rPr>
        <w:t>。</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3.66</w:t>
      </w:r>
      <w:r>
        <w:rPr>
          <w:rFonts w:hint="eastAsia" w:ascii="仿宋_GB2312" w:eastAsia="仿宋_GB2312"/>
          <w:color w:val="000000"/>
          <w:sz w:val="32"/>
          <w:szCs w:val="32"/>
        </w:rPr>
        <w:t>万元。比20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0.05</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进一步规范公务用车，</w:t>
      </w:r>
      <w:r>
        <w:rPr>
          <w:rFonts w:hint="eastAsia" w:ascii="仿宋_GB2312" w:eastAsia="仿宋_GB2312"/>
          <w:color w:val="000000"/>
          <w:sz w:val="32"/>
          <w:szCs w:val="32"/>
        </w:rPr>
        <w:t>主要用于</w:t>
      </w:r>
      <w:r>
        <w:rPr>
          <w:rFonts w:hint="eastAsia" w:ascii="仿宋_GB2312" w:eastAsia="仿宋_GB2312"/>
          <w:color w:val="000000"/>
          <w:sz w:val="32"/>
          <w:szCs w:val="32"/>
          <w:lang w:val="en-US" w:eastAsia="zh-CN"/>
        </w:rPr>
        <w:t>保障巡察工作</w:t>
      </w:r>
      <w:r>
        <w:rPr>
          <w:rFonts w:hint="eastAsia" w:ascii="仿宋_GB2312" w:eastAsia="仿宋_GB2312"/>
          <w:color w:val="000000"/>
          <w:sz w:val="32"/>
          <w:szCs w:val="32"/>
        </w:rPr>
        <w:t>等所需的公务用车燃料费、维修费、过路过桥费、保险费等支出。截至</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3"/>
          <w:rFonts w:hint="eastAsia" w:ascii="仿宋" w:hAnsi="仿宋" w:eastAsia="仿宋"/>
          <w:b w:val="0"/>
          <w:bCs/>
          <w:color w:val="000000"/>
          <w:sz w:val="32"/>
          <w:szCs w:val="32"/>
        </w:rPr>
        <w:t>完成预算</w:t>
      </w:r>
      <w:r>
        <w:rPr>
          <w:rStyle w:val="13"/>
          <w:rFonts w:hint="eastAsia" w:ascii="仿宋" w:hAnsi="仿宋" w:eastAsia="仿宋"/>
          <w:b w:val="0"/>
          <w:bCs/>
          <w:color w:val="000000"/>
          <w:sz w:val="32"/>
          <w:szCs w:val="32"/>
          <w:lang w:val="en-US" w:eastAsia="zh-CN"/>
        </w:rPr>
        <w:t>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年增减少</w:t>
      </w:r>
      <w:r>
        <w:rPr>
          <w:rFonts w:hint="eastAsia" w:ascii="仿宋_GB2312" w:eastAsia="仿宋_GB2312"/>
          <w:color w:val="000000"/>
          <w:sz w:val="32"/>
          <w:szCs w:val="32"/>
          <w:lang w:val="en-US" w:eastAsia="zh-CN"/>
        </w:rPr>
        <w:t>0.09</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Times New Roman" w:hAnsi="Times New Roman" w:eastAsia="方正仿宋简体" w:cs="方正仿宋简体"/>
          <w:color w:val="000000"/>
          <w:sz w:val="33"/>
          <w:szCs w:val="33"/>
          <w:highlight w:val="none"/>
          <w:lang w:eastAsia="zh-CN"/>
        </w:rPr>
        <w:t>认真</w:t>
      </w:r>
      <w:r>
        <w:rPr>
          <w:rFonts w:hint="eastAsia" w:ascii="Times New Roman" w:hAnsi="Times New Roman" w:eastAsia="方正仿宋_GBK"/>
          <w:color w:val="000000"/>
          <w:sz w:val="33"/>
          <w:szCs w:val="33"/>
          <w:highlight w:val="none"/>
        </w:rPr>
        <w:t>落实中央八项规定</w:t>
      </w:r>
      <w:r>
        <w:rPr>
          <w:rFonts w:hint="eastAsia" w:ascii="Times New Roman" w:hAnsi="Times New Roman" w:eastAsia="方正仿宋_GBK"/>
          <w:color w:val="000000"/>
          <w:sz w:val="33"/>
          <w:szCs w:val="33"/>
          <w:highlight w:val="none"/>
          <w:lang w:eastAsia="zh-CN"/>
        </w:rPr>
        <w:t>精神</w:t>
      </w:r>
      <w:r>
        <w:rPr>
          <w:rFonts w:hint="eastAsia" w:ascii="Times New Roman" w:hAnsi="Times New Roman" w:eastAsia="方正仿宋_GBK"/>
          <w:color w:val="000000"/>
          <w:sz w:val="33"/>
          <w:szCs w:val="33"/>
          <w:highlight w:val="none"/>
        </w:rPr>
        <w:t>，</w:t>
      </w:r>
      <w:r>
        <w:rPr>
          <w:rFonts w:hint="eastAsia" w:ascii="Times New Roman" w:hAnsi="Times New Roman" w:eastAsia="方正仿宋_GBK"/>
          <w:color w:val="000000"/>
          <w:sz w:val="33"/>
          <w:szCs w:val="33"/>
          <w:highlight w:val="none"/>
          <w:lang w:eastAsia="zh-CN"/>
        </w:rPr>
        <w:t>严格按程序和规定标准进行公务接待</w:t>
      </w:r>
      <w:r>
        <w:rPr>
          <w:rFonts w:hint="eastAsia" w:ascii="仿宋_GB2312" w:eastAsia="仿宋_GB2312"/>
          <w:color w:val="000000"/>
          <w:sz w:val="32"/>
          <w:szCs w:val="32"/>
        </w:rPr>
        <w:t>。其中：</w:t>
      </w:r>
    </w:p>
    <w:p>
      <w:pPr>
        <w:spacing w:line="600" w:lineRule="exact"/>
        <w:ind w:firstLine="640"/>
        <w:outlineLvl w:val="1"/>
        <w:rPr>
          <w:rFonts w:hint="eastAsia"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bookmarkStart w:id="86" w:name="_Toc15396610"/>
      <w:bookmarkStart w:id="87" w:name="_Toc15377218"/>
      <w:r>
        <w:rPr>
          <w:rFonts w:hint="eastAsia" w:ascii="仿宋_GB2312" w:eastAsia="仿宋_GB2312"/>
          <w:color w:val="000000"/>
          <w:sz w:val="32"/>
          <w:szCs w:val="32"/>
          <w:lang w:eastAsia="zh-CN"/>
        </w:rPr>
        <w:t>，比20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lang w:eastAsia="zh-CN"/>
        </w:rPr>
        <w:t>年增加</w:t>
      </w:r>
      <w:r>
        <w:rPr>
          <w:rFonts w:hint="eastAsia" w:ascii="仿宋_GB2312" w:eastAsia="仿宋_GB2312"/>
          <w:color w:val="000000"/>
          <w:sz w:val="32"/>
          <w:szCs w:val="32"/>
          <w:lang w:val="en-US" w:eastAsia="zh-CN"/>
        </w:rPr>
        <w:t>0.09</w:t>
      </w:r>
      <w:r>
        <w:rPr>
          <w:rFonts w:hint="eastAsia" w:ascii="仿宋_GB2312" w:eastAsia="仿宋_GB2312"/>
          <w:color w:val="000000"/>
          <w:sz w:val="32"/>
          <w:szCs w:val="32"/>
          <w:lang w:eastAsia="zh-CN"/>
        </w:rPr>
        <w:t>万元，下降</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lang w:eastAsia="zh-CN"/>
        </w:rPr>
        <w:t>%，主要原因是</w:t>
      </w:r>
      <w:r>
        <w:rPr>
          <w:rFonts w:hint="eastAsia" w:ascii="Times New Roman" w:hAnsi="Times New Roman" w:eastAsia="方正仿宋简体" w:cs="方正仿宋简体"/>
          <w:color w:val="000000"/>
          <w:sz w:val="33"/>
          <w:szCs w:val="33"/>
          <w:highlight w:val="none"/>
          <w:lang w:eastAsia="zh-CN"/>
        </w:rPr>
        <w:t>认真</w:t>
      </w:r>
      <w:r>
        <w:rPr>
          <w:rFonts w:hint="eastAsia" w:ascii="Times New Roman" w:hAnsi="Times New Roman" w:eastAsia="方正仿宋_GBK"/>
          <w:color w:val="000000"/>
          <w:sz w:val="33"/>
          <w:szCs w:val="33"/>
          <w:highlight w:val="none"/>
        </w:rPr>
        <w:t>落实中央八项规定</w:t>
      </w:r>
      <w:r>
        <w:rPr>
          <w:rFonts w:hint="eastAsia" w:ascii="Times New Roman" w:hAnsi="Times New Roman" w:eastAsia="方正仿宋_GBK"/>
          <w:color w:val="000000"/>
          <w:sz w:val="33"/>
          <w:szCs w:val="33"/>
          <w:highlight w:val="none"/>
          <w:lang w:eastAsia="zh-CN"/>
        </w:rPr>
        <w:t>精神</w:t>
      </w:r>
      <w:r>
        <w:rPr>
          <w:rFonts w:hint="eastAsia" w:ascii="Times New Roman" w:hAnsi="Times New Roman" w:eastAsia="方正仿宋_GBK"/>
          <w:color w:val="000000"/>
          <w:sz w:val="33"/>
          <w:szCs w:val="33"/>
          <w:highlight w:val="none"/>
        </w:rPr>
        <w:t>，</w:t>
      </w:r>
      <w:r>
        <w:rPr>
          <w:rFonts w:hint="eastAsia" w:ascii="Times New Roman" w:hAnsi="Times New Roman" w:eastAsia="方正仿宋_GBK"/>
          <w:color w:val="000000"/>
          <w:sz w:val="33"/>
          <w:szCs w:val="33"/>
          <w:highlight w:val="none"/>
          <w:lang w:eastAsia="zh-CN"/>
        </w:rPr>
        <w:t>严格按程序和规定标准进行公务接待</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人次，共计支</w:t>
      </w:r>
      <w:r>
        <w:rPr>
          <w:rFonts w:hint="eastAsia" w:ascii="仿宋_GB2312" w:hAnsi="Times New Roman" w:eastAsia="仿宋_GB2312" w:cs="Times New Roman"/>
          <w:color w:val="000000"/>
          <w:sz w:val="32"/>
          <w:szCs w:val="32"/>
        </w:rPr>
        <w:t>出</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万元。</w:t>
      </w:r>
    </w:p>
    <w:p>
      <w:pPr>
        <w:spacing w:line="600" w:lineRule="exact"/>
        <w:ind w:firstLine="643" w:firstLineChars="200"/>
        <w:rPr>
          <w:rFonts w:hint="eastAsia"/>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Times New Roman" w:eastAsia="仿宋_GB2312" w:cs="Times New Roman"/>
          <w:color w:val="000000"/>
          <w:sz w:val="32"/>
          <w:szCs w:val="32"/>
          <w:lang w:val="en-US" w:eastAsia="zh-CN"/>
        </w:rPr>
        <w:t>与</w:t>
      </w:r>
      <w:r>
        <w:rPr>
          <w:rFonts w:hint="eastAsia" w:ascii="仿宋_GB2312" w:hAnsi="Times New Roman" w:eastAsia="仿宋_GB2312" w:cs="Times New Roman"/>
          <w:color w:val="000000"/>
          <w:sz w:val="32"/>
          <w:szCs w:val="32"/>
        </w:rPr>
        <w:t>20</w:t>
      </w:r>
      <w:r>
        <w:rPr>
          <w:rFonts w:hint="eastAsia" w:ascii="仿宋_GB2312" w:hAnsi="Times New Roman" w:eastAsia="仿宋_GB2312" w:cs="Times New Roman"/>
          <w:color w:val="000000"/>
          <w:sz w:val="32"/>
          <w:szCs w:val="32"/>
          <w:lang w:val="en-US" w:eastAsia="zh-CN"/>
        </w:rPr>
        <w:t>20</w:t>
      </w:r>
      <w:r>
        <w:rPr>
          <w:rFonts w:hint="eastAsia" w:ascii="仿宋_GB2312" w:hAnsi="Times New Roman" w:eastAsia="仿宋_GB2312" w:cs="Times New Roman"/>
          <w:color w:val="000000"/>
          <w:sz w:val="32"/>
          <w:szCs w:val="32"/>
        </w:rPr>
        <w:t>年</w:t>
      </w:r>
      <w:r>
        <w:rPr>
          <w:rFonts w:hint="eastAsia" w:ascii="仿宋_GB2312" w:hAnsi="Times New Roman" w:eastAsia="仿宋_GB2312" w:cs="Times New Roman"/>
          <w:color w:val="000000"/>
          <w:sz w:val="32"/>
          <w:szCs w:val="32"/>
          <w:lang w:val="en-US" w:eastAsia="zh-CN"/>
        </w:rPr>
        <w:t>持平</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外</w:t>
      </w:r>
      <w:r>
        <w:rPr>
          <w:rFonts w:hint="eastAsia" w:ascii="仿宋_GB2312" w:eastAsia="仿宋_GB2312"/>
          <w:color w:val="000000" w:themeColor="text1"/>
          <w:sz w:val="32"/>
          <w:szCs w:val="32"/>
          <w14:textFill>
            <w14:solidFill>
              <w14:schemeClr w14:val="tx1"/>
            </w14:solidFill>
          </w14:textFill>
        </w:rPr>
        <w:t>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outlineLvl w:val="1"/>
        <w:rPr>
          <w:rStyle w:val="25"/>
          <w:rFonts w:ascii="黑体" w:hAnsi="黑体" w:eastAsia="黑体"/>
        </w:rPr>
      </w:pPr>
      <w:bookmarkStart w:id="88" w:name="_Toc21115"/>
      <w:bookmarkStart w:id="89" w:name="_Toc18300"/>
      <w:r>
        <w:rPr>
          <w:rFonts w:hint="eastAsia" w:ascii="黑体" w:eastAsia="黑体"/>
          <w:color w:val="000000"/>
          <w:sz w:val="32"/>
          <w:szCs w:val="32"/>
          <w:lang w:eastAsia="zh-CN"/>
        </w:rPr>
        <w:t>九</w:t>
      </w:r>
      <w:r>
        <w:rPr>
          <w:rFonts w:hint="eastAsia" w:ascii="黑体" w:eastAsia="黑体"/>
          <w:color w:val="000000"/>
          <w:sz w:val="32"/>
          <w:szCs w:val="32"/>
        </w:rPr>
        <w:t>、</w:t>
      </w:r>
      <w:r>
        <w:rPr>
          <w:rStyle w:val="25"/>
          <w:rFonts w:hint="eastAsia" w:ascii="黑体" w:hAnsi="黑体" w:eastAsia="黑体"/>
          <w:b w:val="0"/>
        </w:rPr>
        <w:t>政府性基金预算支出决算情况说明</w:t>
      </w:r>
      <w:bookmarkEnd w:id="86"/>
      <w:bookmarkEnd w:id="87"/>
      <w:bookmarkEnd w:id="88"/>
      <w:bookmarkEnd w:id="8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0"/>
        </w:numPr>
        <w:spacing w:line="600" w:lineRule="exact"/>
        <w:ind w:firstLine="640" w:firstLineChars="200"/>
        <w:outlineLvl w:val="1"/>
        <w:rPr>
          <w:rStyle w:val="25"/>
          <w:rFonts w:ascii="黑体" w:hAnsi="黑体" w:eastAsia="黑体"/>
          <w:b w:val="0"/>
        </w:rPr>
      </w:pPr>
      <w:bookmarkStart w:id="90" w:name="_Toc22282"/>
      <w:bookmarkStart w:id="91" w:name="_Toc29121"/>
      <w:bookmarkStart w:id="92" w:name="_Toc15377219"/>
      <w:bookmarkStart w:id="93" w:name="_Toc15396611"/>
      <w:r>
        <w:rPr>
          <w:rStyle w:val="25"/>
          <w:rFonts w:hint="eastAsia" w:ascii="黑体" w:hAnsi="黑体" w:eastAsia="黑体"/>
          <w:b w:val="0"/>
          <w:lang w:eastAsia="zh-CN"/>
        </w:rPr>
        <w:t>十、</w:t>
      </w:r>
      <w:r>
        <w:rPr>
          <w:rStyle w:val="25"/>
          <w:rFonts w:hint="eastAsia" w:ascii="黑体" w:hAnsi="黑体" w:eastAsia="黑体"/>
          <w:b w:val="0"/>
        </w:rPr>
        <w:t>国有资本经营预算支出决算情况说明</w:t>
      </w:r>
      <w:bookmarkEnd w:id="90"/>
      <w:bookmarkEnd w:id="91"/>
      <w:bookmarkEnd w:id="92"/>
      <w:bookmarkEnd w:id="9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left="0" w:leftChars="0" w:firstLine="640" w:firstLineChars="200"/>
        <w:outlineLvl w:val="1"/>
        <w:rPr>
          <w:rStyle w:val="25"/>
          <w:rFonts w:ascii="黑体" w:hAnsi="黑体" w:eastAsia="黑体"/>
        </w:rPr>
      </w:pPr>
      <w:bookmarkStart w:id="94" w:name="_Toc22383"/>
      <w:bookmarkStart w:id="95" w:name="_Toc13278"/>
      <w:bookmarkStart w:id="96" w:name="_Toc15377221"/>
      <w:bookmarkStart w:id="97" w:name="_Toc15396612"/>
      <w:r>
        <w:rPr>
          <w:rFonts w:hint="eastAsia" w:ascii="黑体" w:hAnsi="黑体" w:eastAsia="黑体"/>
          <w:color w:val="000000"/>
          <w:sz w:val="32"/>
          <w:szCs w:val="32"/>
        </w:rPr>
        <w:t>十</w:t>
      </w:r>
      <w:r>
        <w:rPr>
          <w:rFonts w:hint="eastAsia" w:ascii="黑体" w:hAnsi="黑体" w:eastAsia="黑体"/>
          <w:color w:val="000000"/>
          <w:sz w:val="32"/>
          <w:szCs w:val="32"/>
          <w:lang w:eastAsia="zh-CN"/>
        </w:rPr>
        <w:t>一</w:t>
      </w:r>
      <w:r>
        <w:rPr>
          <w:rStyle w:val="25"/>
          <w:rFonts w:hint="eastAsia" w:ascii="黑体" w:hAnsi="黑体" w:eastAsia="黑体"/>
        </w:rPr>
        <w:t>、</w:t>
      </w:r>
      <w:r>
        <w:rPr>
          <w:rStyle w:val="25"/>
          <w:rFonts w:hint="eastAsia" w:ascii="黑体" w:hAnsi="黑体" w:eastAsia="黑体"/>
          <w:b w:val="0"/>
        </w:rPr>
        <w:t>其他重要事项的情况说明</w:t>
      </w:r>
      <w:bookmarkEnd w:id="94"/>
      <w:bookmarkEnd w:id="95"/>
      <w:bookmarkEnd w:id="96"/>
      <w:bookmarkEnd w:id="97"/>
    </w:p>
    <w:p>
      <w:pPr>
        <w:spacing w:line="600" w:lineRule="exact"/>
        <w:ind w:firstLine="643" w:firstLineChars="200"/>
        <w:outlineLvl w:val="2"/>
        <w:rPr>
          <w:rFonts w:ascii="仿宋" w:hAnsi="仿宋" w:eastAsia="仿宋"/>
          <w:color w:val="000000"/>
          <w:sz w:val="32"/>
          <w:szCs w:val="32"/>
        </w:rPr>
      </w:pPr>
      <w:bookmarkStart w:id="98" w:name="_Toc6980"/>
      <w:bookmarkStart w:id="99" w:name="_Toc8491"/>
      <w:bookmarkStart w:id="100" w:name="_Toc15377222"/>
      <w:r>
        <w:rPr>
          <w:rFonts w:hint="eastAsia" w:ascii="仿宋" w:hAnsi="仿宋" w:eastAsia="仿宋"/>
          <w:b/>
          <w:color w:val="000000"/>
          <w:sz w:val="32"/>
          <w:szCs w:val="32"/>
        </w:rPr>
        <w:t>（一）机关运行经费支出情况</w:t>
      </w:r>
      <w:bookmarkEnd w:id="98"/>
      <w:bookmarkEnd w:id="99"/>
      <w:bookmarkEnd w:id="100"/>
    </w:p>
    <w:p>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市委巡察办</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275.87</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213.4</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341</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val="en-US" w:eastAsia="zh-CN"/>
          <w14:textFill>
            <w14:solidFill>
              <w14:schemeClr w14:val="tx1"/>
            </w14:solidFill>
          </w14:textFill>
        </w:rPr>
        <w:t>办公楼搬迁。</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1" w:name="_Toc15377223"/>
      <w:bookmarkStart w:id="102" w:name="_Toc18986"/>
      <w:bookmarkStart w:id="103" w:name="_Toc17411"/>
      <w:r>
        <w:rPr>
          <w:rFonts w:hint="eastAsia" w:ascii="仿宋" w:hAnsi="仿宋" w:eastAsia="仿宋"/>
          <w:b/>
          <w:color w:val="000000"/>
          <w:sz w:val="32"/>
          <w:szCs w:val="32"/>
        </w:rPr>
        <w:t>（二）政府采购支出情况</w:t>
      </w:r>
      <w:bookmarkEnd w:id="101"/>
      <w:bookmarkEnd w:id="102"/>
      <w:bookmarkEnd w:id="10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市委巡察办</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51.84</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51.84</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巡察工作</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51.84</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4" w:name="_Toc18992"/>
      <w:bookmarkStart w:id="105" w:name="_Toc15377224"/>
      <w:bookmarkStart w:id="106" w:name="_Toc12793"/>
      <w:r>
        <w:rPr>
          <w:rFonts w:hint="eastAsia" w:ascii="仿宋" w:hAnsi="仿宋" w:eastAsia="仿宋"/>
          <w:b/>
          <w:color w:val="000000"/>
          <w:sz w:val="32"/>
          <w:szCs w:val="32"/>
        </w:rPr>
        <w:t>（三）国有资产占有使用情况</w:t>
      </w:r>
      <w:bookmarkEnd w:id="104"/>
      <w:bookmarkEnd w:id="105"/>
      <w:bookmarkEnd w:id="106"/>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市委巡察办</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7" w:name="_Toc7870"/>
      <w:bookmarkStart w:id="108" w:name="_Toc3291"/>
      <w:r>
        <w:rPr>
          <w:rFonts w:hint="eastAsia" w:ascii="仿宋" w:hAnsi="仿宋" w:eastAsia="仿宋"/>
          <w:b/>
          <w:color w:val="000000"/>
          <w:sz w:val="32"/>
          <w:szCs w:val="32"/>
        </w:rPr>
        <w:t>（四）预算绩效管理情况。</w:t>
      </w:r>
      <w:bookmarkEnd w:id="107"/>
      <w:bookmarkEnd w:id="108"/>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根据预算绩效管理要求，本部单位在年初预算编制阶段，组织对</w:t>
      </w:r>
      <w:r>
        <w:rPr>
          <w:rFonts w:hint="eastAsia" w:ascii="仿宋_GB2312" w:hAnsi="仿宋_GB2312" w:eastAsia="仿宋_GB2312" w:cs="仿宋_GB2312"/>
          <w:sz w:val="32"/>
          <w:szCs w:val="32"/>
          <w:lang w:val="en-US" w:eastAsia="zh-CN"/>
        </w:rPr>
        <w:t>巡察专项经费</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个项目全部编制了绩效目标，预算执行过程中，对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个项目全部开展绩效监控，年终执行完毕后，对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个项目全部开展了绩效目标完成情况自评。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eastAsia="zh-CN"/>
        </w:rPr>
        <w:t>市委巡察办严格按预算实施，充分发挥</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lang w:eastAsia="zh-CN"/>
        </w:rPr>
        <w:t>各项资金的使用效益，达到预期绩效目标。</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val="en-US" w:eastAsia="zh-CN"/>
        </w:rPr>
        <w:t>巡察专项经费</w:t>
      </w:r>
      <w:r>
        <w:rPr>
          <w:rFonts w:hint="eastAsia" w:ascii="仿宋_GB2312" w:hAnsi="仿宋_GB2312" w:eastAsia="仿宋_GB2312" w:cs="仿宋_GB2312"/>
          <w:sz w:val="32"/>
          <w:szCs w:val="32"/>
          <w:lang w:val="zh-CN" w:eastAsia="zh-CN"/>
        </w:rPr>
        <w:t>严格执行财务管理制度，</w:t>
      </w:r>
      <w:r>
        <w:rPr>
          <w:rFonts w:hint="eastAsia" w:ascii="仿宋_GB2312" w:hAnsi="仿宋_GB2312" w:eastAsia="仿宋_GB2312" w:cs="仿宋_GB2312"/>
          <w:sz w:val="32"/>
          <w:szCs w:val="32"/>
          <w:lang w:eastAsia="zh-CN"/>
        </w:rPr>
        <w:t>达到预期绩效目标</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年度部门决算中反映反映“巡察专项经费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eastAsia="方正仿宋_GBK" w:cs="Times New Roman"/>
          <w:sz w:val="33"/>
          <w:szCs w:val="33"/>
          <w:lang w:val="en-US" w:eastAsia="zh-CN"/>
        </w:rPr>
      </w:pPr>
      <w:r>
        <w:rPr>
          <w:rFonts w:hint="eastAsia" w:ascii="仿宋_GB2312" w:hAnsi="仿宋_GB2312" w:eastAsia="仿宋_GB2312" w:cs="仿宋_GB2312"/>
          <w:sz w:val="32"/>
          <w:szCs w:val="32"/>
        </w:rPr>
        <w:t>巡察专项经费绩效目标完成情况综述。项目全年预算数</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zh-CN" w:eastAsia="zh-CN"/>
        </w:rPr>
        <w:t>3</w:t>
      </w:r>
      <w:r>
        <w:rPr>
          <w:rFonts w:hint="eastAsia" w:ascii="仿宋_GB2312" w:hAnsi="仿宋_GB2312" w:eastAsia="仿宋_GB2312" w:cs="仿宋_GB2312"/>
          <w:sz w:val="32"/>
          <w:szCs w:val="32"/>
          <w:lang w:val="en-US" w:eastAsia="zh-CN"/>
        </w:rPr>
        <w:t>83.07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rPr>
        <w:t>%。通过项目实施，把全面从严治党要求不折不扣贯彻到巡察工作各个方面，在五届市委任期内，实现对市委管理的部门、企事业单位党组织巡察全覆盖；督促指导县级党委全面落实主体责任，实现一届党委任期内巡察全覆盖，深化市、县党委巡察立体监督格局。发现的主要问题：</w:t>
      </w:r>
      <w:r>
        <w:rPr>
          <w:rFonts w:hint="eastAsia" w:ascii="Times New Roman" w:hAnsi="Times New Roman" w:eastAsia="方正仿宋_GBK" w:cs="Times New Roman"/>
          <w:sz w:val="33"/>
          <w:szCs w:val="33"/>
          <w:lang w:val="en-US" w:eastAsia="zh-CN"/>
        </w:rPr>
        <w:t>预算</w:t>
      </w:r>
      <w:r>
        <w:rPr>
          <w:rFonts w:hint="eastAsia" w:eastAsia="方正仿宋_GBK" w:cs="Times New Roman"/>
          <w:sz w:val="33"/>
          <w:szCs w:val="33"/>
          <w:lang w:val="en-US" w:eastAsia="zh-CN"/>
        </w:rPr>
        <w:t>编制和预算执行有偏差</w:t>
      </w:r>
      <w:r>
        <w:rPr>
          <w:rFonts w:hint="eastAsia" w:ascii="Times New Roman" w:hAnsi="Times New Roman" w:eastAsia="方正仿宋_GBK" w:cs="Times New Roman"/>
          <w:sz w:val="33"/>
          <w:szCs w:val="33"/>
          <w:lang w:val="en-US" w:eastAsia="zh-CN"/>
        </w:rPr>
        <w:t>。由于</w:t>
      </w:r>
      <w:r>
        <w:rPr>
          <w:rFonts w:hint="eastAsia" w:eastAsia="方正仿宋_GBK" w:cs="Times New Roman"/>
          <w:sz w:val="33"/>
          <w:szCs w:val="33"/>
          <w:lang w:val="en-US" w:eastAsia="zh-CN"/>
        </w:rPr>
        <w:t>2021年巡察任务加重，年初经费预算不足，导致中途预算追加，造成预决算之间的差异。</w:t>
      </w:r>
      <w:r>
        <w:rPr>
          <w:rFonts w:hint="eastAsia" w:ascii="仿宋_GB2312" w:hAnsi="仿宋_GB2312" w:eastAsia="仿宋_GB2312" w:cs="仿宋_GB2312"/>
          <w:sz w:val="32"/>
          <w:szCs w:val="32"/>
        </w:rPr>
        <w:t>下一步改进措施：</w:t>
      </w:r>
      <w:r>
        <w:rPr>
          <w:rFonts w:hint="eastAsia" w:eastAsia="方正仿宋_GBK" w:cs="Times New Roman"/>
          <w:sz w:val="33"/>
          <w:szCs w:val="33"/>
          <w:lang w:val="en-US" w:eastAsia="zh-CN"/>
        </w:rPr>
        <w:t>进一步强化预算管理意识，提升预算方案编制合理性。强化预算的刚性约束，凡事做到“先预算后开支”，重视对财政资金的追踪问效，提高财政资金的使用效益。</w:t>
      </w:r>
    </w:p>
    <w:tbl>
      <w:tblPr>
        <w:tblStyle w:val="15"/>
        <w:tblpPr w:leftFromText="180" w:rightFromText="180" w:vertAnchor="text" w:horzAnchor="page" w:tblpXSpec="center" w:tblpY="423"/>
        <w:tblOverlap w:val="never"/>
        <w:tblW w:w="9960" w:type="dxa"/>
        <w:jc w:val="center"/>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年度)</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巡察专项经费</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市委巡察办</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zh-CN" w:eastAsia="zh-CN"/>
              </w:rPr>
              <w:t>3</w:t>
            </w:r>
            <w:r>
              <w:rPr>
                <w:rFonts w:hint="eastAsia" w:ascii="宋体" w:hAnsi="宋体" w:cs="宋体"/>
                <w:color w:val="000000"/>
                <w:sz w:val="24"/>
                <w:lang w:val="en-US" w:eastAsia="zh-CN"/>
              </w:rPr>
              <w:t>83.07</w:t>
            </w:r>
          </w:p>
        </w:tc>
      </w:tr>
      <w:tr>
        <w:tblPrEx>
          <w:tblLayout w:type="fixed"/>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en-US" w:eastAsia="zh-CN"/>
              </w:rPr>
            </w:pPr>
            <w:r>
              <w:rPr>
                <w:rFonts w:hint="eastAsia" w:ascii="宋体" w:hAnsi="宋体" w:cs="宋体"/>
                <w:color w:val="000000"/>
                <w:sz w:val="24"/>
                <w:lang w:val="zh-CN" w:eastAsia="zh-CN"/>
              </w:rPr>
              <w:t>3</w:t>
            </w:r>
            <w:r>
              <w:rPr>
                <w:rFonts w:hint="eastAsia" w:ascii="宋体" w:hAnsi="宋体" w:cs="宋体"/>
                <w:color w:val="000000"/>
                <w:sz w:val="24"/>
                <w:lang w:val="en-US" w:eastAsia="zh-CN"/>
              </w:rPr>
              <w:t>83.07</w:t>
            </w:r>
          </w:p>
        </w:tc>
      </w:tr>
      <w:tr>
        <w:tblPrEx>
          <w:tblLayout w:type="fixed"/>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Layout w:type="fixed"/>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五届市委任期内，实现对市委管理的部门、企事业单位党组织巡察全覆盖;对重点领域、重点行业、重点人、重点事开展专项巡察;根据省厅要求参与帮扶巡察，按照全覆盖要求安排交叉巡察、提级巡察。提升巡察干部素质，开展全市巡察干部业务培训。</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202</w:t>
            </w:r>
            <w:r>
              <w:rPr>
                <w:rFonts w:hint="eastAsia" w:ascii="宋体" w:hAnsi="宋体" w:cs="宋体"/>
                <w:color w:val="000000"/>
                <w:sz w:val="24"/>
                <w:lang w:val="en-US" w:eastAsia="zh-CN"/>
              </w:rPr>
              <w:t>1</w:t>
            </w:r>
            <w:r>
              <w:rPr>
                <w:rFonts w:hint="eastAsia" w:ascii="宋体" w:hAnsi="宋体" w:cs="宋体"/>
                <w:color w:val="000000"/>
                <w:sz w:val="24"/>
                <w:lang w:val="zh-CN" w:eastAsia="zh-CN"/>
              </w:rPr>
              <w:t>年</w:t>
            </w:r>
            <w:r>
              <w:rPr>
                <w:rFonts w:hint="eastAsia" w:ascii="宋体" w:hAnsi="宋体" w:cs="宋体"/>
                <w:color w:val="000000"/>
                <w:sz w:val="24"/>
                <w:lang w:val="en-US" w:eastAsia="zh-CN"/>
              </w:rPr>
              <w:t>市委巡察机构共计开展3次</w:t>
            </w:r>
            <w:r>
              <w:rPr>
                <w:rFonts w:hint="eastAsia" w:ascii="宋体" w:hAnsi="宋体" w:cs="宋体"/>
                <w:color w:val="000000"/>
                <w:sz w:val="24"/>
                <w:lang w:val="zh-CN" w:eastAsia="zh-CN"/>
              </w:rPr>
              <w:t>巡察，</w:t>
            </w:r>
            <w:r>
              <w:rPr>
                <w:rFonts w:hint="eastAsia" w:ascii="宋体" w:hAnsi="宋体" w:cs="宋体"/>
                <w:color w:val="000000"/>
                <w:sz w:val="24"/>
                <w:lang w:val="en-US" w:eastAsia="zh-CN"/>
              </w:rPr>
              <w:t>一是开展了五届市委第九轮巡察，对17个单位开展常规巡察，对7个单位开展“回头看”，二是对全市森林防灭火工作开展机动式巡察，对6个县（市、区）换届风气开展专项巡察，三是对市本级涉粮单位、企业以及6个县（市、区）党委政府落实粮食安全主体责任情况开展粮食购销领域专项巡察，并指导督导6个县（市、区）巡察组开展交叉巡察。组织</w:t>
            </w:r>
            <w:r>
              <w:rPr>
                <w:rFonts w:ascii="宋体" w:hAnsi="宋体" w:cs="宋体"/>
                <w:color w:val="000000"/>
                <w:sz w:val="24"/>
              </w:rPr>
              <w:t>在</w:t>
            </w:r>
            <w:r>
              <w:rPr>
                <w:rFonts w:hint="eastAsia" w:ascii="宋体" w:hAnsi="宋体" w:cs="宋体"/>
                <w:color w:val="000000"/>
                <w:sz w:val="24"/>
                <w:lang w:val="en-US" w:eastAsia="zh-CN"/>
              </w:rPr>
              <w:t>小平干部学院</w:t>
            </w:r>
            <w:r>
              <w:rPr>
                <w:rFonts w:ascii="宋体" w:hAnsi="宋体" w:cs="宋体"/>
                <w:color w:val="000000"/>
                <w:sz w:val="24"/>
              </w:rPr>
              <w:t>举办巡察干部培训班</w:t>
            </w:r>
            <w:r>
              <w:rPr>
                <w:rFonts w:hint="eastAsia" w:ascii="宋体" w:hAnsi="宋体" w:cs="宋体"/>
                <w:color w:val="000000"/>
                <w:sz w:val="24"/>
                <w:lang w:eastAsia="zh-CN"/>
              </w:rPr>
              <w:t>。</w:t>
            </w:r>
            <w:r>
              <w:rPr>
                <w:rFonts w:hint="eastAsia" w:ascii="宋体" w:hAnsi="宋体" w:cs="宋体"/>
                <w:color w:val="000000"/>
                <w:sz w:val="24"/>
                <w:lang w:val="zh-CN" w:eastAsia="zh-CN"/>
              </w:rPr>
              <w:t>项目计划目标</w:t>
            </w:r>
            <w:r>
              <w:rPr>
                <w:rFonts w:hint="eastAsia" w:ascii="宋体" w:hAnsi="宋体" w:cs="宋体"/>
                <w:color w:val="000000"/>
                <w:sz w:val="24"/>
                <w:lang w:val="en-US" w:eastAsia="zh-CN"/>
              </w:rPr>
              <w:t>圆满</w:t>
            </w:r>
            <w:r>
              <w:rPr>
                <w:rFonts w:hint="eastAsia" w:ascii="宋体" w:hAnsi="宋体" w:cs="宋体"/>
                <w:color w:val="000000"/>
                <w:sz w:val="24"/>
                <w:lang w:val="zh-CN" w:eastAsia="zh-CN"/>
              </w:rPr>
              <w:t>完成。</w:t>
            </w:r>
          </w:p>
          <w:p>
            <w:pPr>
              <w:widowControl/>
              <w:jc w:val="center"/>
              <w:textAlignment w:val="center"/>
              <w:rPr>
                <w:rFonts w:ascii="宋体" w:hAnsi="宋体" w:cs="宋体"/>
                <w:color w:val="000000"/>
                <w:sz w:val="24"/>
              </w:rPr>
            </w:pPr>
          </w:p>
        </w:tc>
      </w:tr>
      <w:tr>
        <w:tblPrEx>
          <w:tblLayout w:type="fixed"/>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Layout w:type="fixed"/>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巡察次数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3次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3次</w:t>
            </w: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全市巡察干部培训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1次</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巡察覆盖率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培训成本控制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30万元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0"/>
                <w:szCs w:val="20"/>
                <w:u w:val="none"/>
                <w:lang w:val="en-US" w:eastAsia="zh-CN" w:bidi="ar"/>
              </w:rPr>
              <w:t>29.99万元</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2021年12月31日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2021年12月31日</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巡察期间成本控制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270万元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eastAsia="宋体" w:cs="宋体"/>
                <w:i w:val="0"/>
                <w:color w:val="000000"/>
                <w:kern w:val="0"/>
                <w:sz w:val="20"/>
                <w:szCs w:val="20"/>
                <w:u w:val="none"/>
                <w:lang w:val="en-US" w:eastAsia="zh-CN" w:bidi="ar"/>
              </w:rPr>
              <w:t>353.08万元</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参训率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被巡察单位整改率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100%</w:t>
            </w: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社会公众满意度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90%</w:t>
            </w:r>
          </w:p>
        </w:tc>
      </w:tr>
    </w:tbl>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年部门整体支出绩效评价情况开展自评，《202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市委巡察办</w:t>
      </w:r>
      <w:r>
        <w:rPr>
          <w:rFonts w:hint="eastAsia" w:ascii="仿宋_GB2312" w:hAnsi="仿宋_GB2312" w:eastAsia="仿宋_GB2312" w:cs="仿宋_GB2312"/>
          <w:sz w:val="32"/>
          <w:szCs w:val="32"/>
        </w:rPr>
        <w:t>整体支出绩效</w:t>
      </w:r>
      <w:r>
        <w:rPr>
          <w:rFonts w:hint="eastAsia" w:ascii="仿宋_GB2312" w:hAnsi="仿宋_GB2312" w:eastAsia="仿宋_GB2312" w:cs="仿宋_GB2312"/>
          <w:sz w:val="32"/>
          <w:szCs w:val="32"/>
          <w:lang w:val="en-US" w:eastAsia="zh-CN"/>
        </w:rPr>
        <w:t>自评</w:t>
      </w:r>
      <w:r>
        <w:rPr>
          <w:rFonts w:hint="eastAsia" w:ascii="仿宋_GB2312" w:hAnsi="仿宋_GB2312" w:eastAsia="仿宋_GB2312" w:cs="仿宋_GB2312"/>
          <w:sz w:val="32"/>
          <w:szCs w:val="32"/>
        </w:rPr>
        <w:t>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巡察经费项目</w:t>
      </w:r>
      <w:r>
        <w:rPr>
          <w:rFonts w:hint="eastAsia" w:ascii="仿宋_GB2312" w:hAnsi="仿宋_GB2312" w:eastAsia="仿宋_GB2312" w:cs="仿宋_GB2312"/>
          <w:sz w:val="32"/>
          <w:szCs w:val="32"/>
        </w:rPr>
        <w:t>开展了绩效评价，《202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市委巡察办</w:t>
      </w:r>
      <w:r>
        <w:rPr>
          <w:rFonts w:hint="eastAsia" w:ascii="仿宋_GB2312" w:hAnsi="仿宋_GB2312" w:eastAsia="仿宋_GB2312" w:cs="仿宋_GB2312"/>
          <w:sz w:val="32"/>
          <w:szCs w:val="32"/>
        </w:rPr>
        <w:t>项目支出绩效自评报告》见附件（附件2）。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109" w:name="_Toc15377225"/>
      <w:bookmarkStart w:id="110" w:name="_Toc15396613"/>
      <w:bookmarkStart w:id="111" w:name="_Toc4673"/>
      <w:bookmarkStart w:id="112" w:name="_Toc10236"/>
      <w:r>
        <w:rPr>
          <w:rFonts w:hint="eastAsia" w:ascii="黑体" w:hAnsi="黑体" w:eastAsia="黑体"/>
          <w:color w:val="000000"/>
          <w:sz w:val="44"/>
          <w:szCs w:val="44"/>
        </w:rPr>
        <w:t>名</w:t>
      </w:r>
      <w:r>
        <w:rPr>
          <w:rStyle w:val="24"/>
          <w:rFonts w:hint="eastAsia" w:ascii="黑体" w:hAnsi="黑体" w:eastAsia="黑体"/>
          <w:b w:val="0"/>
        </w:rPr>
        <w:t>词解释</w:t>
      </w:r>
      <w:bookmarkEnd w:id="109"/>
      <w:bookmarkEnd w:id="110"/>
      <w:bookmarkEnd w:id="111"/>
      <w:bookmarkEnd w:id="112"/>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pStyle w:val="22"/>
        <w:pageBreakBefore w:val="0"/>
        <w:kinsoku/>
        <w:topLinePunct w:val="0"/>
        <w:bidi w:val="0"/>
        <w:spacing w:line="590" w:lineRule="exact"/>
        <w:ind w:firstLine="640" w:firstLineChars="200"/>
        <w:jc w:val="both"/>
        <w:rPr>
          <w:rFonts w:hint="eastAsia" w:ascii="Times New Roman" w:hAnsi="Times New Roman" w:eastAsia="方正仿宋_GBK"/>
          <w:sz w:val="33"/>
          <w:szCs w:val="33"/>
        </w:rPr>
      </w:pPr>
      <w:r>
        <w:rPr>
          <w:rFonts w:hint="eastAsia" w:ascii="仿宋_GB2312" w:eastAsia="仿宋_GB2312"/>
          <w:color w:val="000000"/>
          <w:sz w:val="32"/>
          <w:szCs w:val="32"/>
          <w:lang w:val="en-US" w:eastAsia="zh-CN"/>
        </w:rPr>
        <w:t>4、</w:t>
      </w:r>
      <w:r>
        <w:rPr>
          <w:rFonts w:hint="eastAsia" w:ascii="Times New Roman" w:hAnsi="Times New Roman" w:eastAsia="方正仿宋_GBK"/>
          <w:sz w:val="33"/>
          <w:szCs w:val="33"/>
        </w:rPr>
        <w:t>一般公共服务（类）</w:t>
      </w:r>
      <w:r>
        <w:rPr>
          <w:rFonts w:hint="eastAsia" w:ascii="Times New Roman" w:hAnsi="Times New Roman" w:eastAsia="方正仿宋_GBK"/>
          <w:sz w:val="33"/>
          <w:szCs w:val="33"/>
          <w:lang w:val="en-US" w:eastAsia="zh-CN"/>
        </w:rPr>
        <w:t>纪检监察事务</w:t>
      </w:r>
      <w:r>
        <w:rPr>
          <w:rFonts w:hint="eastAsia" w:ascii="Times New Roman" w:hAnsi="Times New Roman" w:eastAsia="方正仿宋_GBK"/>
          <w:sz w:val="33"/>
          <w:szCs w:val="33"/>
        </w:rPr>
        <w:t>（款）行政运行（项）：指行政单位（包括实行公务员管理的事业单位）的基本支出。</w:t>
      </w:r>
    </w:p>
    <w:p>
      <w:pPr>
        <w:pageBreakBefore w:val="0"/>
        <w:kinsoku/>
        <w:topLinePunct w:val="0"/>
        <w:bidi w:val="0"/>
        <w:spacing w:line="59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6.</w:t>
      </w:r>
      <w:r>
        <w:rPr>
          <w:rFonts w:hint="eastAsia" w:ascii="Times New Roman" w:hAnsi="Times New Roman" w:eastAsia="方正仿宋_GBK"/>
          <w:sz w:val="33"/>
          <w:szCs w:val="33"/>
        </w:rPr>
        <w:t>一般公共服务（类）</w:t>
      </w:r>
      <w:r>
        <w:rPr>
          <w:rFonts w:hint="eastAsia" w:ascii="Times New Roman" w:hAnsi="Times New Roman" w:eastAsia="方正仿宋_GBK"/>
          <w:sz w:val="33"/>
          <w:szCs w:val="33"/>
          <w:lang w:val="en-US" w:eastAsia="zh-CN"/>
        </w:rPr>
        <w:t>纪检监察事务</w:t>
      </w:r>
      <w:r>
        <w:rPr>
          <w:rFonts w:hint="eastAsia" w:ascii="Times New Roman" w:hAnsi="Times New Roman" w:eastAsia="方正仿宋_GBK"/>
          <w:sz w:val="33"/>
          <w:szCs w:val="33"/>
        </w:rPr>
        <w:t>（款）一般行政管理事务（项）：指开展专项工作的项目支出</w:t>
      </w:r>
      <w:r>
        <w:rPr>
          <w:rFonts w:hint="eastAsia" w:ascii="Times New Roman" w:hAnsi="Times New Roman" w:eastAsia="仿宋_GB2312"/>
          <w:color w:val="000000"/>
          <w:sz w:val="32"/>
          <w:szCs w:val="32"/>
        </w:rPr>
        <w:t>。</w:t>
      </w:r>
    </w:p>
    <w:p>
      <w:pPr>
        <w:pStyle w:val="22"/>
        <w:pageBreakBefore w:val="0"/>
        <w:kinsoku/>
        <w:topLinePunct w:val="0"/>
        <w:bidi w:val="0"/>
        <w:spacing w:line="590" w:lineRule="exact"/>
        <w:ind w:firstLine="660" w:firstLineChars="200"/>
        <w:jc w:val="both"/>
        <w:rPr>
          <w:rFonts w:hint="eastAsia" w:ascii="Times New Roman" w:hAnsi="Times New Roman" w:eastAsia="方正仿宋_GBK" w:cs="仿宋"/>
          <w:color w:val="000000"/>
          <w:kern w:val="0"/>
          <w:sz w:val="33"/>
          <w:szCs w:val="33"/>
          <w:lang w:val="en-US" w:eastAsia="zh-CN" w:bidi="ar-SA"/>
        </w:rPr>
      </w:pPr>
      <w:r>
        <w:rPr>
          <w:rFonts w:hint="eastAsia" w:eastAsia="方正仿宋_GBK" w:cs="仿宋"/>
          <w:color w:val="000000"/>
          <w:kern w:val="0"/>
          <w:sz w:val="33"/>
          <w:szCs w:val="33"/>
          <w:lang w:val="en-US" w:eastAsia="zh-CN" w:bidi="ar-SA"/>
        </w:rPr>
        <w:t>7</w:t>
      </w:r>
      <w:r>
        <w:rPr>
          <w:rFonts w:hint="eastAsia" w:ascii="Times New Roman" w:hAnsi="Times New Roman" w:eastAsia="方正仿宋_GBK" w:cs="仿宋"/>
          <w:color w:val="000000"/>
          <w:kern w:val="0"/>
          <w:sz w:val="33"/>
          <w:szCs w:val="33"/>
          <w:lang w:val="en-US" w:eastAsia="zh-CN" w:bidi="ar-SA"/>
        </w:rPr>
        <w:t xml:space="preserve">.社会保障和就业（类）行政事业单位养老支出（款）机关事业单位基本养老保险缴费支出（项）: </w:t>
      </w:r>
      <w:r>
        <w:rPr>
          <w:rFonts w:hint="eastAsia" w:ascii="Times New Roman" w:hAnsi="Times New Roman" w:eastAsia="方正仿宋_GBK"/>
          <w:sz w:val="33"/>
          <w:szCs w:val="33"/>
        </w:rPr>
        <w:t>指机关事业单位实施养老保险制度由单位缴纳的基本养老保险费支出。</w:t>
      </w:r>
    </w:p>
    <w:p>
      <w:pPr>
        <w:pStyle w:val="22"/>
        <w:pageBreakBefore w:val="0"/>
        <w:kinsoku/>
        <w:topLinePunct w:val="0"/>
        <w:bidi w:val="0"/>
        <w:spacing w:line="590" w:lineRule="exact"/>
        <w:ind w:firstLine="660" w:firstLineChars="200"/>
        <w:jc w:val="both"/>
        <w:rPr>
          <w:rFonts w:hint="eastAsia" w:ascii="Times New Roman" w:hAnsi="Times New Roman" w:eastAsia="方正仿宋_GBK" w:cs="仿宋"/>
          <w:color w:val="000000"/>
          <w:kern w:val="0"/>
          <w:sz w:val="33"/>
          <w:szCs w:val="33"/>
          <w:lang w:val="en-US" w:eastAsia="zh-CN" w:bidi="ar-SA"/>
        </w:rPr>
      </w:pPr>
      <w:r>
        <w:rPr>
          <w:rFonts w:hint="eastAsia" w:eastAsia="方正仿宋_GBK" w:cs="仿宋"/>
          <w:color w:val="000000"/>
          <w:kern w:val="0"/>
          <w:sz w:val="33"/>
          <w:szCs w:val="33"/>
          <w:lang w:val="en-US" w:eastAsia="zh-CN" w:bidi="ar-SA"/>
        </w:rPr>
        <w:t>8</w:t>
      </w:r>
      <w:r>
        <w:rPr>
          <w:rFonts w:hint="eastAsia" w:ascii="Times New Roman" w:hAnsi="Times New Roman" w:eastAsia="方正仿宋_GBK" w:cs="仿宋"/>
          <w:color w:val="000000"/>
          <w:kern w:val="0"/>
          <w:sz w:val="33"/>
          <w:szCs w:val="33"/>
          <w:lang w:val="en-US" w:eastAsia="zh-CN" w:bidi="ar-SA"/>
        </w:rPr>
        <w:t>.卫生健康（类）行政事业单位医疗（款）行政单位医疗（项）:</w:t>
      </w:r>
      <w:r>
        <w:rPr>
          <w:rFonts w:hint="eastAsia" w:ascii="Times New Roman" w:hAnsi="Times New Roman" w:eastAsia="方正仿宋_GBK"/>
          <w:sz w:val="33"/>
          <w:szCs w:val="33"/>
        </w:rPr>
        <w:t>指行政单位（包括实行公务员管理的事业单位）基本医疗保障缴费经费，未参加医疗保险的行政单位工费医疗经费，按国家规定享受离休人员、红军、老战士待遇人员的医疗经费。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113" w:name="_Toc15377226"/>
      <w:r>
        <w:rPr>
          <w:rFonts w:ascii="宋体"/>
          <w:b/>
          <w:color w:val="000000"/>
          <w:sz w:val="44"/>
          <w:szCs w:val="44"/>
        </w:rPr>
        <w:br w:type="page"/>
      </w:r>
      <w:bookmarkStart w:id="114" w:name="_Toc12518"/>
      <w:bookmarkStart w:id="115" w:name="_Toc15396614"/>
      <w:bookmarkStart w:id="116" w:name="_Toc24062"/>
      <w:r>
        <w:rPr>
          <w:rFonts w:hint="eastAsia" w:ascii="黑体" w:hAnsi="黑体" w:eastAsia="黑体"/>
          <w:color w:val="000000"/>
          <w:sz w:val="44"/>
          <w:szCs w:val="44"/>
        </w:rPr>
        <w:t>第</w:t>
      </w:r>
      <w:r>
        <w:rPr>
          <w:rStyle w:val="24"/>
          <w:rFonts w:hint="eastAsia" w:ascii="黑体" w:hAnsi="黑体" w:eastAsia="黑体"/>
          <w:b w:val="0"/>
        </w:rPr>
        <w:t>四部分 附件</w:t>
      </w:r>
      <w:bookmarkEnd w:id="114"/>
      <w:bookmarkEnd w:id="115"/>
      <w:bookmarkEnd w:id="116"/>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widowControl/>
        <w:spacing w:line="580" w:lineRule="exact"/>
        <w:contextualSpacing/>
        <w:jc w:val="center"/>
        <w:rPr>
          <w:rFonts w:ascii="方正小标宋_GBK" w:eastAsia="方正小标宋_GBK"/>
          <w:sz w:val="44"/>
          <w:szCs w:val="44"/>
          <w:shd w:val="clear" w:color="auto" w:fill="FFFFFF"/>
        </w:rPr>
      </w:pPr>
      <w:bookmarkStart w:id="117" w:name="_Toc17243"/>
      <w:bookmarkStart w:id="118" w:name="_Toc17843"/>
      <w:r>
        <w:rPr>
          <w:rFonts w:hint="eastAsia" w:ascii="方正小标宋_GBK" w:hAnsi="宋体" w:eastAsia="方正小标宋_GBK"/>
          <w:sz w:val="44"/>
          <w:szCs w:val="44"/>
          <w:shd w:val="clear" w:color="auto" w:fill="FFFFFF"/>
        </w:rPr>
        <w:t>202</w:t>
      </w:r>
      <w:r>
        <w:rPr>
          <w:rFonts w:hint="eastAsia" w:ascii="方正小标宋_GBK" w:hAnsi="宋体" w:eastAsia="方正小标宋_GBK"/>
          <w:sz w:val="44"/>
          <w:szCs w:val="44"/>
          <w:shd w:val="clear" w:color="auto" w:fill="FFFFFF"/>
          <w:lang w:val="en-US" w:eastAsia="zh-CN"/>
        </w:rPr>
        <w:t>1</w:t>
      </w:r>
      <w:r>
        <w:rPr>
          <w:rFonts w:hint="eastAsia" w:ascii="方正小标宋_GBK" w:hAnsi="宋体" w:eastAsia="方正小标宋_GBK"/>
          <w:sz w:val="44"/>
          <w:szCs w:val="44"/>
          <w:shd w:val="clear" w:color="auto" w:fill="FFFFFF"/>
        </w:rPr>
        <w:t>年</w:t>
      </w:r>
      <w:r>
        <w:rPr>
          <w:rFonts w:hint="eastAsia" w:ascii="方正小标宋_GBK" w:hAnsi="宋体" w:eastAsia="方正小标宋_GBK"/>
          <w:sz w:val="44"/>
          <w:szCs w:val="44"/>
          <w:shd w:val="clear" w:color="auto" w:fill="FFFFFF"/>
          <w:lang w:val="en-US" w:eastAsia="zh-CN"/>
        </w:rPr>
        <w:t>市委巡察办</w:t>
      </w:r>
      <w:r>
        <w:rPr>
          <w:rFonts w:hint="eastAsia" w:ascii="方正小标宋_GBK" w:hAnsi="宋体" w:eastAsia="方正小标宋_GBK"/>
          <w:sz w:val="44"/>
          <w:szCs w:val="44"/>
          <w:shd w:val="clear" w:color="auto" w:fill="FFFFFF"/>
        </w:rPr>
        <w:t>整体支出绩效</w:t>
      </w:r>
      <w:r>
        <w:rPr>
          <w:rFonts w:hint="eastAsia" w:ascii="方正小标宋_GBK" w:hAnsi="宋体" w:eastAsia="方正小标宋_GBK"/>
          <w:sz w:val="44"/>
          <w:szCs w:val="44"/>
          <w:shd w:val="clear" w:color="auto" w:fill="FFFFFF"/>
          <w:lang w:val="en-US" w:eastAsia="zh-CN"/>
        </w:rPr>
        <w:t>自评</w:t>
      </w:r>
      <w:r>
        <w:rPr>
          <w:rFonts w:hint="eastAsia" w:ascii="方正小标宋_GBK" w:hAnsi="宋体" w:eastAsia="方正小标宋_GBK"/>
          <w:sz w:val="44"/>
          <w:szCs w:val="44"/>
          <w:shd w:val="clear" w:color="auto" w:fill="FFFFFF"/>
        </w:rPr>
        <w:t>报告</w:t>
      </w:r>
      <w:bookmarkEnd w:id="117"/>
      <w:bookmarkEnd w:id="118"/>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pPr>
        <w:widowControl/>
        <w:adjustRightInd w:val="0"/>
        <w:snapToGrid w:val="0"/>
        <w:spacing w:line="580" w:lineRule="exact"/>
        <w:ind w:firstLine="660" w:firstLineChars="200"/>
        <w:contextualSpacing/>
        <w:jc w:val="left"/>
        <w:rPr>
          <w:rFonts w:ascii="方正黑体_GBK" w:hAnsi="宋体" w:eastAsia="方正黑体_GBK" w:cs="宋体"/>
          <w:color w:val="000000"/>
          <w:kern w:val="0"/>
          <w:sz w:val="33"/>
          <w:szCs w:val="33"/>
          <w:shd w:val="clear" w:color="auto" w:fill="FFFFFF"/>
          <w:lang w:val="zh-CN"/>
        </w:rPr>
      </w:pPr>
      <w:bookmarkStart w:id="119" w:name="_Toc29432"/>
      <w:bookmarkStart w:id="120" w:name="_Toc20885"/>
      <w:r>
        <w:rPr>
          <w:rFonts w:hint="eastAsia" w:ascii="方正黑体_GBK" w:hAnsi="宋体" w:eastAsia="方正黑体_GBK" w:cs="宋体"/>
          <w:color w:val="000000"/>
          <w:kern w:val="0"/>
          <w:sz w:val="33"/>
          <w:szCs w:val="33"/>
          <w:shd w:val="clear" w:color="auto" w:fill="FFFFFF"/>
        </w:rPr>
        <w:t>一、</w:t>
      </w:r>
      <w:r>
        <w:rPr>
          <w:rFonts w:hint="eastAsia" w:ascii="方正黑体_GBK" w:hAnsi="宋体" w:eastAsia="方正黑体_GBK" w:cs="宋体"/>
          <w:color w:val="000000"/>
          <w:kern w:val="0"/>
          <w:sz w:val="33"/>
          <w:szCs w:val="33"/>
          <w:shd w:val="clear" w:color="auto" w:fill="FFFFFF"/>
          <w:lang w:val="zh-CN"/>
        </w:rPr>
        <w:t>部门（单位）概况</w:t>
      </w:r>
      <w:bookmarkEnd w:id="119"/>
      <w:bookmarkEnd w:id="12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default" w:ascii="仿宋" w:hAnsi="仿宋" w:eastAsia="仿宋" w:cs="仿宋"/>
          <w:i w:val="0"/>
          <w:caps w:val="0"/>
          <w:color w:val="333333"/>
          <w:spacing w:val="0"/>
          <w:sz w:val="32"/>
          <w:szCs w:val="32"/>
        </w:rPr>
      </w:pPr>
      <w:r>
        <w:rPr>
          <w:rFonts w:hint="eastAsia" w:ascii="方正仿宋_GBK" w:hAnsi="宋体" w:eastAsia="方正仿宋_GBK" w:cs="宋体"/>
          <w:color w:val="000000"/>
          <w:kern w:val="0"/>
          <w:sz w:val="33"/>
          <w:szCs w:val="33"/>
          <w:shd w:val="clear" w:color="auto" w:fill="FFFFFF"/>
          <w:lang w:val="zh-CN"/>
        </w:rPr>
        <w:t>（一）机构组成。</w:t>
      </w:r>
      <w:r>
        <w:rPr>
          <w:rFonts w:ascii="仿宋_GB2312" w:hAnsi="宋体" w:eastAsia="仿宋_GB2312" w:cs="仿宋_GB2312"/>
          <w:i w:val="0"/>
          <w:caps w:val="0"/>
          <w:color w:val="333333"/>
          <w:spacing w:val="0"/>
          <w:sz w:val="32"/>
          <w:szCs w:val="32"/>
        </w:rPr>
        <w:t>中共</w:t>
      </w:r>
      <w:r>
        <w:rPr>
          <w:rFonts w:hint="eastAsia" w:ascii="仿宋_GB2312" w:hAnsi="宋体" w:eastAsia="仿宋_GB2312" w:cs="仿宋_GB2312"/>
          <w:i w:val="0"/>
          <w:caps w:val="0"/>
          <w:color w:val="333333"/>
          <w:spacing w:val="0"/>
          <w:sz w:val="32"/>
          <w:szCs w:val="32"/>
          <w:lang w:val="en-US" w:eastAsia="zh-CN"/>
        </w:rPr>
        <w:t>广安市委</w:t>
      </w:r>
      <w:r>
        <w:rPr>
          <w:rFonts w:ascii="仿宋_GB2312" w:hAnsi="宋体" w:eastAsia="仿宋_GB2312" w:cs="仿宋_GB2312"/>
          <w:i w:val="0"/>
          <w:caps w:val="0"/>
          <w:color w:val="333333"/>
          <w:spacing w:val="0"/>
          <w:sz w:val="32"/>
          <w:szCs w:val="32"/>
        </w:rPr>
        <w:t>巡察工作领导小组下设巡察工作领导小组办公室</w:t>
      </w:r>
      <w:r>
        <w:rPr>
          <w:rFonts w:hint="default" w:ascii="仿宋" w:hAnsi="仿宋" w:eastAsia="仿宋" w:cs="仿宋"/>
          <w:i w:val="0"/>
          <w:caps w:val="0"/>
          <w:color w:val="333333"/>
          <w:spacing w:val="0"/>
          <w:sz w:val="32"/>
          <w:szCs w:val="32"/>
        </w:rPr>
        <w:t>和</w:t>
      </w:r>
      <w:r>
        <w:rPr>
          <w:rFonts w:hint="eastAsia" w:ascii="仿宋" w:hAnsi="仿宋" w:eastAsia="仿宋" w:cs="仿宋"/>
          <w:i w:val="0"/>
          <w:caps w:val="0"/>
          <w:color w:val="333333"/>
          <w:spacing w:val="0"/>
          <w:sz w:val="32"/>
          <w:szCs w:val="32"/>
          <w:lang w:val="en-US" w:eastAsia="zh-CN"/>
        </w:rPr>
        <w:t>4</w:t>
      </w:r>
      <w:r>
        <w:rPr>
          <w:rFonts w:hint="default" w:ascii="仿宋" w:hAnsi="仿宋" w:eastAsia="仿宋" w:cs="仿宋"/>
          <w:i w:val="0"/>
          <w:caps w:val="0"/>
          <w:color w:val="333333"/>
          <w:spacing w:val="0"/>
          <w:sz w:val="32"/>
          <w:szCs w:val="32"/>
        </w:rPr>
        <w:t>个</w:t>
      </w:r>
      <w:r>
        <w:rPr>
          <w:rFonts w:hint="eastAsia" w:ascii="仿宋" w:hAnsi="仿宋" w:eastAsia="仿宋" w:cs="仿宋"/>
          <w:i w:val="0"/>
          <w:caps w:val="0"/>
          <w:color w:val="333333"/>
          <w:spacing w:val="0"/>
          <w:sz w:val="32"/>
          <w:szCs w:val="32"/>
          <w:lang w:val="en-US" w:eastAsia="zh-CN"/>
        </w:rPr>
        <w:t>市</w:t>
      </w:r>
      <w:r>
        <w:rPr>
          <w:rFonts w:hint="default" w:ascii="仿宋" w:hAnsi="仿宋" w:eastAsia="仿宋" w:cs="仿宋"/>
          <w:i w:val="0"/>
          <w:caps w:val="0"/>
          <w:color w:val="333333"/>
          <w:spacing w:val="0"/>
          <w:sz w:val="32"/>
          <w:szCs w:val="32"/>
        </w:rPr>
        <w:t>委巡察组，市委巡察办为市委工作部门，设在市纪委</w:t>
      </w:r>
      <w:r>
        <w:rPr>
          <w:rFonts w:hint="eastAsia" w:ascii="仿宋" w:hAnsi="仿宋" w:eastAsia="仿宋" w:cs="仿宋"/>
          <w:i w:val="0"/>
          <w:caps w:val="0"/>
          <w:color w:val="333333"/>
          <w:spacing w:val="0"/>
          <w:sz w:val="32"/>
          <w:szCs w:val="32"/>
          <w:lang w:eastAsia="zh-CN"/>
        </w:rPr>
        <w:t>。</w:t>
      </w:r>
      <w:r>
        <w:rPr>
          <w:rFonts w:hint="default" w:ascii="仿宋" w:hAnsi="仿宋" w:eastAsia="仿宋" w:cs="仿宋"/>
          <w:i w:val="0"/>
          <w:caps w:val="0"/>
          <w:color w:val="333333"/>
          <w:spacing w:val="0"/>
          <w:sz w:val="32"/>
          <w:szCs w:val="32"/>
        </w:rPr>
        <w:t>设主任1名（正县级），副主任2名（副县级），巡察专员4名（副县级），内设</w:t>
      </w:r>
      <w:r>
        <w:rPr>
          <w:rFonts w:hint="eastAsia" w:ascii="仿宋" w:hAnsi="仿宋" w:eastAsia="仿宋" w:cs="仿宋"/>
          <w:i w:val="0"/>
          <w:caps w:val="0"/>
          <w:color w:val="333333"/>
          <w:spacing w:val="0"/>
          <w:sz w:val="32"/>
          <w:szCs w:val="32"/>
          <w:lang w:val="en-US" w:eastAsia="zh-CN"/>
        </w:rPr>
        <w:t>综合科</w:t>
      </w:r>
      <w:r>
        <w:rPr>
          <w:rFonts w:hint="default" w:ascii="仿宋" w:hAnsi="仿宋" w:eastAsia="仿宋" w:cs="仿宋"/>
          <w:i w:val="0"/>
          <w:caps w:val="0"/>
          <w:color w:val="333333"/>
          <w:spacing w:val="0"/>
          <w:sz w:val="32"/>
          <w:szCs w:val="32"/>
        </w:rPr>
        <w:t>、</w:t>
      </w:r>
      <w:r>
        <w:rPr>
          <w:rFonts w:hint="eastAsia" w:ascii="仿宋" w:hAnsi="仿宋" w:eastAsia="仿宋" w:cs="仿宋"/>
          <w:i w:val="0"/>
          <w:caps w:val="0"/>
          <w:color w:val="333333"/>
          <w:spacing w:val="0"/>
          <w:sz w:val="32"/>
          <w:szCs w:val="32"/>
          <w:lang w:val="en-US" w:eastAsia="zh-CN"/>
        </w:rPr>
        <w:t>巡察科、督导科</w:t>
      </w:r>
      <w:r>
        <w:rPr>
          <w:rFonts w:hint="default" w:ascii="仿宋" w:hAnsi="仿宋" w:eastAsia="仿宋" w:cs="仿宋"/>
          <w:i w:val="0"/>
          <w:caps w:val="0"/>
          <w:color w:val="333333"/>
          <w:spacing w:val="0"/>
          <w:sz w:val="32"/>
          <w:szCs w:val="32"/>
        </w:rPr>
        <w:t>和巡察信息服务中心。市委巡察组共4个，每个巡察组设组长1名、副组长1名。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eastAsia" w:ascii="Times New Roman" w:hAnsi="Times New Roman" w:eastAsia="方正仿宋简体" w:cs="方正仿宋简体"/>
          <w:color w:val="333333"/>
          <w:sz w:val="33"/>
          <w:szCs w:val="33"/>
        </w:rPr>
      </w:pPr>
      <w:r>
        <w:rPr>
          <w:rFonts w:hint="eastAsia" w:ascii="方正仿宋_GBK" w:hAnsi="宋体" w:eastAsia="方正仿宋_GBK" w:cs="宋体"/>
          <w:color w:val="000000"/>
          <w:kern w:val="0"/>
          <w:sz w:val="33"/>
          <w:szCs w:val="33"/>
          <w:shd w:val="clear" w:color="auto" w:fill="FFFFFF"/>
          <w:lang w:val="zh-CN"/>
        </w:rPr>
        <w:t>（二）机构职能。</w:t>
      </w:r>
      <w:r>
        <w:rPr>
          <w:rFonts w:hint="eastAsia" w:ascii="Times New Roman" w:hAnsi="Times New Roman" w:eastAsia="方正仿宋简体" w:cs="方正仿宋简体"/>
          <w:color w:val="333333"/>
          <w:sz w:val="33"/>
          <w:szCs w:val="33"/>
        </w:rPr>
        <w:t>中共广安市委巡察工作领导小组办公室为市委工作部门，设在市纪委。主要承担向省委巡视工作领导小组办公室报送我市巡察工作规划、年度计划、年度巡察工作总结、重要情况和信息等；向巡察工作领导小组报告工作情况，传达贯彻巡察工作领导小组的决策和部署；统筹、协调、指导巡察组开展工作；承担政策研究、制度建设等工作；对市委和巡察工作领导小组决定的事项进行督办；配合市委、市委组织部及有关部门对巡察工作人员进行培训、考核、监督和管理；健全完善与纪检监察机关、政法机关和组织、审计、信访等部门的联系机制，负责与其进行沟通衔接；承担与上级党委巡视工作机构及巡视组日常联络工作，办理交办事项；指导区市县委巡察工作机构开展工作；办理巡察工作领导小组交办的其他事项等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ascii="方正仿宋_GBK" w:hAnsi="宋体" w:eastAsia="方正仿宋_GBK" w:cs="宋体"/>
          <w:color w:val="000000"/>
          <w:kern w:val="0"/>
          <w:sz w:val="33"/>
          <w:szCs w:val="33"/>
          <w:shd w:val="clear" w:color="auto" w:fill="FFFFFF"/>
          <w:lang w:val="zh-CN"/>
        </w:rPr>
      </w:pPr>
      <w:r>
        <w:rPr>
          <w:rFonts w:hint="eastAsia" w:ascii="Times New Roman" w:hAnsi="Times New Roman" w:eastAsia="方正仿宋简体" w:cs="方正仿宋简体"/>
          <w:color w:val="333333"/>
          <w:sz w:val="33"/>
          <w:szCs w:val="33"/>
          <w:lang w:val="en-US" w:eastAsia="zh-CN"/>
        </w:rPr>
        <w:t>市委巡察组主要承担向巡察工作领导小组报告工作情况，贯彻落实巡察工作领导小组的决策和部署；根据巡察工作计划开展巡察工作；根据巡察工作领导小组决定开展回访督查；对巡察组干部进行日常教育、管理和监督；办理巡察工作领导小组交办的其他事项。</w:t>
      </w:r>
    </w:p>
    <w:p>
      <w:pPr>
        <w:spacing w:line="590" w:lineRule="exact"/>
        <w:ind w:firstLine="660" w:firstLineChars="200"/>
        <w:jc w:val="both"/>
        <w:rPr>
          <w:rFonts w:hint="eastAsia" w:ascii="Times New Roman" w:hAnsi="Times New Roman" w:eastAsia="方正仿宋简体" w:cs="方正仿宋简体"/>
          <w:color w:val="333333"/>
          <w:sz w:val="33"/>
          <w:szCs w:val="33"/>
          <w:lang w:val="zh-CN" w:eastAsia="zh-CN"/>
        </w:rPr>
      </w:pPr>
      <w:r>
        <w:rPr>
          <w:rFonts w:hint="eastAsia" w:ascii="方正仿宋_GBK" w:hAnsi="宋体" w:eastAsia="方正仿宋_GBK" w:cs="宋体"/>
          <w:color w:val="000000"/>
          <w:kern w:val="0"/>
          <w:sz w:val="33"/>
          <w:szCs w:val="33"/>
          <w:shd w:val="clear" w:color="auto" w:fill="FFFFFF"/>
          <w:lang w:val="zh-CN"/>
        </w:rPr>
        <w:t>（三）人员概况。</w:t>
      </w:r>
      <w:r>
        <w:rPr>
          <w:rFonts w:hint="eastAsia" w:ascii="Times New Roman" w:hAnsi="Times New Roman" w:eastAsia="方正仿宋简体" w:cs="方正仿宋简体"/>
          <w:color w:val="333333"/>
          <w:sz w:val="33"/>
          <w:szCs w:val="33"/>
          <w:lang w:val="en-US" w:eastAsia="zh-CN"/>
        </w:rPr>
        <w:t>截至20</w:t>
      </w:r>
      <w:r>
        <w:rPr>
          <w:rFonts w:hint="eastAsia" w:eastAsia="方正仿宋简体" w:cs="方正仿宋简体"/>
          <w:color w:val="333333"/>
          <w:sz w:val="33"/>
          <w:szCs w:val="33"/>
          <w:lang w:val="en-US" w:eastAsia="zh-CN"/>
        </w:rPr>
        <w:t>21</w:t>
      </w:r>
      <w:r>
        <w:rPr>
          <w:rFonts w:hint="default" w:ascii="Times New Roman" w:hAnsi="Times New Roman" w:eastAsia="方正仿宋简体" w:cs="方正仿宋简体"/>
          <w:color w:val="333333"/>
          <w:sz w:val="33"/>
          <w:szCs w:val="33"/>
          <w:lang w:val="en-US" w:eastAsia="zh-CN"/>
        </w:rPr>
        <w:t>年底，</w:t>
      </w:r>
      <w:r>
        <w:rPr>
          <w:rFonts w:hint="eastAsia" w:ascii="Times New Roman" w:hAnsi="Times New Roman" w:eastAsia="方正仿宋简体" w:cs="方正仿宋简体"/>
          <w:color w:val="333333"/>
          <w:sz w:val="33"/>
          <w:szCs w:val="33"/>
          <w:lang w:val="en-US" w:eastAsia="zh-CN"/>
        </w:rPr>
        <w:t>单位实有人数</w:t>
      </w:r>
      <w:r>
        <w:rPr>
          <w:rFonts w:hint="eastAsia" w:eastAsia="方正仿宋简体" w:cs="方正仿宋简体"/>
          <w:color w:val="333333"/>
          <w:sz w:val="33"/>
          <w:szCs w:val="33"/>
          <w:lang w:val="en-US" w:eastAsia="zh-CN"/>
        </w:rPr>
        <w:t>25</w:t>
      </w:r>
      <w:r>
        <w:rPr>
          <w:rFonts w:hint="default" w:ascii="Times New Roman" w:hAnsi="Times New Roman" w:eastAsia="方正仿宋简体" w:cs="方正仿宋简体"/>
          <w:color w:val="333333"/>
          <w:sz w:val="33"/>
          <w:szCs w:val="33"/>
          <w:lang w:val="en-US" w:eastAsia="zh-CN"/>
        </w:rPr>
        <w:t>人</w:t>
      </w:r>
      <w:r>
        <w:rPr>
          <w:rFonts w:hint="eastAsia" w:eastAsia="方正仿宋_GBK"/>
          <w:sz w:val="33"/>
          <w:szCs w:val="33"/>
          <w:lang w:val="en-US" w:eastAsia="zh-CN"/>
        </w:rPr>
        <w:t>，</w:t>
      </w:r>
      <w:r>
        <w:rPr>
          <w:rFonts w:hint="eastAsia" w:eastAsia="方正仿宋简体" w:cs="方正仿宋简体"/>
          <w:color w:val="333333"/>
          <w:sz w:val="33"/>
          <w:szCs w:val="33"/>
          <w:lang w:val="en-US" w:eastAsia="zh-CN"/>
        </w:rPr>
        <w:t>临聘人员4人</w:t>
      </w:r>
      <w:r>
        <w:rPr>
          <w:rFonts w:hint="eastAsia" w:eastAsia="方正仿宋_GBK"/>
          <w:sz w:val="33"/>
          <w:szCs w:val="33"/>
          <w:lang w:val="en-US" w:eastAsia="zh-CN"/>
        </w:rPr>
        <w:t>。</w:t>
      </w:r>
    </w:p>
    <w:p>
      <w:pPr>
        <w:widowControl/>
        <w:adjustRightInd w:val="0"/>
        <w:snapToGrid w:val="0"/>
        <w:spacing w:line="580" w:lineRule="exact"/>
        <w:ind w:firstLine="660" w:firstLineChars="200"/>
        <w:contextualSpacing/>
        <w:jc w:val="left"/>
        <w:rPr>
          <w:rFonts w:ascii="方正黑体_GBK" w:hAnsi="宋体" w:eastAsia="方正黑体_GBK" w:cs="宋体"/>
          <w:color w:val="000000"/>
          <w:kern w:val="0"/>
          <w:sz w:val="33"/>
          <w:szCs w:val="33"/>
          <w:shd w:val="clear" w:color="auto" w:fill="FFFFFF"/>
        </w:rPr>
      </w:pPr>
      <w:bookmarkStart w:id="121" w:name="_Toc1117"/>
      <w:bookmarkStart w:id="122" w:name="_Toc22687"/>
      <w:r>
        <w:rPr>
          <w:rFonts w:hint="eastAsia" w:ascii="方正黑体_GBK" w:hAnsi="宋体" w:eastAsia="方正黑体_GBK" w:cs="宋体"/>
          <w:color w:val="000000"/>
          <w:kern w:val="0"/>
          <w:sz w:val="33"/>
          <w:szCs w:val="33"/>
          <w:shd w:val="clear" w:color="auto" w:fill="FFFFFF"/>
        </w:rPr>
        <w:t>二、部门财政资金收支情况</w:t>
      </w:r>
      <w:bookmarkEnd w:id="121"/>
      <w:bookmarkEnd w:id="122"/>
    </w:p>
    <w:p>
      <w:pPr>
        <w:widowControl/>
        <w:adjustRightInd w:val="0"/>
        <w:snapToGrid w:val="0"/>
        <w:spacing w:line="580" w:lineRule="exact"/>
        <w:ind w:firstLine="660" w:firstLineChars="200"/>
        <w:contextualSpacing/>
        <w:jc w:val="left"/>
        <w:rPr>
          <w:rFonts w:hint="default" w:eastAsia="方正仿宋简体" w:cs="方正仿宋简体"/>
          <w:color w:val="333333"/>
          <w:sz w:val="33"/>
          <w:szCs w:val="33"/>
          <w:u w:val="none"/>
          <w:lang w:val="en-US" w:eastAsia="zh-CN"/>
        </w:rPr>
      </w:pPr>
      <w:r>
        <w:rPr>
          <w:rFonts w:hint="eastAsia" w:ascii="方正仿宋_GBK" w:hAnsi="宋体" w:eastAsia="方正仿宋_GBK" w:cs="宋体"/>
          <w:color w:val="000000"/>
          <w:kern w:val="0"/>
          <w:sz w:val="33"/>
          <w:szCs w:val="33"/>
          <w:shd w:val="clear" w:color="auto" w:fill="FFFFFF"/>
          <w:lang w:val="zh-CN"/>
        </w:rPr>
        <w:t>（一）部门财政资金收入情况。</w:t>
      </w:r>
      <w:r>
        <w:rPr>
          <w:rFonts w:hint="eastAsia" w:ascii="Times New Roman" w:hAnsi="Times New Roman" w:eastAsia="方正仿宋简体" w:cs="方正仿宋简体"/>
          <w:color w:val="333333"/>
          <w:sz w:val="33"/>
          <w:szCs w:val="33"/>
          <w:lang w:val="en-US" w:eastAsia="zh-CN"/>
        </w:rPr>
        <w:t>202</w:t>
      </w:r>
      <w:r>
        <w:rPr>
          <w:rFonts w:hint="eastAsia" w:eastAsia="方正仿宋简体" w:cs="方正仿宋简体"/>
          <w:color w:val="333333"/>
          <w:sz w:val="33"/>
          <w:szCs w:val="33"/>
          <w:lang w:val="en-US" w:eastAsia="zh-CN"/>
        </w:rPr>
        <w:t>1年财政拨款收</w:t>
      </w:r>
      <w:r>
        <w:rPr>
          <w:rFonts w:hint="eastAsia" w:eastAsia="方正仿宋简体" w:cs="方正仿宋简体"/>
          <w:color w:val="333333"/>
          <w:sz w:val="33"/>
          <w:szCs w:val="33"/>
          <w:u w:val="none"/>
          <w:lang w:val="en-US" w:eastAsia="zh-CN"/>
        </w:rPr>
        <w:t>入951.85</w:t>
      </w:r>
      <w:r>
        <w:rPr>
          <w:rFonts w:hint="eastAsia" w:eastAsia="方正仿宋简体" w:cs="方正仿宋简体"/>
          <w:color w:val="333333"/>
          <w:sz w:val="33"/>
          <w:szCs w:val="33"/>
          <w:lang w:val="en-US" w:eastAsia="zh-CN"/>
        </w:rPr>
        <w:t>万元</w:t>
      </w:r>
      <w:r>
        <w:rPr>
          <w:rFonts w:hint="eastAsia" w:eastAsia="方正仿宋简体" w:cs="方正仿宋简体"/>
          <w:color w:val="333333"/>
          <w:sz w:val="33"/>
          <w:szCs w:val="33"/>
          <w:u w:val="none"/>
          <w:lang w:val="en-US" w:eastAsia="zh-CN"/>
        </w:rPr>
        <w:t>，其中一般公共服务支出903.09万元，社会保障和就业支出35.54万元，卫生健康支出13.22万元。</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（二）部门财政资金支出情况。</w:t>
      </w:r>
      <w:r>
        <w:rPr>
          <w:rFonts w:hint="eastAsia" w:ascii="Times New Roman" w:hAnsi="Times New Roman" w:eastAsia="方正仿宋简体" w:cs="方正仿宋简体"/>
          <w:color w:val="333333"/>
          <w:sz w:val="33"/>
          <w:szCs w:val="33"/>
          <w:lang w:val="en-US" w:eastAsia="zh-CN"/>
        </w:rPr>
        <w:t>202</w:t>
      </w:r>
      <w:r>
        <w:rPr>
          <w:rFonts w:hint="eastAsia" w:eastAsia="方正仿宋简体" w:cs="方正仿宋简体"/>
          <w:color w:val="333333"/>
          <w:sz w:val="33"/>
          <w:szCs w:val="33"/>
          <w:lang w:val="en-US" w:eastAsia="zh-CN"/>
        </w:rPr>
        <w:t>1年财政拨款支出914.87万元，其中基本支出531.81万元，项目支出383.06万元，年末结转36.98万元。</w:t>
      </w:r>
    </w:p>
    <w:p>
      <w:pPr>
        <w:widowControl/>
        <w:adjustRightInd w:val="0"/>
        <w:snapToGrid w:val="0"/>
        <w:spacing w:line="580" w:lineRule="exact"/>
        <w:ind w:firstLine="660" w:firstLineChars="200"/>
        <w:contextualSpacing/>
        <w:jc w:val="left"/>
        <w:rPr>
          <w:rFonts w:hint="eastAsia" w:ascii="方正黑体_GBK" w:hAnsi="宋体" w:eastAsia="方正黑体_GBK" w:cs="宋体"/>
          <w:color w:val="000000"/>
          <w:kern w:val="0"/>
          <w:sz w:val="33"/>
          <w:szCs w:val="33"/>
          <w:shd w:val="clear" w:color="auto" w:fill="FFFFFF"/>
        </w:rPr>
      </w:pPr>
      <w:bookmarkStart w:id="123" w:name="_Toc3555"/>
      <w:bookmarkStart w:id="124" w:name="_Toc19054"/>
      <w:r>
        <w:rPr>
          <w:rFonts w:hint="eastAsia" w:ascii="方正黑体_GBK" w:hAnsi="宋体" w:eastAsia="方正黑体_GBK" w:cs="宋体"/>
          <w:color w:val="000000"/>
          <w:kern w:val="0"/>
          <w:sz w:val="33"/>
          <w:szCs w:val="33"/>
          <w:shd w:val="clear" w:color="auto" w:fill="FFFFFF"/>
        </w:rPr>
        <w:t>三、部门整体预算绩效管理情况</w:t>
      </w:r>
      <w:bookmarkEnd w:id="123"/>
      <w:bookmarkEnd w:id="124"/>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bookmarkStart w:id="125" w:name="_Toc30700"/>
      <w:bookmarkStart w:id="126" w:name="_Toc12382"/>
      <w:r>
        <w:rPr>
          <w:rFonts w:hint="eastAsia" w:ascii="方正仿宋_GBK" w:hAnsi="宋体" w:eastAsia="方正仿宋_GBK" w:cs="宋体"/>
          <w:color w:val="000000"/>
          <w:kern w:val="0"/>
          <w:sz w:val="33"/>
          <w:szCs w:val="33"/>
          <w:shd w:val="clear" w:color="auto" w:fill="FFFFFF"/>
          <w:lang w:val="zh-CN"/>
        </w:rPr>
        <w:t>（一）部门预算管理。</w:t>
      </w:r>
      <w:bookmarkEnd w:id="125"/>
      <w:bookmarkEnd w:id="126"/>
    </w:p>
    <w:p>
      <w:pPr>
        <w:spacing w:line="590" w:lineRule="exact"/>
        <w:ind w:firstLine="660" w:firstLineChars="200"/>
        <w:jc w:val="both"/>
        <w:rPr>
          <w:rFonts w:hint="eastAsia" w:eastAsia="方正仿宋_GBK"/>
          <w:sz w:val="33"/>
          <w:szCs w:val="33"/>
          <w:lang w:val="en-US" w:eastAsia="zh-CN"/>
        </w:rPr>
      </w:pPr>
      <w:r>
        <w:rPr>
          <w:rFonts w:hint="eastAsia" w:eastAsia="方正仿宋_GBK"/>
          <w:sz w:val="33"/>
          <w:szCs w:val="33"/>
          <w:lang w:val="en-US" w:eastAsia="zh-CN"/>
        </w:rPr>
        <w:t>2021年为五届市委第九轮巡察最后一年，为顺利圆满完成巡察全覆盖任务，我单位坚持稳中求进，积极作为。抓好厉行节约源头控制，严格执行部门预算，严格执行《党政机关厉行节约反对浪费条例》</w:t>
      </w:r>
      <w:r>
        <w:rPr>
          <w:rFonts w:hint="eastAsia" w:eastAsia="方正仿宋_GBK"/>
          <w:sz w:val="33"/>
          <w:szCs w:val="33"/>
          <w:lang w:eastAsia="zh-CN"/>
        </w:rPr>
        <w:t>及公务接待费、会议费、差旅费、培训费管理相关规定</w:t>
      </w:r>
      <w:r>
        <w:rPr>
          <w:rFonts w:hint="eastAsia" w:eastAsia="方正仿宋_GBK"/>
          <w:sz w:val="33"/>
          <w:szCs w:val="33"/>
          <w:lang w:val="en-US" w:eastAsia="zh-CN"/>
        </w:rPr>
        <w:t>，提高资金使用效率。</w:t>
      </w:r>
    </w:p>
    <w:p>
      <w:pPr>
        <w:spacing w:line="590" w:lineRule="exact"/>
        <w:ind w:firstLine="660" w:firstLineChars="200"/>
        <w:jc w:val="both"/>
        <w:rPr>
          <w:rFonts w:hint="eastAsia" w:eastAsia="方正仿宋_GBK"/>
          <w:sz w:val="33"/>
          <w:szCs w:val="33"/>
          <w:lang w:val="zh-CN" w:eastAsia="zh-CN"/>
        </w:rPr>
      </w:pPr>
      <w:bookmarkStart w:id="127" w:name="_Toc24460"/>
      <w:bookmarkStart w:id="128" w:name="_Toc25418"/>
      <w:r>
        <w:rPr>
          <w:rFonts w:hint="eastAsia" w:ascii="方正仿宋_GBK" w:hAnsi="宋体" w:eastAsia="方正仿宋_GBK" w:cs="宋体"/>
          <w:color w:val="000000"/>
          <w:kern w:val="0"/>
          <w:sz w:val="33"/>
          <w:szCs w:val="33"/>
          <w:shd w:val="clear" w:color="auto" w:fill="FFFFFF"/>
          <w:lang w:val="zh-CN"/>
        </w:rPr>
        <w:t>（二）项目预算管理。</w:t>
      </w:r>
      <w:bookmarkEnd w:id="127"/>
      <w:bookmarkEnd w:id="128"/>
    </w:p>
    <w:p>
      <w:pPr>
        <w:spacing w:line="590" w:lineRule="exact"/>
        <w:ind w:firstLine="660" w:firstLineChars="200"/>
        <w:jc w:val="both"/>
        <w:rPr>
          <w:rFonts w:hint="eastAsia" w:eastAsia="方正仿宋_GBK"/>
          <w:sz w:val="33"/>
          <w:szCs w:val="33"/>
        </w:rPr>
      </w:pPr>
      <w:r>
        <w:rPr>
          <w:rFonts w:hint="eastAsia" w:eastAsia="方正仿宋_GBK"/>
          <w:sz w:val="33"/>
          <w:szCs w:val="33"/>
          <w:lang w:val="zh-CN" w:eastAsia="zh-CN"/>
        </w:rPr>
        <w:t>202</w:t>
      </w:r>
      <w:r>
        <w:rPr>
          <w:rFonts w:hint="eastAsia" w:eastAsia="方正仿宋_GBK"/>
          <w:sz w:val="33"/>
          <w:szCs w:val="33"/>
          <w:lang w:val="en-US" w:eastAsia="zh-CN"/>
        </w:rPr>
        <w:t>1</w:t>
      </w:r>
      <w:r>
        <w:rPr>
          <w:rFonts w:hint="eastAsia" w:eastAsia="方正仿宋_GBK"/>
          <w:sz w:val="33"/>
          <w:szCs w:val="33"/>
          <w:lang w:val="zh-CN" w:eastAsia="zh-CN"/>
        </w:rPr>
        <w:t>年</w:t>
      </w:r>
      <w:r>
        <w:rPr>
          <w:rFonts w:hint="eastAsia" w:eastAsia="方正仿宋_GBK"/>
          <w:sz w:val="33"/>
          <w:szCs w:val="33"/>
          <w:lang w:val="en-US" w:eastAsia="zh-CN"/>
        </w:rPr>
        <w:t>市委巡察机构共计开展3次</w:t>
      </w:r>
      <w:r>
        <w:rPr>
          <w:rFonts w:hint="eastAsia" w:eastAsia="方正仿宋_GBK"/>
          <w:sz w:val="33"/>
          <w:szCs w:val="33"/>
          <w:lang w:val="zh-CN" w:eastAsia="zh-CN"/>
        </w:rPr>
        <w:t>巡察，</w:t>
      </w:r>
      <w:r>
        <w:rPr>
          <w:rFonts w:hint="eastAsia" w:eastAsia="方正仿宋_GBK"/>
          <w:sz w:val="33"/>
          <w:szCs w:val="33"/>
          <w:lang w:val="en-US" w:eastAsia="zh-CN"/>
        </w:rPr>
        <w:t>一是开展了五届市委第九轮巡察，对17个单位开展常规巡察，对7个单位开展“回头看”，二是对全市森林防灭火工作开展机动式巡察，对6个县（市、区）换届风气开展专项巡察，三是对市本级涉粮单位、企业以及6个县（市、区）党委政府落实粮食安全主体责任情况开展粮食购销领域专项巡察，并指导督导6个县（市、区）巡察组开展交叉巡察。五届市委巡察工作共开展9轮常规巡察、完成对127个单位的巡察全覆盖，共计发现问题1371个（含立行立改问题747个），移送问题线索89件。</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bookmarkStart w:id="129" w:name="_Toc19152"/>
      <w:bookmarkStart w:id="130" w:name="_Toc6113"/>
      <w:r>
        <w:rPr>
          <w:rFonts w:hint="eastAsia" w:ascii="方正仿宋_GBK" w:hAnsi="宋体" w:eastAsia="方正仿宋_GBK" w:cs="宋体"/>
          <w:color w:val="000000"/>
          <w:kern w:val="0"/>
          <w:sz w:val="33"/>
          <w:szCs w:val="33"/>
          <w:shd w:val="clear" w:color="auto" w:fill="FFFFFF"/>
          <w:lang w:val="zh-CN"/>
        </w:rPr>
        <w:t>（</w:t>
      </w:r>
      <w:r>
        <w:rPr>
          <w:rFonts w:hint="eastAsia" w:ascii="方正仿宋_GBK" w:hAnsi="宋体" w:eastAsia="方正仿宋_GBK" w:cs="宋体"/>
          <w:color w:val="000000"/>
          <w:kern w:val="0"/>
          <w:sz w:val="33"/>
          <w:szCs w:val="33"/>
          <w:shd w:val="clear" w:color="auto" w:fill="FFFFFF"/>
        </w:rPr>
        <w:t>三</w:t>
      </w:r>
      <w:r>
        <w:rPr>
          <w:rFonts w:hint="eastAsia" w:ascii="方正仿宋_GBK" w:hAnsi="宋体" w:eastAsia="方正仿宋_GBK" w:cs="宋体"/>
          <w:color w:val="000000"/>
          <w:kern w:val="0"/>
          <w:sz w:val="33"/>
          <w:szCs w:val="33"/>
          <w:shd w:val="clear" w:color="auto" w:fill="FFFFFF"/>
          <w:lang w:val="zh-CN"/>
        </w:rPr>
        <w:t>）结果应用情况。</w:t>
      </w:r>
      <w:bookmarkEnd w:id="129"/>
      <w:bookmarkEnd w:id="130"/>
    </w:p>
    <w:p>
      <w:pPr>
        <w:spacing w:line="590" w:lineRule="exact"/>
        <w:ind w:firstLine="660" w:firstLineChars="200"/>
        <w:jc w:val="both"/>
        <w:rPr>
          <w:rFonts w:hint="eastAsia" w:eastAsia="方正仿宋_GBK"/>
          <w:sz w:val="33"/>
          <w:szCs w:val="33"/>
        </w:rPr>
      </w:pPr>
      <w:r>
        <w:rPr>
          <w:rFonts w:hint="eastAsia" w:eastAsia="方正仿宋_GBK"/>
          <w:sz w:val="33"/>
          <w:szCs w:val="33"/>
        </w:rPr>
        <w:t>一是</w:t>
      </w:r>
      <w:r>
        <w:rPr>
          <w:rFonts w:hint="eastAsia" w:eastAsia="方正仿宋_GBK"/>
          <w:sz w:val="33"/>
          <w:szCs w:val="33"/>
          <w:lang w:eastAsia="zh-CN"/>
        </w:rPr>
        <w:t>圆满完成巡察</w:t>
      </w:r>
      <w:r>
        <w:rPr>
          <w:rFonts w:hint="eastAsia" w:eastAsia="方正仿宋_GBK"/>
          <w:sz w:val="33"/>
          <w:szCs w:val="33"/>
          <w:lang w:val="en-US" w:eastAsia="zh-CN"/>
        </w:rPr>
        <w:t>全覆盖任务</w:t>
      </w:r>
      <w:r>
        <w:rPr>
          <w:rFonts w:hint="eastAsia" w:eastAsia="方正仿宋_GBK"/>
          <w:sz w:val="33"/>
          <w:szCs w:val="33"/>
          <w:lang w:eastAsia="zh-CN"/>
        </w:rPr>
        <w:t>。</w:t>
      </w:r>
      <w:r>
        <w:rPr>
          <w:rFonts w:hint="eastAsia" w:eastAsia="方正仿宋_GBK"/>
          <w:sz w:val="33"/>
          <w:szCs w:val="33"/>
          <w:lang w:val="zh-CN" w:eastAsia="zh-CN"/>
        </w:rPr>
        <w:t>市本级通过9轮常规巡察完成了对127个单位的巡察全覆盖，移交问题线索310件，立案72人，给予党纪政务处分68人。</w:t>
      </w:r>
      <w:r>
        <w:rPr>
          <w:rFonts w:hint="eastAsia" w:eastAsia="方正仿宋_GBK"/>
          <w:sz w:val="33"/>
          <w:szCs w:val="33"/>
        </w:rPr>
        <w:t>二是</w:t>
      </w:r>
      <w:r>
        <w:rPr>
          <w:rFonts w:hint="eastAsia" w:eastAsia="方正仿宋_GBK"/>
          <w:sz w:val="33"/>
          <w:szCs w:val="33"/>
          <w:lang w:val="en-US" w:eastAsia="zh-CN"/>
        </w:rPr>
        <w:t>根据年中开展绩效运行监控后，将绩效监控结果应用到预算调整。三是</w:t>
      </w:r>
      <w:r>
        <w:rPr>
          <w:rFonts w:hint="eastAsia" w:eastAsia="方正仿宋_GBK"/>
          <w:sz w:val="33"/>
          <w:szCs w:val="33"/>
        </w:rPr>
        <w:t>严格按照</w:t>
      </w:r>
      <w:r>
        <w:rPr>
          <w:rFonts w:hint="eastAsia" w:eastAsia="方正仿宋_GBK"/>
          <w:sz w:val="33"/>
          <w:szCs w:val="33"/>
          <w:lang w:eastAsia="zh-CN"/>
        </w:rPr>
        <w:t>财政部门关于</w:t>
      </w:r>
      <w:r>
        <w:rPr>
          <w:rFonts w:hint="eastAsia" w:eastAsia="方正仿宋_GBK"/>
          <w:sz w:val="33"/>
          <w:szCs w:val="33"/>
        </w:rPr>
        <w:t>预</w:t>
      </w:r>
      <w:r>
        <w:rPr>
          <w:rFonts w:hint="eastAsia" w:eastAsia="方正仿宋_GBK"/>
          <w:sz w:val="33"/>
          <w:szCs w:val="33"/>
          <w:lang w:eastAsia="zh-CN"/>
        </w:rPr>
        <w:t>、</w:t>
      </w:r>
      <w:r>
        <w:rPr>
          <w:rFonts w:hint="eastAsia" w:eastAsia="方正仿宋_GBK"/>
          <w:sz w:val="33"/>
          <w:szCs w:val="33"/>
        </w:rPr>
        <w:t>决算公开的要求，</w:t>
      </w:r>
      <w:r>
        <w:rPr>
          <w:rFonts w:hint="eastAsia" w:eastAsia="方正仿宋_GBK"/>
          <w:sz w:val="33"/>
          <w:szCs w:val="33"/>
          <w:lang w:eastAsia="zh-CN"/>
        </w:rPr>
        <w:t>及时</w:t>
      </w:r>
      <w:r>
        <w:rPr>
          <w:rFonts w:hint="eastAsia" w:eastAsia="方正仿宋_GBK"/>
          <w:sz w:val="33"/>
          <w:szCs w:val="33"/>
        </w:rPr>
        <w:t>在市政府门户网站公开</w:t>
      </w:r>
      <w:r>
        <w:rPr>
          <w:rFonts w:hint="eastAsia" w:eastAsia="方正仿宋_GBK"/>
          <w:sz w:val="33"/>
          <w:szCs w:val="33"/>
          <w:lang w:val="en-US" w:eastAsia="zh-CN"/>
        </w:rPr>
        <w:t>预算绩效评价</w:t>
      </w:r>
      <w:r>
        <w:rPr>
          <w:rFonts w:hint="eastAsia" w:eastAsia="方正仿宋_GBK"/>
          <w:sz w:val="33"/>
          <w:szCs w:val="33"/>
        </w:rPr>
        <w:t>。</w:t>
      </w:r>
    </w:p>
    <w:p>
      <w:pPr>
        <w:widowControl/>
        <w:adjustRightInd w:val="0"/>
        <w:snapToGrid w:val="0"/>
        <w:spacing w:line="580" w:lineRule="exact"/>
        <w:ind w:firstLine="660" w:firstLineChars="200"/>
        <w:contextualSpacing/>
        <w:jc w:val="left"/>
        <w:rPr>
          <w:rFonts w:ascii="方正黑体_GBK" w:hAnsi="宋体" w:eastAsia="方正黑体_GBK" w:cs="宋体"/>
          <w:color w:val="000000"/>
          <w:kern w:val="0"/>
          <w:sz w:val="33"/>
          <w:szCs w:val="33"/>
          <w:shd w:val="clear" w:color="auto" w:fill="FFFFFF"/>
        </w:rPr>
      </w:pPr>
      <w:bookmarkStart w:id="131" w:name="_Toc2892"/>
      <w:bookmarkStart w:id="132" w:name="_Toc31930"/>
      <w:r>
        <w:rPr>
          <w:rFonts w:hint="eastAsia" w:ascii="方正黑体_GBK" w:hAnsi="宋体" w:eastAsia="方正黑体_GBK" w:cs="宋体"/>
          <w:color w:val="000000"/>
          <w:kern w:val="0"/>
          <w:sz w:val="33"/>
          <w:szCs w:val="33"/>
          <w:shd w:val="clear" w:color="auto" w:fill="FFFFFF"/>
        </w:rPr>
        <w:t>四、评价结论及建议</w:t>
      </w:r>
      <w:bookmarkEnd w:id="131"/>
      <w:bookmarkEnd w:id="132"/>
    </w:p>
    <w:p>
      <w:pPr>
        <w:spacing w:line="590" w:lineRule="exact"/>
        <w:ind w:firstLine="660" w:firstLineChars="200"/>
        <w:jc w:val="both"/>
        <w:rPr>
          <w:rFonts w:hint="eastAsia" w:eastAsia="方正仿宋_GBK"/>
          <w:sz w:val="33"/>
          <w:szCs w:val="33"/>
          <w:lang w:eastAsia="zh-CN"/>
        </w:rPr>
      </w:pPr>
      <w:r>
        <w:rPr>
          <w:rFonts w:hint="eastAsia" w:ascii="方正仿宋_GBK" w:hAnsi="宋体" w:eastAsia="方正仿宋_GBK" w:cs="宋体"/>
          <w:color w:val="000000"/>
          <w:kern w:val="0"/>
          <w:sz w:val="33"/>
          <w:szCs w:val="33"/>
          <w:shd w:val="clear" w:color="auto" w:fill="FFFFFF"/>
          <w:lang w:val="zh-CN"/>
        </w:rPr>
        <w:t>（一）评价结论。</w:t>
      </w:r>
      <w:r>
        <w:rPr>
          <w:rFonts w:hint="eastAsia" w:eastAsia="方正仿宋_GBK"/>
          <w:sz w:val="33"/>
          <w:szCs w:val="33"/>
        </w:rPr>
        <w:t>20</w:t>
      </w:r>
      <w:r>
        <w:rPr>
          <w:rFonts w:hint="eastAsia" w:eastAsia="方正仿宋_GBK"/>
          <w:sz w:val="33"/>
          <w:szCs w:val="33"/>
          <w:lang w:val="en-US" w:eastAsia="zh-CN"/>
        </w:rPr>
        <w:t>21</w:t>
      </w:r>
      <w:r>
        <w:rPr>
          <w:rFonts w:hint="eastAsia" w:eastAsia="方正仿宋_GBK"/>
          <w:sz w:val="33"/>
          <w:szCs w:val="33"/>
        </w:rPr>
        <w:t>年，</w:t>
      </w:r>
      <w:r>
        <w:rPr>
          <w:rFonts w:hint="eastAsia" w:eastAsia="方正仿宋_GBK"/>
          <w:sz w:val="33"/>
          <w:szCs w:val="33"/>
          <w:lang w:eastAsia="zh-CN"/>
        </w:rPr>
        <w:t>市委巡察办根据年初工作规划制定预算，通过加强预算收支管理，不断建立健全内部管理制度，梳理内部管理流程，较好地完成了工作目标，部门整体支出管理情况得到提升。</w:t>
      </w:r>
    </w:p>
    <w:p>
      <w:pPr>
        <w:spacing w:line="590" w:lineRule="exact"/>
        <w:ind w:firstLine="660" w:firstLineChars="200"/>
        <w:jc w:val="both"/>
        <w:rPr>
          <w:rFonts w:hint="eastAsia" w:eastAsia="方正仿宋_GBK"/>
          <w:sz w:val="33"/>
          <w:szCs w:val="33"/>
          <w:lang w:eastAsia="zh-CN"/>
        </w:rPr>
      </w:pPr>
      <w:r>
        <w:rPr>
          <w:rFonts w:hint="eastAsia" w:ascii="方正仿宋_GBK" w:hAnsi="宋体" w:eastAsia="方正仿宋_GBK" w:cs="宋体"/>
          <w:color w:val="000000"/>
          <w:kern w:val="0"/>
          <w:sz w:val="33"/>
          <w:szCs w:val="33"/>
          <w:shd w:val="clear" w:color="auto" w:fill="FFFFFF"/>
          <w:lang w:val="zh-CN"/>
        </w:rPr>
        <w:t>（二）存在问题。部门预算主要是根据年初的工作目标及重点，结合上一年度的预算执行情况编制，部分指标编制欠科学，另外，还有部分不可预见的经费追加，在今后需考虑全面。</w:t>
      </w:r>
    </w:p>
    <w:p>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三）改进建议。科学合理编制预算，严格执行预算。加强预算编制的前瞻性，结合上一年度预算执行情况和本年度预算收支变化因素，科学、合理地编制本年预算草案，避免预算支出与实际执行出现较大偏差的情况。</w:t>
      </w: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方正小标宋_GBK" w:hAnsi="方正小标宋_GBK" w:eastAsia="方正小标宋_GBK" w:cs="方正小标宋_GBK"/>
          <w:sz w:val="44"/>
          <w:szCs w:val="44"/>
        </w:rPr>
      </w:pPr>
      <w:bookmarkStart w:id="133" w:name="_Toc18669"/>
      <w:bookmarkStart w:id="134" w:name="_Toc17984"/>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1</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市委巡察办</w:t>
      </w:r>
      <w:r>
        <w:rPr>
          <w:rFonts w:hint="eastAsia" w:ascii="方正小标宋_GBK" w:hAnsi="方正小标宋_GBK" w:eastAsia="方正小标宋_GBK" w:cs="方正小标宋_GBK"/>
          <w:sz w:val="44"/>
          <w:szCs w:val="44"/>
        </w:rPr>
        <w:t>项目支出绩效自评报告</w:t>
      </w:r>
      <w:bookmarkEnd w:id="133"/>
      <w:bookmarkEnd w:id="134"/>
    </w:p>
    <w:p>
      <w:pPr>
        <w:spacing w:line="580" w:lineRule="exact"/>
        <w:ind w:firstLine="640"/>
        <w:jc w:val="center"/>
        <w:rPr>
          <w:rFonts w:hint="eastAsia" w:ascii="仿宋_GB2312" w:hAnsi="仿宋_GB2312" w:eastAsia="仿宋_GB2312" w:cs="仿宋_GB2312"/>
          <w:sz w:val="32"/>
          <w:szCs w:val="32"/>
        </w:rPr>
      </w:pPr>
      <w:bookmarkStart w:id="135" w:name="_Toc16807"/>
      <w:bookmarkStart w:id="136" w:name="_Toc16633"/>
      <w:r>
        <w:rPr>
          <w:rFonts w:hint="eastAsia" w:ascii="仿宋_GB2312" w:hAnsi="仿宋_GB2312" w:eastAsia="仿宋_GB2312" w:cs="仿宋_GB2312"/>
          <w:sz w:val="32"/>
          <w:szCs w:val="32"/>
        </w:rPr>
        <w:t>（巡察专项经费项目）</w:t>
      </w:r>
      <w:bookmarkEnd w:id="135"/>
      <w:bookmarkEnd w:id="136"/>
    </w:p>
    <w:p>
      <w:pPr>
        <w:spacing w:line="580" w:lineRule="exact"/>
        <w:ind w:firstLine="640"/>
        <w:jc w:val="center"/>
        <w:rPr>
          <w:rFonts w:hint="eastAsia"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lang w:val="zh-CN"/>
        </w:rPr>
      </w:pPr>
      <w:bookmarkStart w:id="137" w:name="_Toc18167"/>
      <w:bookmarkStart w:id="138" w:name="_Toc31609"/>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项目概况</w:t>
      </w:r>
      <w:bookmarkEnd w:id="137"/>
      <w:bookmarkEnd w:id="138"/>
    </w:p>
    <w:p>
      <w:pPr>
        <w:spacing w:line="58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（一）项目资金申报及批复情况。</w:t>
      </w:r>
    </w:p>
    <w:p>
      <w:pPr>
        <w:spacing w:line="58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根据工作安排，巡察办2021年申报巡察专项经费300万元，财政批复巡察专项经费300万元。</w:t>
      </w:r>
    </w:p>
    <w:p>
      <w:pPr>
        <w:spacing w:line="58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（二）项目绩效目标。</w:t>
      </w:r>
      <w:r>
        <w:rPr>
          <w:rFonts w:hint="eastAsia" w:ascii="仿宋_GB2312" w:hAnsi="仿宋_GB2312" w:eastAsia="仿宋_GB2312" w:cs="仿宋_GB2312"/>
          <w:sz w:val="32"/>
          <w:szCs w:val="32"/>
          <w:lang w:val="en-US" w:eastAsia="zh-CN"/>
        </w:rPr>
        <w:t>巡察专项经费主要用于巡察期间工作经费，主要目标是</w:t>
      </w:r>
      <w:r>
        <w:rPr>
          <w:rFonts w:hint="eastAsia" w:ascii="仿宋_GB2312" w:hAnsi="仿宋_GB2312" w:eastAsia="仿宋_GB2312" w:cs="仿宋_GB2312"/>
          <w:sz w:val="32"/>
          <w:szCs w:val="32"/>
          <w:lang w:val="zh-CN"/>
        </w:rPr>
        <w:t>在五届市委任期内，实现对市委管理的部门、企事业单位党组织巡察全覆盖；对重点领域、重点行业、重点人、重点事开展专项巡察；根据省厅要求参与帮扶巡察，按照全覆盖要求安排交叉巡察、提级巡察。202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年计划开展</w:t>
      </w:r>
      <w:r>
        <w:rPr>
          <w:rFonts w:hint="eastAsia" w:ascii="仿宋_GB2312" w:hAnsi="仿宋_GB2312" w:eastAsia="仿宋_GB2312" w:cs="仿宋_GB2312"/>
          <w:sz w:val="32"/>
          <w:szCs w:val="32"/>
          <w:lang w:val="en-US" w:eastAsia="zh-CN"/>
        </w:rPr>
        <w:t>3次</w:t>
      </w:r>
      <w:r>
        <w:rPr>
          <w:rFonts w:hint="eastAsia" w:ascii="仿宋_GB2312" w:hAnsi="仿宋_GB2312" w:eastAsia="仿宋_GB2312" w:cs="仿宋_GB2312"/>
          <w:sz w:val="32"/>
          <w:szCs w:val="32"/>
          <w:lang w:val="zh-CN"/>
        </w:rPr>
        <w:t>巡察工作，</w:t>
      </w:r>
      <w:r>
        <w:rPr>
          <w:rFonts w:hint="eastAsia" w:ascii="仿宋_GB2312" w:hAnsi="仿宋_GB2312" w:eastAsia="仿宋_GB2312" w:cs="仿宋_GB2312"/>
          <w:sz w:val="32"/>
          <w:szCs w:val="32"/>
          <w:lang w:val="en-US" w:eastAsia="zh-CN"/>
        </w:rPr>
        <w:t>1次</w:t>
      </w:r>
      <w:r>
        <w:rPr>
          <w:rFonts w:hint="eastAsia" w:ascii="仿宋_GB2312" w:hAnsi="仿宋_GB2312" w:eastAsia="仿宋_GB2312" w:cs="仿宋_GB2312"/>
          <w:sz w:val="32"/>
          <w:szCs w:val="32"/>
          <w:lang w:val="zh-CN"/>
        </w:rPr>
        <w:t>全市巡察干部业务培训。</w:t>
      </w:r>
    </w:p>
    <w:p>
      <w:pPr>
        <w:spacing w:line="580" w:lineRule="exact"/>
        <w:ind w:firstLine="64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（三）项目资金申报相符性。项目申报内容与具体实施内容相符，申报目标合理可行。</w:t>
      </w:r>
    </w:p>
    <w:p>
      <w:pPr>
        <w:spacing w:line="580" w:lineRule="exact"/>
        <w:ind w:firstLine="640"/>
        <w:rPr>
          <w:rFonts w:ascii="仿宋_GB2312" w:hAnsi="仿宋_GB2312" w:eastAsia="仿宋_GB2312" w:cs="仿宋_GB2312"/>
          <w:sz w:val="32"/>
          <w:szCs w:val="32"/>
        </w:rPr>
      </w:pPr>
      <w:bookmarkStart w:id="139" w:name="_Toc957"/>
      <w:bookmarkStart w:id="140" w:name="_Toc4649"/>
      <w:r>
        <w:rPr>
          <w:rFonts w:hint="eastAsia" w:ascii="仿宋_GB2312" w:hAnsi="仿宋_GB2312" w:eastAsia="仿宋_GB2312" w:cs="仿宋_GB2312"/>
          <w:sz w:val="32"/>
          <w:szCs w:val="32"/>
        </w:rPr>
        <w:t>二、项目实施及管理情况</w:t>
      </w:r>
      <w:bookmarkEnd w:id="139"/>
      <w:bookmarkEnd w:id="140"/>
    </w:p>
    <w:p>
      <w:pPr>
        <w:spacing w:line="580" w:lineRule="exact"/>
        <w:ind w:firstLine="64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ab/>
      </w:r>
      <w:bookmarkStart w:id="141" w:name="_Toc9366"/>
      <w:bookmarkStart w:id="142" w:name="_Toc6686"/>
      <w:r>
        <w:rPr>
          <w:rFonts w:hint="eastAsia" w:ascii="仿宋_GB2312" w:hAnsi="仿宋_GB2312" w:eastAsia="仿宋_GB2312" w:cs="仿宋_GB2312"/>
          <w:sz w:val="32"/>
          <w:szCs w:val="32"/>
          <w:lang w:val="zh-CN"/>
        </w:rPr>
        <w:t>（一）资金计划、到位及使用情况。</w:t>
      </w:r>
      <w:bookmarkEnd w:id="141"/>
      <w:bookmarkEnd w:id="142"/>
    </w:p>
    <w:p>
      <w:pPr>
        <w:spacing w:line="58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1．资金计划及到位。</w:t>
      </w:r>
      <w:r>
        <w:rPr>
          <w:rFonts w:hint="eastAsia" w:ascii="仿宋_GB2312" w:hAnsi="仿宋_GB2312" w:eastAsia="仿宋_GB2312" w:cs="仿宋_GB2312"/>
          <w:sz w:val="32"/>
          <w:szCs w:val="32"/>
          <w:lang w:val="en-US" w:eastAsia="zh-CN"/>
        </w:rPr>
        <w:t>2021年巡察专项经费300万元已全部到位，资金到位及时，</w:t>
      </w:r>
      <w:r>
        <w:rPr>
          <w:rFonts w:hint="eastAsia" w:ascii="仿宋_GB2312" w:hAnsi="仿宋_GB2312" w:eastAsia="仿宋_GB2312" w:cs="仿宋_GB2312"/>
          <w:sz w:val="32"/>
          <w:szCs w:val="32"/>
          <w:lang w:val="zh-CN"/>
        </w:rPr>
        <w:t>资金到位率</w:t>
      </w:r>
      <w:r>
        <w:rPr>
          <w:rFonts w:hint="eastAsia" w:ascii="仿宋_GB2312" w:hAnsi="仿宋_GB2312" w:eastAsia="仿宋_GB2312" w:cs="仿宋_GB2312"/>
          <w:sz w:val="32"/>
          <w:szCs w:val="32"/>
          <w:lang w:val="en-US" w:eastAsia="zh-CN"/>
        </w:rPr>
        <w:t>100%。</w:t>
      </w:r>
    </w:p>
    <w:p>
      <w:pPr>
        <w:spacing w:line="580" w:lineRule="exact"/>
        <w:ind w:firstLine="64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2．资金使用。截止评价时点</w:t>
      </w:r>
      <w:r>
        <w:rPr>
          <w:rFonts w:hint="eastAsia" w:ascii="仿宋_GB2312" w:hAnsi="仿宋_GB2312" w:eastAsia="仿宋_GB2312" w:cs="仿宋_GB2312"/>
          <w:sz w:val="32"/>
          <w:szCs w:val="32"/>
          <w:lang w:val="en-US" w:eastAsia="zh-CN"/>
        </w:rPr>
        <w:t>专项经费</w:t>
      </w:r>
      <w:r>
        <w:rPr>
          <w:rFonts w:hint="eastAsia" w:ascii="仿宋_GB2312" w:hAnsi="仿宋_GB2312" w:eastAsia="仿宋_GB2312" w:cs="仿宋_GB2312"/>
          <w:sz w:val="32"/>
          <w:szCs w:val="32"/>
          <w:lang w:val="zh-CN"/>
        </w:rPr>
        <w:t>实际支出</w:t>
      </w:r>
      <w:r>
        <w:rPr>
          <w:rFonts w:hint="eastAsia" w:ascii="仿宋_GB2312" w:hAnsi="仿宋_GB2312" w:eastAsia="仿宋_GB2312" w:cs="仿宋_GB2312"/>
          <w:sz w:val="32"/>
          <w:szCs w:val="32"/>
          <w:lang w:val="zh-CN" w:eastAsia="zh-CN"/>
        </w:rPr>
        <w:t>3</w:t>
      </w:r>
      <w:r>
        <w:rPr>
          <w:rFonts w:hint="eastAsia" w:ascii="仿宋_GB2312" w:hAnsi="仿宋_GB2312" w:eastAsia="仿宋_GB2312" w:cs="仿宋_GB2312"/>
          <w:sz w:val="32"/>
          <w:szCs w:val="32"/>
          <w:lang w:val="en-US" w:eastAsia="zh-CN"/>
        </w:rPr>
        <w:t>83.07万元</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主要用于巡察期间工作经费</w:t>
      </w:r>
      <w:r>
        <w:rPr>
          <w:rFonts w:hint="eastAsia" w:ascii="仿宋_GB2312" w:hAnsi="仿宋_GB2312" w:eastAsia="仿宋_GB2312" w:cs="仿宋_GB2312"/>
          <w:sz w:val="32"/>
          <w:szCs w:val="32"/>
          <w:lang w:val="zh-CN"/>
        </w:rPr>
        <w:t>，支付合规合法，资金支付与预算相符。</w:t>
      </w:r>
    </w:p>
    <w:p>
      <w:pPr>
        <w:spacing w:line="580" w:lineRule="exact"/>
        <w:ind w:firstLine="640"/>
        <w:rPr>
          <w:rFonts w:ascii="仿宋_GB2312" w:hAnsi="仿宋_GB2312" w:eastAsia="仿宋_GB2312" w:cs="仿宋_GB2312"/>
          <w:sz w:val="32"/>
          <w:szCs w:val="32"/>
          <w:lang w:val="zh-CN"/>
        </w:rPr>
      </w:pPr>
      <w:bookmarkStart w:id="143" w:name="_Toc12875"/>
      <w:bookmarkStart w:id="144" w:name="_Toc5330"/>
      <w:r>
        <w:rPr>
          <w:rFonts w:hint="eastAsia" w:ascii="仿宋_GB2312" w:hAnsi="仿宋_GB2312" w:eastAsia="仿宋_GB2312" w:cs="仿宋_GB2312"/>
          <w:sz w:val="32"/>
          <w:szCs w:val="32"/>
          <w:lang w:val="zh-CN"/>
        </w:rPr>
        <w:t>（二）项目财务管理情况。</w:t>
      </w:r>
      <w:bookmarkEnd w:id="143"/>
      <w:bookmarkEnd w:id="144"/>
    </w:p>
    <w:p>
      <w:pPr>
        <w:spacing w:line="580" w:lineRule="exact"/>
        <w:ind w:firstLine="64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巡察专项经费</w:t>
      </w:r>
      <w:r>
        <w:rPr>
          <w:rFonts w:hint="eastAsia" w:ascii="仿宋_GB2312" w:hAnsi="仿宋_GB2312" w:eastAsia="仿宋_GB2312" w:cs="仿宋_GB2312"/>
          <w:sz w:val="32"/>
          <w:szCs w:val="32"/>
          <w:lang w:val="zh-CN"/>
        </w:rPr>
        <w:t>严格执行财务管理制度、财务处理及时、会计核算规范。</w:t>
      </w:r>
    </w:p>
    <w:p>
      <w:pPr>
        <w:spacing w:line="580" w:lineRule="exact"/>
        <w:ind w:firstLine="640"/>
        <w:rPr>
          <w:rFonts w:ascii="仿宋_GB2312" w:hAnsi="仿宋_GB2312" w:eastAsia="仿宋_GB2312" w:cs="仿宋_GB2312"/>
          <w:sz w:val="32"/>
          <w:szCs w:val="32"/>
          <w:lang w:val="zh-CN"/>
        </w:rPr>
      </w:pPr>
      <w:bookmarkStart w:id="145" w:name="_Toc16239"/>
      <w:bookmarkStart w:id="146" w:name="_Toc8415"/>
      <w:r>
        <w:rPr>
          <w:rFonts w:hint="eastAsia" w:ascii="仿宋_GB2312" w:hAnsi="仿宋_GB2312" w:eastAsia="仿宋_GB2312" w:cs="仿宋_GB2312"/>
          <w:sz w:val="32"/>
          <w:szCs w:val="32"/>
          <w:lang w:val="zh-CN"/>
        </w:rPr>
        <w:t>（三）项目组织实施情况。</w:t>
      </w:r>
      <w:bookmarkEnd w:id="145"/>
      <w:bookmarkEnd w:id="146"/>
    </w:p>
    <w:p>
      <w:pPr>
        <w:spacing w:line="580" w:lineRule="exact"/>
        <w:ind w:firstLine="64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巡察专项经费属于业务经费，主要用于巡察期间工作经费，包括巡察期间办公费、食宿费、租车费以及差旅费等费用</w:t>
      </w:r>
      <w:r>
        <w:rPr>
          <w:rFonts w:hint="eastAsia" w:ascii="仿宋_GB2312" w:hAnsi="仿宋_GB2312" w:eastAsia="仿宋_GB2312" w:cs="仿宋_GB2312"/>
          <w:sz w:val="32"/>
          <w:szCs w:val="32"/>
          <w:lang w:val="zh-CN"/>
        </w:rPr>
        <w:t>。</w:t>
      </w:r>
    </w:p>
    <w:p>
      <w:pPr>
        <w:spacing w:line="580" w:lineRule="exact"/>
        <w:ind w:firstLine="640"/>
        <w:rPr>
          <w:rFonts w:ascii="仿宋_GB2312" w:hAnsi="仿宋_GB2312" w:eastAsia="仿宋_GB2312" w:cs="仿宋_GB2312"/>
          <w:sz w:val="32"/>
          <w:szCs w:val="32"/>
          <w:lang w:val="zh-CN"/>
        </w:rPr>
      </w:pPr>
      <w:bookmarkStart w:id="147" w:name="_Toc5308"/>
      <w:bookmarkStart w:id="148" w:name="_Toc14362"/>
      <w:r>
        <w:rPr>
          <w:rFonts w:hint="eastAsia" w:ascii="仿宋_GB2312" w:hAnsi="仿宋_GB2312" w:eastAsia="仿宋_GB2312" w:cs="仿宋_GB2312"/>
          <w:sz w:val="32"/>
          <w:szCs w:val="32"/>
        </w:rPr>
        <w:t>三、项目绩效情况</w:t>
      </w:r>
      <w:bookmarkEnd w:id="147"/>
      <w:bookmarkEnd w:id="148"/>
      <w:r>
        <w:rPr>
          <w:rFonts w:hint="eastAsia" w:ascii="仿宋_GB2312" w:hAnsi="仿宋_GB2312" w:eastAsia="仿宋_GB2312" w:cs="仿宋_GB2312"/>
          <w:sz w:val="32"/>
          <w:szCs w:val="32"/>
          <w:lang w:val="zh-CN"/>
        </w:rPr>
        <w:tab/>
      </w:r>
    </w:p>
    <w:p>
      <w:pPr>
        <w:spacing w:line="58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（一）项目完成情况。</w:t>
      </w:r>
    </w:p>
    <w:p>
      <w:pPr>
        <w:spacing w:line="580" w:lineRule="exact"/>
        <w:ind w:firstLine="64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年</w:t>
      </w:r>
      <w:r>
        <w:rPr>
          <w:rFonts w:hint="eastAsia" w:ascii="仿宋_GB2312" w:hAnsi="仿宋_GB2312" w:eastAsia="仿宋_GB2312" w:cs="仿宋_GB2312"/>
          <w:sz w:val="32"/>
          <w:szCs w:val="32"/>
          <w:lang w:val="en-US" w:eastAsia="zh-CN"/>
        </w:rPr>
        <w:t>市委巡察机构共计开展3次</w:t>
      </w:r>
      <w:r>
        <w:rPr>
          <w:rFonts w:hint="eastAsia" w:ascii="仿宋_GB2312" w:hAnsi="仿宋_GB2312" w:eastAsia="仿宋_GB2312" w:cs="仿宋_GB2312"/>
          <w:sz w:val="32"/>
          <w:szCs w:val="32"/>
          <w:lang w:val="zh-CN" w:eastAsia="zh-CN"/>
        </w:rPr>
        <w:t>巡察，</w:t>
      </w:r>
      <w:r>
        <w:rPr>
          <w:rFonts w:hint="eastAsia" w:ascii="仿宋_GB2312" w:hAnsi="仿宋_GB2312" w:eastAsia="仿宋_GB2312" w:cs="仿宋_GB2312"/>
          <w:sz w:val="32"/>
          <w:szCs w:val="32"/>
          <w:lang w:val="en-US" w:eastAsia="zh-CN"/>
        </w:rPr>
        <w:t>一是开展了五届市委第九轮巡察，对17个单位开展常规巡察，对7个单位开展“回头看”，二是对全市森林防灭火工作开展机动式巡察，对6个县（市、区）换届风气开展专项巡察，三是对市本级涉粮单位、企业以及6个县（市、区）党委政府落实粮食安全主体责任情况开展粮食购销领域专项巡察，并指导督导6个县（市、区）巡察组开展交叉巡察。组织</w:t>
      </w:r>
      <w:r>
        <w:rPr>
          <w:rFonts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小平干部学院</w:t>
      </w:r>
      <w:r>
        <w:rPr>
          <w:rFonts w:ascii="仿宋_GB2312" w:hAnsi="仿宋_GB2312" w:eastAsia="仿宋_GB2312" w:cs="仿宋_GB2312"/>
          <w:sz w:val="32"/>
          <w:szCs w:val="32"/>
        </w:rPr>
        <w:t>举办巡察干部培训班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项目计划目标</w:t>
      </w:r>
      <w:r>
        <w:rPr>
          <w:rFonts w:hint="eastAsia" w:ascii="仿宋_GB2312" w:hAnsi="仿宋_GB2312" w:eastAsia="仿宋_GB2312" w:cs="仿宋_GB2312"/>
          <w:sz w:val="32"/>
          <w:szCs w:val="32"/>
          <w:lang w:val="en-US" w:eastAsia="zh-CN"/>
        </w:rPr>
        <w:t>圆满</w:t>
      </w:r>
      <w:r>
        <w:rPr>
          <w:rFonts w:hint="eastAsia" w:ascii="仿宋_GB2312" w:hAnsi="仿宋_GB2312" w:eastAsia="仿宋_GB2312" w:cs="仿宋_GB2312"/>
          <w:sz w:val="32"/>
          <w:szCs w:val="32"/>
          <w:lang w:val="zh-CN" w:eastAsia="zh-CN"/>
        </w:rPr>
        <w:t>完成。</w:t>
      </w:r>
    </w:p>
    <w:p>
      <w:pPr>
        <w:spacing w:line="58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（二）项目效益情况。</w:t>
      </w:r>
      <w:r>
        <w:rPr>
          <w:rFonts w:hint="eastAsia" w:ascii="仿宋_GB2312" w:hAnsi="仿宋_GB2312" w:eastAsia="仿宋_GB2312" w:cs="仿宋_GB2312"/>
          <w:sz w:val="32"/>
          <w:szCs w:val="32"/>
          <w:lang w:val="en-US" w:eastAsia="zh-CN"/>
        </w:rPr>
        <w:t>截至2021年8月，五届市委巡察工作共开展9轮常规巡察、完成对127个单位的巡察全覆盖，共计发现问题1371个（含立行立改问题747个），移送问题线索89件；全市森林防灭火工作机动式巡察发现问题35个，移送问题线索4件；换届风气专项巡察，发现问题40个；粮食购销领域专项巡察全市共发现问题107个，向纪委监委移交问题线索18件。</w:t>
      </w:r>
    </w:p>
    <w:p>
      <w:pPr>
        <w:spacing w:line="580" w:lineRule="exact"/>
        <w:ind w:firstLine="640"/>
        <w:rPr>
          <w:rFonts w:ascii="仿宋_GB2312" w:hAnsi="仿宋_GB2312" w:eastAsia="仿宋_GB2312" w:cs="仿宋_GB2312"/>
          <w:sz w:val="32"/>
          <w:szCs w:val="32"/>
        </w:rPr>
      </w:pPr>
      <w:bookmarkStart w:id="149" w:name="_Toc19077"/>
      <w:bookmarkStart w:id="150" w:name="_Toc9798"/>
      <w:r>
        <w:rPr>
          <w:rFonts w:hint="eastAsia" w:ascii="仿宋_GB2312" w:hAnsi="仿宋_GB2312" w:eastAsia="仿宋_GB2312" w:cs="仿宋_GB2312"/>
          <w:sz w:val="32"/>
          <w:szCs w:val="32"/>
        </w:rPr>
        <w:t>四、问题及建议</w:t>
      </w:r>
      <w:bookmarkEnd w:id="149"/>
      <w:bookmarkEnd w:id="150"/>
    </w:p>
    <w:p>
      <w:pPr>
        <w:spacing w:line="58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（一）存在的问题。</w:t>
      </w:r>
    </w:p>
    <w:p>
      <w:pPr>
        <w:spacing w:line="58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预算编制和预算执行有偏差。由于2021年巡察任务加重，年初经费预算不足，导致中途预算追加，造成预决算之间的差异。</w:t>
      </w:r>
    </w:p>
    <w:p>
      <w:pPr>
        <w:spacing w:line="58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（二）相关建议。</w:t>
      </w:r>
      <w:r>
        <w:rPr>
          <w:rFonts w:hint="eastAsia" w:ascii="仿宋_GB2312" w:hAnsi="仿宋_GB2312" w:eastAsia="仿宋_GB2312" w:cs="仿宋_GB2312"/>
          <w:sz w:val="32"/>
          <w:szCs w:val="32"/>
          <w:lang w:val="en-US" w:eastAsia="zh-CN"/>
        </w:rPr>
        <w:t>进一步强化预算管理意识，提升预算方案编制合理性。强化预算的刚性约束，凡事做到“先预算后开支”，重视对财政资金的追踪问效，提高财政资金的使用效益。</w:t>
      </w:r>
    </w:p>
    <w:p>
      <w:pPr>
        <w:spacing w:line="580" w:lineRule="exact"/>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附件3：</w:t>
      </w:r>
    </w:p>
    <w:p>
      <w:pPr>
        <w:spacing w:line="580" w:lineRule="exact"/>
        <w:ind w:firstLine="640"/>
        <w:jc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2021年100万元以上（含）特定目标类</w:t>
      </w:r>
    </w:p>
    <w:p>
      <w:pPr>
        <w:spacing w:line="580" w:lineRule="exact"/>
        <w:ind w:firstLine="640"/>
        <w:jc w:val="cente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部门预算项目绩效目标自评表</w:t>
      </w:r>
    </w:p>
    <w:p>
      <w:pPr>
        <w:pStyle w:val="2"/>
        <w:rPr>
          <w:rFonts w:hint="default"/>
          <w:lang w:val="en-US" w:eastAsia="zh-CN"/>
        </w:rPr>
      </w:pPr>
    </w:p>
    <w:tbl>
      <w:tblPr>
        <w:tblStyle w:val="15"/>
        <w:tblW w:w="8862" w:type="dxa"/>
        <w:tblInd w:w="0" w:type="dxa"/>
        <w:tblLayout w:type="fixed"/>
        <w:tblCellMar>
          <w:top w:w="0" w:type="dxa"/>
          <w:left w:w="0" w:type="dxa"/>
          <w:bottom w:w="0" w:type="dxa"/>
          <w:right w:w="0" w:type="dxa"/>
        </w:tblCellMar>
      </w:tblPr>
      <w:tblGrid>
        <w:gridCol w:w="722"/>
        <w:gridCol w:w="1193"/>
        <w:gridCol w:w="1290"/>
        <w:gridCol w:w="540"/>
        <w:gridCol w:w="1205"/>
        <w:gridCol w:w="1927"/>
        <w:gridCol w:w="1985"/>
      </w:tblGrid>
      <w:tr>
        <w:tblPrEx>
          <w:tblLayout w:type="fixed"/>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项目名称</w:t>
            </w:r>
          </w:p>
        </w:tc>
        <w:tc>
          <w:tcPr>
            <w:tcW w:w="694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eastAsia" w:ascii="宋体" w:hAnsi="宋体" w:eastAsia="宋体" w:cs="宋体"/>
                <w:b/>
                <w:bCs/>
                <w:spacing w:val="6"/>
                <w:sz w:val="20"/>
                <w:szCs w:val="20"/>
                <w:lang w:val="en-US" w:eastAsia="zh-CN"/>
              </w:rPr>
            </w:pPr>
          </w:p>
        </w:tc>
      </w:tr>
      <w:tr>
        <w:tblPrEx>
          <w:tblLayout w:type="fixed"/>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r>
      <w:tr>
        <w:tblPrEx>
          <w:tblLayout w:type="fixed"/>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项目预算</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执行情况</w:t>
            </w: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（万元）</w:t>
            </w: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r>
      <w:tr>
        <w:tblPrEx>
          <w:tblLayout w:type="fixed"/>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r>
      <w:tr>
        <w:tblPrEx>
          <w:tblLayout w:type="fixed"/>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r>
      <w:tr>
        <w:tblPrEx>
          <w:tblLayout w:type="fixed"/>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br w:type="textWrapping"/>
            </w:r>
            <w:r>
              <w:rPr>
                <w:rFonts w:hint="eastAsia" w:ascii="宋体" w:hAnsi="宋体" w:eastAsia="宋体" w:cs="宋体"/>
                <w:b/>
                <w:bCs/>
                <w:spacing w:val="6"/>
                <w:sz w:val="20"/>
                <w:szCs w:val="20"/>
                <w:lang w:val="en-US" w:eastAsia="zh-CN"/>
              </w:rPr>
              <w:t>年度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总体</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完成</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情况</w:t>
            </w: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预期目标</w:t>
            </w: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目标实际完成情况</w:t>
            </w:r>
          </w:p>
        </w:tc>
      </w:tr>
      <w:tr>
        <w:tblPrEx>
          <w:tblLayout w:type="fixed"/>
          <w:tblCellMar>
            <w:top w:w="0" w:type="dxa"/>
            <w:left w:w="0" w:type="dxa"/>
            <w:bottom w:w="0" w:type="dxa"/>
            <w:right w:w="0" w:type="dxa"/>
          </w:tblCellMar>
        </w:tblPrEx>
        <w:trPr>
          <w:trHeight w:val="1684" w:hRule="atLeast"/>
        </w:trPr>
        <w:tc>
          <w:tcPr>
            <w:tcW w:w="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p>
        </w:tc>
        <w:tc>
          <w:tcPr>
            <w:tcW w:w="42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3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r>
      <w:tr>
        <w:tblPrEx>
          <w:tblLayout w:type="fixed"/>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年度绩效指标完成情况</w:t>
            </w:r>
          </w:p>
        </w:tc>
        <w:tc>
          <w:tcPr>
            <w:tcW w:w="11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b/>
                <w:bCs/>
                <w:spacing w:val="6"/>
                <w:sz w:val="20"/>
                <w:szCs w:val="20"/>
                <w:lang w:val="en-US" w:eastAsia="zh-CN"/>
              </w:rPr>
              <w:t>一级指标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二级指标</w:t>
            </w: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三级指标</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预期指标值</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实际完成指标值</w:t>
            </w:r>
          </w:p>
        </w:tc>
      </w:tr>
      <w:tr>
        <w:tblPrEx>
          <w:tblLayout w:type="fixed"/>
          <w:tblCellMar>
            <w:top w:w="0" w:type="dxa"/>
            <w:left w:w="0" w:type="dxa"/>
            <w:bottom w:w="0" w:type="dxa"/>
            <w:right w:w="0" w:type="dxa"/>
          </w:tblCellMar>
        </w:tblPrEx>
        <w:trPr>
          <w:trHeight w:val="865"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完</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成</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Layout w:type="fixed"/>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Layout w:type="fixed"/>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Layout w:type="fixed"/>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Layout w:type="fixed"/>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效</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益</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Layout w:type="fixed"/>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Layout w:type="fixed"/>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r>
        <w:tblPrEx>
          <w:tblLayout w:type="fixed"/>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pacing w:val="6"/>
                <w:sz w:val="20"/>
                <w:szCs w:val="20"/>
                <w:lang w:val="en-US" w:eastAsia="zh-CN"/>
              </w:rPr>
            </w:pPr>
          </w:p>
        </w:tc>
        <w:tc>
          <w:tcPr>
            <w:tcW w:w="1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spacing w:val="6"/>
                <w:sz w:val="20"/>
                <w:szCs w:val="20"/>
                <w:lang w:val="en-US" w:eastAsia="zh-CN"/>
              </w:rPr>
            </w:pPr>
            <w:r>
              <w:rPr>
                <w:rFonts w:hint="default" w:ascii="宋体" w:hAnsi="宋体" w:eastAsia="宋体" w:cs="宋体"/>
                <w:b/>
                <w:bCs/>
                <w:spacing w:val="6"/>
                <w:sz w:val="20"/>
                <w:szCs w:val="20"/>
                <w:lang w:val="en-US" w:eastAsia="zh-CN"/>
              </w:rPr>
              <w:t>满意</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度指</w:t>
            </w:r>
            <w:r>
              <w:rPr>
                <w:rFonts w:hint="default" w:ascii="宋体" w:hAnsi="宋体" w:eastAsia="宋体" w:cs="宋体"/>
                <w:b/>
                <w:bCs/>
                <w:spacing w:val="6"/>
                <w:sz w:val="20"/>
                <w:szCs w:val="20"/>
                <w:lang w:val="en-US" w:eastAsia="zh-CN"/>
              </w:rPr>
              <w:br w:type="textWrapping"/>
            </w:r>
            <w:r>
              <w:rPr>
                <w:rFonts w:hint="default" w:ascii="宋体" w:hAnsi="宋体" w:eastAsia="宋体" w:cs="宋体"/>
                <w:b/>
                <w:bCs/>
                <w:spacing w:val="6"/>
                <w:sz w:val="20"/>
                <w:szCs w:val="20"/>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pacing w:val="6"/>
                <w:sz w:val="20"/>
                <w:szCs w:val="20"/>
                <w:lang w:val="en-US" w:eastAsia="zh-CN"/>
              </w:rPr>
            </w:pPr>
          </w:p>
        </w:tc>
      </w:tr>
    </w:tbl>
    <w:p>
      <w:pPr>
        <w:spacing w:line="580" w:lineRule="exact"/>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注：不涉及100万元以上（含）特定目标类部门预算项目。</w:t>
      </w:r>
    </w:p>
    <w:p>
      <w:pPr>
        <w:spacing w:line="580" w:lineRule="exact"/>
        <w:ind w:firstLine="640"/>
        <w:rPr>
          <w:rFonts w:ascii="仿宋_GB2312" w:hAnsi="仿宋_GB2312" w:eastAsia="仿宋_GB2312" w:cs="仿宋_GB2312"/>
          <w:sz w:val="32"/>
          <w:szCs w:val="32"/>
          <w:lang w:val="zh-CN"/>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151" w:name="_Toc15396618"/>
      <w:bookmarkStart w:id="152" w:name="_Toc11308"/>
      <w:bookmarkStart w:id="153" w:name="_Toc26230"/>
      <w:r>
        <w:rPr>
          <w:rFonts w:hint="eastAsia" w:ascii="黑体" w:hAnsi="黑体" w:eastAsia="黑体"/>
          <w:color w:val="000000"/>
          <w:sz w:val="44"/>
          <w:szCs w:val="44"/>
        </w:rPr>
        <w:t>第</w:t>
      </w:r>
      <w:r>
        <w:rPr>
          <w:rStyle w:val="24"/>
          <w:rFonts w:hint="eastAsia" w:ascii="黑体" w:hAnsi="黑体" w:eastAsia="黑体"/>
          <w:b w:val="0"/>
        </w:rPr>
        <w:t>五部分 附表</w:t>
      </w:r>
      <w:bookmarkEnd w:id="113"/>
      <w:bookmarkEnd w:id="151"/>
      <w:bookmarkEnd w:id="152"/>
      <w:bookmarkEnd w:id="153"/>
    </w:p>
    <w:p>
      <w:pPr>
        <w:pStyle w:val="4"/>
        <w:rPr>
          <w:rFonts w:hint="eastAsia" w:ascii="仿宋_GB2312" w:hAnsi="仿宋_GB2312" w:eastAsia="仿宋_GB2312" w:cs="仿宋_GB2312"/>
          <w:b w:val="0"/>
          <w:bCs w:val="0"/>
          <w:kern w:val="2"/>
          <w:sz w:val="32"/>
          <w:szCs w:val="32"/>
          <w:lang w:val="en-US" w:eastAsia="zh-CN" w:bidi="ar-SA"/>
        </w:rPr>
      </w:pPr>
      <w:bookmarkStart w:id="154" w:name="_Toc21232"/>
      <w:bookmarkStart w:id="155" w:name="_Toc15396619"/>
      <w:bookmarkStart w:id="156" w:name="_Toc20978"/>
      <w:r>
        <w:rPr>
          <w:rFonts w:hint="eastAsia" w:ascii="仿宋_GB2312" w:hAnsi="仿宋_GB2312" w:eastAsia="仿宋_GB2312" w:cs="仿宋_GB2312"/>
          <w:b w:val="0"/>
          <w:bCs w:val="0"/>
          <w:kern w:val="2"/>
          <w:sz w:val="32"/>
          <w:szCs w:val="32"/>
          <w:lang w:val="en-US" w:eastAsia="zh-CN" w:bidi="ar-SA"/>
        </w:rPr>
        <w:t>一、收入支出决算总表</w:t>
      </w:r>
      <w:bookmarkEnd w:id="154"/>
      <w:bookmarkEnd w:id="155"/>
      <w:bookmarkEnd w:id="156"/>
    </w:p>
    <w:p>
      <w:pPr>
        <w:pStyle w:val="4"/>
        <w:rPr>
          <w:rFonts w:hint="eastAsia" w:ascii="仿宋_GB2312" w:hAnsi="仿宋_GB2312" w:eastAsia="仿宋_GB2312" w:cs="仿宋_GB2312"/>
          <w:b w:val="0"/>
          <w:bCs w:val="0"/>
          <w:kern w:val="2"/>
          <w:sz w:val="32"/>
          <w:szCs w:val="32"/>
          <w:lang w:val="en-US" w:eastAsia="zh-CN" w:bidi="ar-SA"/>
        </w:rPr>
      </w:pPr>
      <w:bookmarkStart w:id="157" w:name="_Toc15396620"/>
      <w:bookmarkStart w:id="158" w:name="_Toc27"/>
      <w:bookmarkStart w:id="159" w:name="_Toc9231"/>
      <w:r>
        <w:rPr>
          <w:rFonts w:hint="eastAsia" w:ascii="仿宋_GB2312" w:hAnsi="仿宋_GB2312" w:eastAsia="仿宋_GB2312" w:cs="仿宋_GB2312"/>
          <w:b w:val="0"/>
          <w:bCs w:val="0"/>
          <w:kern w:val="2"/>
          <w:sz w:val="32"/>
          <w:szCs w:val="32"/>
          <w:lang w:val="en-US" w:eastAsia="zh-CN" w:bidi="ar-SA"/>
        </w:rPr>
        <w:t>二、收入决算表</w:t>
      </w:r>
      <w:bookmarkEnd w:id="157"/>
      <w:bookmarkEnd w:id="158"/>
      <w:bookmarkEnd w:id="159"/>
    </w:p>
    <w:p>
      <w:pPr>
        <w:pStyle w:val="4"/>
        <w:rPr>
          <w:rFonts w:hint="eastAsia" w:ascii="仿宋_GB2312" w:hAnsi="仿宋_GB2312" w:eastAsia="仿宋_GB2312" w:cs="仿宋_GB2312"/>
          <w:b w:val="0"/>
          <w:bCs w:val="0"/>
          <w:kern w:val="2"/>
          <w:sz w:val="32"/>
          <w:szCs w:val="32"/>
          <w:lang w:val="en-US" w:eastAsia="zh-CN" w:bidi="ar-SA"/>
        </w:rPr>
      </w:pPr>
      <w:bookmarkStart w:id="160" w:name="_Toc22559"/>
      <w:bookmarkStart w:id="161" w:name="_Toc15396621"/>
      <w:bookmarkStart w:id="162" w:name="_Toc21499"/>
      <w:r>
        <w:rPr>
          <w:rFonts w:hint="eastAsia" w:ascii="仿宋_GB2312" w:hAnsi="仿宋_GB2312" w:eastAsia="仿宋_GB2312" w:cs="仿宋_GB2312"/>
          <w:b w:val="0"/>
          <w:bCs w:val="0"/>
          <w:kern w:val="2"/>
          <w:sz w:val="32"/>
          <w:szCs w:val="32"/>
          <w:lang w:val="en-US" w:eastAsia="zh-CN" w:bidi="ar-SA"/>
        </w:rPr>
        <w:t>三、支出决算表</w:t>
      </w:r>
      <w:bookmarkEnd w:id="160"/>
      <w:bookmarkEnd w:id="161"/>
      <w:bookmarkEnd w:id="162"/>
    </w:p>
    <w:p>
      <w:pPr>
        <w:pStyle w:val="4"/>
        <w:rPr>
          <w:rFonts w:hint="eastAsia" w:ascii="仿宋_GB2312" w:hAnsi="仿宋_GB2312" w:eastAsia="仿宋_GB2312" w:cs="仿宋_GB2312"/>
          <w:b w:val="0"/>
          <w:bCs w:val="0"/>
          <w:kern w:val="2"/>
          <w:sz w:val="32"/>
          <w:szCs w:val="32"/>
          <w:lang w:val="en-US" w:eastAsia="zh-CN" w:bidi="ar-SA"/>
        </w:rPr>
      </w:pPr>
      <w:bookmarkStart w:id="163" w:name="_Toc15396622"/>
      <w:bookmarkStart w:id="164" w:name="_Toc25998"/>
      <w:bookmarkStart w:id="165" w:name="_Toc9675"/>
      <w:r>
        <w:rPr>
          <w:rFonts w:hint="eastAsia" w:ascii="仿宋_GB2312" w:hAnsi="仿宋_GB2312" w:eastAsia="仿宋_GB2312" w:cs="仿宋_GB2312"/>
          <w:b w:val="0"/>
          <w:bCs w:val="0"/>
          <w:kern w:val="2"/>
          <w:sz w:val="32"/>
          <w:szCs w:val="32"/>
          <w:lang w:val="en-US" w:eastAsia="zh-CN" w:bidi="ar-SA"/>
        </w:rPr>
        <w:t>四、财政拨款收入支出决算总表</w:t>
      </w:r>
      <w:bookmarkEnd w:id="163"/>
      <w:bookmarkEnd w:id="164"/>
      <w:bookmarkEnd w:id="165"/>
    </w:p>
    <w:p>
      <w:pPr>
        <w:pStyle w:val="4"/>
        <w:rPr>
          <w:rFonts w:hint="eastAsia" w:ascii="仿宋_GB2312" w:hAnsi="仿宋_GB2312" w:eastAsia="仿宋_GB2312" w:cs="仿宋_GB2312"/>
          <w:b w:val="0"/>
          <w:bCs w:val="0"/>
          <w:kern w:val="2"/>
          <w:sz w:val="32"/>
          <w:szCs w:val="32"/>
          <w:lang w:val="en-US" w:eastAsia="zh-CN" w:bidi="ar-SA"/>
        </w:rPr>
      </w:pPr>
      <w:bookmarkStart w:id="166" w:name="_Toc27462"/>
      <w:bookmarkStart w:id="167" w:name="_Toc15396623"/>
      <w:bookmarkStart w:id="168" w:name="_Toc1042"/>
      <w:r>
        <w:rPr>
          <w:rFonts w:hint="eastAsia" w:ascii="仿宋_GB2312" w:hAnsi="仿宋_GB2312" w:eastAsia="仿宋_GB2312" w:cs="仿宋_GB2312"/>
          <w:b w:val="0"/>
          <w:bCs w:val="0"/>
          <w:kern w:val="2"/>
          <w:sz w:val="32"/>
          <w:szCs w:val="32"/>
          <w:lang w:val="en-US" w:eastAsia="zh-CN" w:bidi="ar-SA"/>
        </w:rPr>
        <w:t>五、财政拨款支出决算明细表</w:t>
      </w:r>
      <w:bookmarkEnd w:id="166"/>
      <w:bookmarkEnd w:id="167"/>
      <w:bookmarkEnd w:id="168"/>
      <w:bookmarkStart w:id="169" w:name="_Toc15396624"/>
    </w:p>
    <w:p>
      <w:pPr>
        <w:pStyle w:val="4"/>
        <w:rPr>
          <w:rFonts w:hint="eastAsia" w:ascii="仿宋_GB2312" w:hAnsi="仿宋_GB2312" w:eastAsia="仿宋_GB2312" w:cs="仿宋_GB2312"/>
          <w:b w:val="0"/>
          <w:bCs w:val="0"/>
          <w:kern w:val="2"/>
          <w:sz w:val="32"/>
          <w:szCs w:val="32"/>
          <w:lang w:val="en-US" w:eastAsia="zh-CN" w:bidi="ar-SA"/>
        </w:rPr>
      </w:pPr>
      <w:bookmarkStart w:id="170" w:name="_Toc3962"/>
      <w:bookmarkStart w:id="171" w:name="_Toc31246"/>
      <w:r>
        <w:rPr>
          <w:rFonts w:hint="eastAsia" w:ascii="仿宋_GB2312" w:hAnsi="仿宋_GB2312" w:eastAsia="仿宋_GB2312" w:cs="仿宋_GB2312"/>
          <w:b w:val="0"/>
          <w:bCs w:val="0"/>
          <w:kern w:val="2"/>
          <w:sz w:val="32"/>
          <w:szCs w:val="32"/>
          <w:lang w:val="en-US" w:eastAsia="zh-CN" w:bidi="ar-SA"/>
        </w:rPr>
        <w:t>六、一般公共预算财政拨款支出决算表</w:t>
      </w:r>
      <w:bookmarkEnd w:id="169"/>
      <w:bookmarkEnd w:id="170"/>
      <w:bookmarkEnd w:id="171"/>
    </w:p>
    <w:p>
      <w:pPr>
        <w:pStyle w:val="4"/>
        <w:rPr>
          <w:rFonts w:hint="eastAsia" w:ascii="仿宋_GB2312" w:hAnsi="仿宋_GB2312" w:eastAsia="仿宋_GB2312" w:cs="仿宋_GB2312"/>
          <w:b w:val="0"/>
          <w:bCs w:val="0"/>
          <w:kern w:val="2"/>
          <w:sz w:val="32"/>
          <w:szCs w:val="32"/>
          <w:lang w:val="en-US" w:eastAsia="zh-CN" w:bidi="ar-SA"/>
        </w:rPr>
      </w:pPr>
      <w:bookmarkStart w:id="172" w:name="_Toc5306"/>
      <w:bookmarkStart w:id="173" w:name="_Toc15396625"/>
      <w:bookmarkStart w:id="174" w:name="_Toc29074"/>
      <w:r>
        <w:rPr>
          <w:rFonts w:hint="eastAsia" w:ascii="仿宋_GB2312" w:hAnsi="仿宋_GB2312" w:eastAsia="仿宋_GB2312" w:cs="仿宋_GB2312"/>
          <w:b w:val="0"/>
          <w:bCs w:val="0"/>
          <w:kern w:val="2"/>
          <w:sz w:val="32"/>
          <w:szCs w:val="32"/>
          <w:lang w:val="en-US" w:eastAsia="zh-CN" w:bidi="ar-SA"/>
        </w:rPr>
        <w:t>七、一般公共预算财政拨款支出决算明细表</w:t>
      </w:r>
      <w:bookmarkEnd w:id="172"/>
      <w:bookmarkEnd w:id="173"/>
      <w:bookmarkEnd w:id="174"/>
    </w:p>
    <w:p>
      <w:pPr>
        <w:pStyle w:val="4"/>
        <w:rPr>
          <w:rFonts w:hint="eastAsia" w:ascii="仿宋_GB2312" w:hAnsi="仿宋_GB2312" w:eastAsia="仿宋_GB2312" w:cs="仿宋_GB2312"/>
          <w:b w:val="0"/>
          <w:bCs w:val="0"/>
          <w:kern w:val="2"/>
          <w:sz w:val="32"/>
          <w:szCs w:val="32"/>
          <w:lang w:val="en-US" w:eastAsia="zh-CN" w:bidi="ar-SA"/>
        </w:rPr>
      </w:pPr>
      <w:bookmarkStart w:id="175" w:name="_Toc15396626"/>
      <w:bookmarkStart w:id="176" w:name="_Toc14740"/>
      <w:bookmarkStart w:id="177" w:name="_Toc6859"/>
      <w:r>
        <w:rPr>
          <w:rFonts w:hint="eastAsia" w:ascii="仿宋_GB2312" w:hAnsi="仿宋_GB2312" w:eastAsia="仿宋_GB2312" w:cs="仿宋_GB2312"/>
          <w:b w:val="0"/>
          <w:bCs w:val="0"/>
          <w:kern w:val="2"/>
          <w:sz w:val="32"/>
          <w:szCs w:val="32"/>
          <w:lang w:val="en-US" w:eastAsia="zh-CN" w:bidi="ar-SA"/>
        </w:rPr>
        <w:t>八、一般公共预算财政拨款基本支出决算表</w:t>
      </w:r>
      <w:bookmarkEnd w:id="175"/>
      <w:bookmarkEnd w:id="176"/>
      <w:bookmarkEnd w:id="177"/>
    </w:p>
    <w:p>
      <w:pPr>
        <w:pStyle w:val="4"/>
        <w:rPr>
          <w:rFonts w:hint="eastAsia" w:ascii="仿宋_GB2312" w:hAnsi="仿宋_GB2312" w:eastAsia="仿宋_GB2312" w:cs="仿宋_GB2312"/>
          <w:b w:val="0"/>
          <w:bCs w:val="0"/>
          <w:kern w:val="2"/>
          <w:sz w:val="32"/>
          <w:szCs w:val="32"/>
          <w:lang w:val="en-US" w:eastAsia="zh-CN" w:bidi="ar-SA"/>
        </w:rPr>
      </w:pPr>
      <w:bookmarkStart w:id="178" w:name="_Toc20136"/>
      <w:bookmarkStart w:id="179" w:name="_Toc23363"/>
      <w:bookmarkStart w:id="180" w:name="_Toc15396627"/>
      <w:r>
        <w:rPr>
          <w:rFonts w:hint="eastAsia" w:ascii="仿宋_GB2312" w:hAnsi="仿宋_GB2312" w:eastAsia="仿宋_GB2312" w:cs="仿宋_GB2312"/>
          <w:b w:val="0"/>
          <w:bCs w:val="0"/>
          <w:kern w:val="2"/>
          <w:sz w:val="32"/>
          <w:szCs w:val="32"/>
          <w:lang w:val="en-US" w:eastAsia="zh-CN" w:bidi="ar-SA"/>
        </w:rPr>
        <w:t>九、一般公共预算财政拨款项目支出决算表</w:t>
      </w:r>
      <w:bookmarkEnd w:id="178"/>
      <w:bookmarkEnd w:id="179"/>
      <w:bookmarkEnd w:id="180"/>
    </w:p>
    <w:p>
      <w:pPr>
        <w:pStyle w:val="4"/>
        <w:rPr>
          <w:rFonts w:hint="eastAsia" w:ascii="仿宋_GB2312" w:hAnsi="仿宋_GB2312" w:eastAsia="仿宋_GB2312" w:cs="仿宋_GB2312"/>
          <w:b w:val="0"/>
          <w:bCs w:val="0"/>
          <w:kern w:val="2"/>
          <w:sz w:val="32"/>
          <w:szCs w:val="32"/>
          <w:lang w:val="en-US" w:eastAsia="zh-CN" w:bidi="ar-SA"/>
        </w:rPr>
      </w:pPr>
      <w:bookmarkStart w:id="181" w:name="_Toc25378"/>
      <w:bookmarkStart w:id="182" w:name="_Toc24626"/>
      <w:bookmarkStart w:id="183" w:name="_Toc15396628"/>
      <w:r>
        <w:rPr>
          <w:rFonts w:hint="eastAsia" w:ascii="仿宋_GB2312" w:hAnsi="仿宋_GB2312" w:eastAsia="仿宋_GB2312" w:cs="仿宋_GB2312"/>
          <w:b w:val="0"/>
          <w:bCs w:val="0"/>
          <w:kern w:val="2"/>
          <w:sz w:val="32"/>
          <w:szCs w:val="32"/>
          <w:lang w:val="en-US" w:eastAsia="zh-CN" w:bidi="ar-SA"/>
        </w:rPr>
        <w:t>十、一般公共预算财政拨款“三公”经费支出决算表</w:t>
      </w:r>
      <w:bookmarkEnd w:id="181"/>
      <w:bookmarkEnd w:id="182"/>
      <w:bookmarkEnd w:id="183"/>
    </w:p>
    <w:p>
      <w:pPr>
        <w:pStyle w:val="4"/>
        <w:rPr>
          <w:rFonts w:hint="eastAsia" w:ascii="仿宋_GB2312" w:hAnsi="仿宋_GB2312" w:eastAsia="仿宋_GB2312" w:cs="仿宋_GB2312"/>
          <w:b w:val="0"/>
          <w:bCs w:val="0"/>
          <w:kern w:val="2"/>
          <w:sz w:val="32"/>
          <w:szCs w:val="32"/>
          <w:lang w:val="en-US" w:eastAsia="zh-CN" w:bidi="ar-SA"/>
        </w:rPr>
      </w:pPr>
      <w:bookmarkStart w:id="184" w:name="_Toc15396629"/>
      <w:bookmarkStart w:id="185" w:name="_Toc26161"/>
      <w:bookmarkStart w:id="186" w:name="_Toc13989"/>
      <w:r>
        <w:rPr>
          <w:rFonts w:hint="eastAsia" w:ascii="仿宋_GB2312" w:hAnsi="仿宋_GB2312" w:eastAsia="仿宋_GB2312" w:cs="仿宋_GB2312"/>
          <w:b w:val="0"/>
          <w:bCs w:val="0"/>
          <w:kern w:val="2"/>
          <w:sz w:val="32"/>
          <w:szCs w:val="32"/>
          <w:lang w:val="en-US" w:eastAsia="zh-CN" w:bidi="ar-SA"/>
        </w:rPr>
        <w:t>十一、政府性基金预算财政拨款收入支出决算表</w:t>
      </w:r>
      <w:bookmarkEnd w:id="184"/>
      <w:bookmarkEnd w:id="185"/>
      <w:bookmarkEnd w:id="186"/>
    </w:p>
    <w:p>
      <w:pPr>
        <w:pStyle w:val="4"/>
        <w:rPr>
          <w:rFonts w:hint="eastAsia" w:ascii="仿宋_GB2312" w:hAnsi="仿宋_GB2312" w:eastAsia="仿宋_GB2312" w:cs="仿宋_GB2312"/>
          <w:b w:val="0"/>
          <w:bCs w:val="0"/>
          <w:kern w:val="2"/>
          <w:sz w:val="32"/>
          <w:szCs w:val="32"/>
          <w:lang w:val="en-US" w:eastAsia="zh-CN" w:bidi="ar-SA"/>
        </w:rPr>
      </w:pPr>
      <w:bookmarkStart w:id="187" w:name="_Toc23952"/>
      <w:bookmarkStart w:id="188" w:name="_Toc15396630"/>
      <w:bookmarkStart w:id="189" w:name="_Toc26089"/>
      <w:r>
        <w:rPr>
          <w:rFonts w:hint="eastAsia" w:ascii="仿宋_GB2312" w:hAnsi="仿宋_GB2312" w:eastAsia="仿宋_GB2312" w:cs="仿宋_GB2312"/>
          <w:b w:val="0"/>
          <w:bCs w:val="0"/>
          <w:kern w:val="2"/>
          <w:sz w:val="32"/>
          <w:szCs w:val="32"/>
          <w:lang w:val="en-US" w:eastAsia="zh-CN" w:bidi="ar-SA"/>
        </w:rPr>
        <w:t>十二、政府性基金预算财政拨款“三公”经费支出决算表</w:t>
      </w:r>
      <w:bookmarkEnd w:id="187"/>
      <w:bookmarkEnd w:id="188"/>
      <w:bookmarkEnd w:id="189"/>
    </w:p>
    <w:p>
      <w:pPr>
        <w:pStyle w:val="4"/>
        <w:rPr>
          <w:rFonts w:hint="eastAsia" w:ascii="仿宋_GB2312" w:hAnsi="仿宋_GB2312" w:eastAsia="仿宋_GB2312" w:cs="仿宋_GB2312"/>
          <w:b w:val="0"/>
          <w:bCs w:val="0"/>
          <w:kern w:val="2"/>
          <w:sz w:val="32"/>
          <w:szCs w:val="32"/>
          <w:lang w:val="en-US" w:eastAsia="zh-CN" w:bidi="ar-SA"/>
        </w:rPr>
      </w:pPr>
      <w:bookmarkStart w:id="190" w:name="_Toc22822"/>
      <w:bookmarkStart w:id="191" w:name="_Toc28628"/>
      <w:bookmarkStart w:id="192" w:name="_Toc15396631"/>
      <w:r>
        <w:rPr>
          <w:rFonts w:hint="eastAsia" w:ascii="仿宋_GB2312" w:hAnsi="仿宋_GB2312" w:eastAsia="仿宋_GB2312" w:cs="仿宋_GB2312"/>
          <w:b w:val="0"/>
          <w:bCs w:val="0"/>
          <w:kern w:val="2"/>
          <w:sz w:val="32"/>
          <w:szCs w:val="32"/>
          <w:lang w:val="en-US" w:eastAsia="zh-CN" w:bidi="ar-SA"/>
        </w:rPr>
        <w:t>十三、国有资本经营预算财政拨款收入支出决算表</w:t>
      </w:r>
      <w:bookmarkEnd w:id="190"/>
      <w:bookmarkEnd w:id="191"/>
    </w:p>
    <w:p>
      <w:pPr>
        <w:pStyle w:val="4"/>
        <w:rPr>
          <w:rFonts w:hint="eastAsia" w:ascii="仿宋_GB2312" w:hAnsi="仿宋_GB2312" w:eastAsia="仿宋_GB2312" w:cs="仿宋_GB2312"/>
          <w:b w:val="0"/>
          <w:bCs w:val="0"/>
          <w:kern w:val="2"/>
          <w:sz w:val="32"/>
          <w:szCs w:val="32"/>
          <w:lang w:val="en-US" w:eastAsia="zh-CN" w:bidi="ar-SA"/>
        </w:rPr>
      </w:pPr>
      <w:bookmarkStart w:id="193" w:name="_Toc16642"/>
      <w:bookmarkStart w:id="194" w:name="_Toc21140"/>
      <w:r>
        <w:rPr>
          <w:rFonts w:hint="eastAsia" w:ascii="仿宋_GB2312" w:hAnsi="仿宋_GB2312" w:eastAsia="仿宋_GB2312" w:cs="仿宋_GB2312"/>
          <w:b w:val="0"/>
          <w:bCs w:val="0"/>
          <w:kern w:val="2"/>
          <w:sz w:val="32"/>
          <w:szCs w:val="32"/>
          <w:lang w:val="en-US" w:eastAsia="zh-CN" w:bidi="ar-SA"/>
        </w:rPr>
        <w:t>十四、国有资本经营预算财政拨款支出决算表</w:t>
      </w:r>
      <w:bookmarkEnd w:id="192"/>
      <w:bookmarkEnd w:id="193"/>
      <w:bookmarkEnd w:id="19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1E86722"/>
    <w:rsid w:val="024A2110"/>
    <w:rsid w:val="054B4883"/>
    <w:rsid w:val="06561BC3"/>
    <w:rsid w:val="0669648E"/>
    <w:rsid w:val="06B801E1"/>
    <w:rsid w:val="06CA5082"/>
    <w:rsid w:val="09B3669D"/>
    <w:rsid w:val="0A2032A3"/>
    <w:rsid w:val="0ACB72E5"/>
    <w:rsid w:val="0BD1285F"/>
    <w:rsid w:val="0C5B0307"/>
    <w:rsid w:val="0DE21480"/>
    <w:rsid w:val="10C055FF"/>
    <w:rsid w:val="118107EC"/>
    <w:rsid w:val="11F71DA7"/>
    <w:rsid w:val="1340756A"/>
    <w:rsid w:val="16BB723D"/>
    <w:rsid w:val="16D117F3"/>
    <w:rsid w:val="16FF3AC7"/>
    <w:rsid w:val="1793097A"/>
    <w:rsid w:val="18534BA8"/>
    <w:rsid w:val="19375FF7"/>
    <w:rsid w:val="1D155CEE"/>
    <w:rsid w:val="1DC54782"/>
    <w:rsid w:val="1E807BFA"/>
    <w:rsid w:val="1E8B5456"/>
    <w:rsid w:val="1F20115F"/>
    <w:rsid w:val="201C1775"/>
    <w:rsid w:val="213264C0"/>
    <w:rsid w:val="21877732"/>
    <w:rsid w:val="21A51CE7"/>
    <w:rsid w:val="240371BF"/>
    <w:rsid w:val="24270C66"/>
    <w:rsid w:val="25283ED6"/>
    <w:rsid w:val="26172211"/>
    <w:rsid w:val="26364A7D"/>
    <w:rsid w:val="26F64EA5"/>
    <w:rsid w:val="29FD04D3"/>
    <w:rsid w:val="2BDC73E3"/>
    <w:rsid w:val="2CF92D3D"/>
    <w:rsid w:val="30B97C74"/>
    <w:rsid w:val="31271772"/>
    <w:rsid w:val="31981078"/>
    <w:rsid w:val="319F7F4E"/>
    <w:rsid w:val="31C06AA2"/>
    <w:rsid w:val="33727990"/>
    <w:rsid w:val="34D66C80"/>
    <w:rsid w:val="35261C45"/>
    <w:rsid w:val="35583866"/>
    <w:rsid w:val="384F1DA4"/>
    <w:rsid w:val="387E5813"/>
    <w:rsid w:val="39B90593"/>
    <w:rsid w:val="3A8B515E"/>
    <w:rsid w:val="3C4902B3"/>
    <w:rsid w:val="3C66733D"/>
    <w:rsid w:val="3D065BAF"/>
    <w:rsid w:val="3EC8010F"/>
    <w:rsid w:val="3FFA232E"/>
    <w:rsid w:val="407A1CB9"/>
    <w:rsid w:val="41216D85"/>
    <w:rsid w:val="4194777E"/>
    <w:rsid w:val="421666B2"/>
    <w:rsid w:val="42241CEA"/>
    <w:rsid w:val="4574072F"/>
    <w:rsid w:val="47B01E42"/>
    <w:rsid w:val="482A15FB"/>
    <w:rsid w:val="49A30776"/>
    <w:rsid w:val="49E24E18"/>
    <w:rsid w:val="4AD93D40"/>
    <w:rsid w:val="4AEB6540"/>
    <w:rsid w:val="4D880D8A"/>
    <w:rsid w:val="4D9121D1"/>
    <w:rsid w:val="4ECE2238"/>
    <w:rsid w:val="50667B86"/>
    <w:rsid w:val="50767087"/>
    <w:rsid w:val="51742EA9"/>
    <w:rsid w:val="51AC5270"/>
    <w:rsid w:val="55755C76"/>
    <w:rsid w:val="55C04EA2"/>
    <w:rsid w:val="59CD1415"/>
    <w:rsid w:val="5CAF1C0B"/>
    <w:rsid w:val="5CBD4EAA"/>
    <w:rsid w:val="631122C9"/>
    <w:rsid w:val="654C597C"/>
    <w:rsid w:val="663F67F0"/>
    <w:rsid w:val="66AD08A3"/>
    <w:rsid w:val="67704F2B"/>
    <w:rsid w:val="69E350BD"/>
    <w:rsid w:val="6C4A05C8"/>
    <w:rsid w:val="6CEE2D6F"/>
    <w:rsid w:val="6D4D6A44"/>
    <w:rsid w:val="6DB9665B"/>
    <w:rsid w:val="6ED36BA4"/>
    <w:rsid w:val="6F072F89"/>
    <w:rsid w:val="70C075D3"/>
    <w:rsid w:val="72734D90"/>
    <w:rsid w:val="75585ABA"/>
    <w:rsid w:val="75712DD7"/>
    <w:rsid w:val="759B6318"/>
    <w:rsid w:val="75E75B58"/>
    <w:rsid w:val="76663FDC"/>
    <w:rsid w:val="76950A1B"/>
    <w:rsid w:val="774F572B"/>
    <w:rsid w:val="78CB21FF"/>
    <w:rsid w:val="7908556B"/>
    <w:rsid w:val="7A072CA0"/>
    <w:rsid w:val="7CDC7CD3"/>
    <w:rsid w:val="7D245B9D"/>
    <w:rsid w:val="7D765BE9"/>
    <w:rsid w:val="7DE50902"/>
    <w:rsid w:val="7E9E3C45"/>
    <w:rsid w:val="7FAF56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3">
    <w:name w:val="Strong"/>
    <w:basedOn w:val="12"/>
    <w:qFormat/>
    <w:uiPriority w:val="99"/>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6">
    <w:name w:val="Header Char"/>
    <w:basedOn w:val="12"/>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2"/>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2"/>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列出段落1"/>
    <w:basedOn w:val="1"/>
    <w:qFormat/>
    <w:uiPriority w:val="34"/>
    <w:pPr>
      <w:ind w:firstLine="420" w:firstLineChars="200"/>
    </w:pPr>
  </w:style>
  <w:style w:type="character" w:customStyle="1" w:styleId="24">
    <w:name w:val="标题 1 Char"/>
    <w:basedOn w:val="12"/>
    <w:link w:val="3"/>
    <w:qFormat/>
    <w:uiPriority w:val="9"/>
    <w:rPr>
      <w:rFonts w:ascii="Times New Roman" w:hAnsi="Times New Roman"/>
      <w:b/>
      <w:bCs/>
      <w:kern w:val="44"/>
      <w:sz w:val="44"/>
      <w:szCs w:val="44"/>
    </w:rPr>
  </w:style>
  <w:style w:type="character" w:customStyle="1" w:styleId="25">
    <w:name w:val="标题 2 Char"/>
    <w:basedOn w:val="12"/>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2"/>
    <w:link w:val="7"/>
    <w:semiHidden/>
    <w:qFormat/>
    <w:uiPriority w:val="99"/>
    <w:rPr>
      <w:rFonts w:ascii="Times New Roman" w:hAnsi="Times New Roman"/>
      <w:kern w:val="2"/>
      <w:sz w:val="18"/>
      <w:szCs w:val="18"/>
    </w:rPr>
  </w:style>
  <w:style w:type="character" w:customStyle="1" w:styleId="28">
    <w:name w:val="标题 3 Char"/>
    <w:basedOn w:val="12"/>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 w:type="paragraph" w:customStyle="1" w:styleId="3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图2：收入决算结构图</a:t>
            </a:r>
          </a:p>
        </c:rich>
      </c:tx>
      <c:layout>
        <c:manualLayout>
          <c:xMode val="edge"/>
          <c:yMode val="edge"/>
          <c:x val="0.295694444444444"/>
          <c:y val="0.02430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[工作簿1]Sheet1!$A$2:$A$3</c:f>
              <c:strCache>
                <c:ptCount val="2"/>
                <c:pt idx="0">
                  <c:v>一般公共预算财政拨款收入</c:v>
                </c:pt>
                <c:pt idx="1">
                  <c:v>政府性基金预算财政拨款收入</c:v>
                </c:pt>
              </c:strCache>
            </c:strRef>
          </c:cat>
          <c:val>
            <c:numRef>
              <c:f>[工作簿1]Sheet1!$B$2:$B$3</c:f>
              <c:numCache>
                <c:formatCode>0%</c:formatCode>
                <c:ptCount val="2"/>
                <c:pt idx="0">
                  <c:v>1</c:v>
                </c:pt>
                <c:pt idx="1"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1293</Words>
  <Characters>7376</Characters>
  <Lines>61</Lines>
  <Paragraphs>17</Paragraphs>
  <TotalTime>18</TotalTime>
  <ScaleCrop>false</ScaleCrop>
  <LinksUpToDate>false</LinksUpToDate>
  <CharactersWithSpaces>8652</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HP</cp:lastModifiedBy>
  <cp:lastPrinted>2021-07-29T11:56:00Z</cp:lastPrinted>
  <dcterms:modified xsi:type="dcterms:W3CDTF">2023-09-17T08:20:13Z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