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auto"/>
          <w:sz w:val="30"/>
          <w:szCs w:val="30"/>
          <w:lang w:val="en-US" w:eastAsia="zh-CN"/>
        </w:rPr>
      </w:pPr>
      <w:bookmarkStart w:id="0" w:name="_Toc15306267"/>
      <w:r>
        <w:rPr>
          <w:rFonts w:hint="eastAsia" w:ascii="方正小标宋简体" w:hAnsi="宋体" w:eastAsia="方正小标宋简体"/>
          <w:color w:val="auto"/>
          <w:sz w:val="30"/>
          <w:szCs w:val="30"/>
          <w:lang w:val="en-US" w:eastAsia="zh-CN"/>
        </w:rPr>
        <w:t xml:space="preserve">  </w:t>
      </w:r>
    </w:p>
    <w:p>
      <w:pPr>
        <w:spacing w:line="600" w:lineRule="exact"/>
        <w:jc w:val="left"/>
        <w:outlineLvl w:val="0"/>
        <w:rPr>
          <w:rFonts w:ascii="方正小标宋简体" w:hAnsi="宋体" w:eastAsia="方正小标宋简体"/>
          <w:color w:val="auto"/>
          <w:sz w:val="30"/>
          <w:szCs w:val="30"/>
        </w:rPr>
      </w:pPr>
    </w:p>
    <w:p>
      <w:pPr>
        <w:spacing w:line="600" w:lineRule="exact"/>
        <w:jc w:val="left"/>
        <w:outlineLvl w:val="0"/>
        <w:rPr>
          <w:rFonts w:ascii="方正小标宋简体" w:hAnsi="宋体" w:eastAsia="方正小标宋简体"/>
          <w:color w:val="auto"/>
          <w:sz w:val="30"/>
          <w:szCs w:val="30"/>
        </w:rPr>
      </w:pPr>
    </w:p>
    <w:p>
      <w:pPr>
        <w:spacing w:line="600" w:lineRule="exact"/>
        <w:jc w:val="left"/>
        <w:outlineLvl w:val="0"/>
        <w:rPr>
          <w:rFonts w:ascii="方正小标宋简体" w:hAnsi="宋体" w:eastAsia="方正小标宋简体"/>
          <w:color w:val="auto"/>
          <w:sz w:val="30"/>
          <w:szCs w:val="30"/>
        </w:rPr>
      </w:pPr>
    </w:p>
    <w:p>
      <w:pPr>
        <w:spacing w:line="600" w:lineRule="exact"/>
        <w:jc w:val="left"/>
        <w:outlineLvl w:val="0"/>
        <w:rPr>
          <w:rFonts w:ascii="方正小标宋简体" w:hAnsi="宋体" w:eastAsia="方正小标宋简体"/>
          <w:color w:val="auto"/>
          <w:sz w:val="30"/>
          <w:szCs w:val="30"/>
        </w:rPr>
      </w:pPr>
    </w:p>
    <w:p>
      <w:pPr>
        <w:adjustRightInd w:val="0"/>
        <w:snapToGrid w:val="0"/>
        <w:spacing w:line="360" w:lineRule="auto"/>
        <w:jc w:val="center"/>
        <w:outlineLvl w:val="0"/>
        <w:rPr>
          <w:rFonts w:ascii="黑体" w:hAnsi="黑体" w:eastAsia="黑体" w:cs="Times New Roman"/>
          <w:color w:val="000000"/>
          <w:sz w:val="72"/>
          <w:szCs w:val="72"/>
        </w:rPr>
      </w:pPr>
      <w:r>
        <w:rPr>
          <w:rFonts w:hint="eastAsia" w:ascii="黑体" w:hAnsi="黑体" w:eastAsia="黑体" w:cs="Times New Roman"/>
          <w:color w:val="000000"/>
          <w:sz w:val="72"/>
          <w:szCs w:val="72"/>
          <w:lang w:val="en-US" w:eastAsia="zh-CN"/>
        </w:rPr>
        <w:t>202</w:t>
      </w:r>
      <w:r>
        <w:rPr>
          <w:rFonts w:hint="default" w:ascii="黑体" w:hAnsi="黑体" w:eastAsia="黑体" w:cs="Times New Roman"/>
          <w:color w:val="000000"/>
          <w:sz w:val="72"/>
          <w:szCs w:val="72"/>
          <w:lang w:val="en" w:eastAsia="zh-CN"/>
        </w:rPr>
        <w:t>2</w:t>
      </w:r>
      <w:r>
        <w:rPr>
          <w:rFonts w:hint="eastAsia" w:ascii="黑体" w:hAnsi="黑体" w:eastAsia="黑体" w:cs="Times New Roman"/>
          <w:color w:val="000000"/>
          <w:sz w:val="72"/>
          <w:szCs w:val="72"/>
        </w:rPr>
        <w:t>年度</w:t>
      </w:r>
    </w:p>
    <w:p>
      <w:pPr>
        <w:adjustRightInd w:val="0"/>
        <w:snapToGrid w:val="0"/>
        <w:spacing w:line="360" w:lineRule="auto"/>
        <w:jc w:val="center"/>
        <w:outlineLvl w:val="0"/>
        <w:rPr>
          <w:rFonts w:hint="eastAsia" w:ascii="黑体" w:hAnsi="黑体" w:eastAsia="黑体" w:cs="Times New Roman"/>
          <w:color w:val="000000"/>
          <w:sz w:val="72"/>
          <w:szCs w:val="72"/>
          <w:lang w:eastAsia="zh-CN"/>
        </w:rPr>
      </w:pPr>
      <w:r>
        <w:rPr>
          <w:rFonts w:hint="eastAsia" w:ascii="黑体" w:hAnsi="黑体" w:eastAsia="黑体" w:cs="Times New Roman"/>
          <w:color w:val="000000"/>
          <w:sz w:val="72"/>
          <w:szCs w:val="72"/>
          <w:lang w:eastAsia="zh-CN"/>
        </w:rPr>
        <w:t>广安市教育科学研究所</w:t>
      </w:r>
    </w:p>
    <w:p>
      <w:pPr>
        <w:adjustRightInd w:val="0"/>
        <w:snapToGrid w:val="0"/>
        <w:spacing w:line="360" w:lineRule="auto"/>
        <w:ind w:firstLine="1440" w:firstLineChars="200"/>
        <w:jc w:val="both"/>
        <w:outlineLvl w:val="0"/>
        <w:rPr>
          <w:rFonts w:ascii="黑体" w:hAnsi="黑体" w:eastAsia="黑体" w:cs="Times New Roman"/>
          <w:color w:val="000000"/>
          <w:sz w:val="72"/>
          <w:szCs w:val="72"/>
        </w:rPr>
      </w:pPr>
      <w:r>
        <w:rPr>
          <w:rFonts w:hint="eastAsia" w:ascii="黑体" w:hAnsi="黑体" w:eastAsia="黑体" w:cs="Times New Roman"/>
          <w:color w:val="000000"/>
          <w:sz w:val="72"/>
          <w:szCs w:val="72"/>
          <w:lang w:eastAsia="zh-CN"/>
        </w:rPr>
        <w:t>单位</w:t>
      </w:r>
      <w:r>
        <w:rPr>
          <w:rFonts w:hint="eastAsia" w:ascii="黑体" w:hAnsi="黑体" w:eastAsia="黑体" w:cs="Times New Roman"/>
          <w:color w:val="000000"/>
          <w:sz w:val="72"/>
          <w:szCs w:val="72"/>
        </w:rPr>
        <w:t>决算</w:t>
      </w:r>
      <w:r>
        <w:rPr>
          <w:rFonts w:hint="eastAsia" w:ascii="黑体" w:hAnsi="黑体" w:eastAsia="黑体" w:cs="Times New Roman"/>
          <w:color w:val="000000"/>
          <w:sz w:val="72"/>
          <w:szCs w:val="72"/>
          <w:lang w:eastAsia="zh-CN"/>
        </w:rPr>
        <w:t>编制说明</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p>
    <w:p>
      <w:pPr>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p>
    <w:p>
      <w:pPr>
        <w:rPr>
          <w:rFonts w:hint="eastAsia" w:ascii="方正仿宋_GBK" w:hAnsi="方正仿宋_GBK" w:eastAsia="方正仿宋_GBK" w:cs="方正仿宋_GBK"/>
          <w:color w:val="auto"/>
          <w:sz w:val="32"/>
          <w:szCs w:val="32"/>
          <w:lang w:val="en-US" w:eastAsia="zh-CN"/>
        </w:rPr>
      </w:pPr>
    </w:p>
    <w:bookmarkEnd w:id="0"/>
    <w:p>
      <w:pPr>
        <w:widowControl/>
        <w:jc w:val="both"/>
        <w:rPr>
          <w:rFonts w:hint="eastAsia" w:ascii="黑体" w:hAnsi="黑体" w:eastAsia="黑体"/>
          <w:color w:val="auto"/>
          <w:sz w:val="48"/>
          <w:szCs w:val="48"/>
        </w:rPr>
      </w:pPr>
    </w:p>
    <w:p>
      <w:pPr>
        <w:widowControl/>
        <w:jc w:val="center"/>
        <w:rPr>
          <w:rFonts w:ascii="黑体" w:hAnsi="黑体" w:eastAsia="黑体" w:cs="黑体"/>
          <w:color w:val="auto"/>
          <w:sz w:val="28"/>
          <w:szCs w:val="28"/>
        </w:rPr>
      </w:pPr>
      <w:r>
        <w:rPr>
          <w:rFonts w:hint="eastAsia" w:ascii="黑体" w:hAnsi="黑体" w:eastAsia="黑体"/>
          <w:color w:val="auto"/>
          <w:sz w:val="48"/>
          <w:szCs w:val="48"/>
        </w:rPr>
        <w:t>目录</w:t>
      </w:r>
    </w:p>
    <w:p>
      <w:pPr>
        <w:pStyle w:val="11"/>
        <w:rPr>
          <w:color w:val="auto"/>
        </w:rPr>
      </w:pPr>
      <w:r>
        <w:rPr>
          <w:rFonts w:hint="eastAsia"/>
          <w:color w:val="auto"/>
        </w:rPr>
        <w:t>公开时间：202</w:t>
      </w:r>
      <w:r>
        <w:rPr>
          <w:rFonts w:hint="default"/>
          <w:color w:val="auto"/>
          <w:lang w:val="en"/>
        </w:rPr>
        <w:t>3</w:t>
      </w:r>
      <w:r>
        <w:rPr>
          <w:rFonts w:hint="eastAsia"/>
          <w:color w:val="auto"/>
        </w:rPr>
        <w:t>年</w:t>
      </w:r>
      <w:r>
        <w:rPr>
          <w:rFonts w:hint="default"/>
          <w:color w:val="auto"/>
          <w:lang w:val="en"/>
        </w:rPr>
        <w:t>9</w:t>
      </w:r>
      <w:r>
        <w:rPr>
          <w:rFonts w:hint="eastAsia"/>
          <w:color w:val="auto"/>
        </w:rPr>
        <w:t>月</w:t>
      </w:r>
      <w:r>
        <w:rPr>
          <w:rFonts w:hint="eastAsia"/>
          <w:color w:val="auto"/>
          <w:lang w:val="en-US" w:eastAsia="zh-CN"/>
        </w:rPr>
        <w:t xml:space="preserve"> </w:t>
      </w:r>
      <w:r>
        <w:rPr>
          <w:rFonts w:hint="default"/>
          <w:color w:val="auto"/>
          <w:lang w:val="en" w:eastAsia="zh-CN"/>
        </w:rPr>
        <w:t>1</w:t>
      </w:r>
      <w:r>
        <w:rPr>
          <w:rFonts w:hint="eastAsia"/>
          <w:color w:val="auto"/>
          <w:lang w:val="en-US" w:eastAsia="zh-CN"/>
        </w:rPr>
        <w:t>8</w:t>
      </w:r>
      <w:r>
        <w:rPr>
          <w:rFonts w:hint="eastAsia"/>
          <w:color w:val="auto"/>
        </w:rPr>
        <w:t>日</w:t>
      </w:r>
    </w:p>
    <w:p>
      <w:pPr>
        <w:rPr>
          <w:color w:val="auto"/>
        </w:rPr>
      </w:pPr>
    </w:p>
    <w:p>
      <w:pPr>
        <w:pStyle w:val="11"/>
        <w:widowControl w:val="0"/>
        <w:numPr>
          <w:ilvl w:val="0"/>
          <w:numId w:val="1"/>
        </w:numPr>
        <w:wordWrap/>
        <w:adjustRightInd w:val="0"/>
        <w:snapToGrid w:val="0"/>
        <w:spacing w:before="0" w:line="560" w:lineRule="exact"/>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eastAsia="zh-CN"/>
        </w:rPr>
        <w:t>单位</w:t>
      </w:r>
      <w:r>
        <w:rPr>
          <w:rFonts w:hint="eastAsia" w:ascii="方正仿宋_GBK" w:hAnsi="方正仿宋_GBK" w:eastAsia="方正仿宋_GBK" w:cs="方正仿宋_GBK"/>
          <w:b/>
          <w:bCs/>
          <w:color w:val="auto"/>
          <w:sz w:val="32"/>
          <w:szCs w:val="32"/>
        </w:rPr>
        <w:t>概况</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 w:eastAsia="zh-CN"/>
        </w:rPr>
        <w:t>...</w:t>
      </w:r>
      <w:r>
        <w:rPr>
          <w:rFonts w:hint="eastAsia" w:ascii="方正仿宋_GBK" w:hAnsi="方正仿宋_GBK" w:eastAsia="方正仿宋_GBK" w:cs="方正仿宋_GBK"/>
          <w:color w:val="auto"/>
          <w:sz w:val="32"/>
          <w:szCs w:val="32"/>
          <w:lang w:val="en-US" w:eastAsia="zh-CN"/>
        </w:rPr>
        <w:t>...1</w:t>
      </w:r>
    </w:p>
    <w:p>
      <w:pPr>
        <w:pStyle w:val="12"/>
        <w:widowControl w:val="0"/>
        <w:wordWrap/>
        <w:adjustRightInd w:val="0"/>
        <w:snapToGrid w:val="0"/>
        <w:spacing w:line="560" w:lineRule="exact"/>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一、基本职能及主要工作</w:t>
      </w:r>
      <w:r>
        <w:rPr>
          <w:rFonts w:hint="eastAsia" w:ascii="方正仿宋_GBK" w:hAnsi="方正仿宋_GBK" w:eastAsia="方正仿宋_GBK" w:cs="方正仿宋_GBK"/>
          <w:color w:val="auto"/>
          <w:sz w:val="32"/>
          <w:szCs w:val="32"/>
          <w:lang w:val="en-US" w:eastAsia="zh-CN"/>
        </w:rPr>
        <w:t>............................................1</w:t>
      </w:r>
    </w:p>
    <w:p>
      <w:pPr>
        <w:pStyle w:val="12"/>
        <w:widowControl w:val="0"/>
        <w:wordWrap/>
        <w:adjustRightInd w:val="0"/>
        <w:snapToGrid w:val="0"/>
        <w:spacing w:line="560" w:lineRule="exact"/>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机构设置</w:t>
      </w:r>
      <w:r>
        <w:rPr>
          <w:rFonts w:hint="eastAsia" w:ascii="方正仿宋_GBK" w:hAnsi="方正仿宋_GBK" w:eastAsia="方正仿宋_GBK" w:cs="方正仿宋_GBK"/>
          <w:color w:val="auto"/>
          <w:sz w:val="32"/>
          <w:szCs w:val="32"/>
          <w:lang w:val="en-US" w:eastAsia="zh-CN"/>
        </w:rPr>
        <w:t>.............................................................2</w:t>
      </w:r>
    </w:p>
    <w:p>
      <w:pPr>
        <w:pStyle w:val="11"/>
        <w:widowControl w:val="0"/>
        <w:wordWrap/>
        <w:adjustRightInd w:val="0"/>
        <w:snapToGrid w:val="0"/>
        <w:spacing w:before="0" w:line="560" w:lineRule="exact"/>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b/>
          <w:bCs/>
          <w:color w:val="auto"/>
          <w:sz w:val="32"/>
          <w:szCs w:val="32"/>
        </w:rPr>
        <w:t>第二部分</w:t>
      </w:r>
      <w:r>
        <w:rPr>
          <w:rFonts w:hint="eastAsia" w:ascii="方正仿宋_GBK" w:hAnsi="方正仿宋_GBK" w:eastAsia="方正仿宋_GBK" w:cs="方正仿宋_GBK"/>
          <w:b/>
          <w:bCs/>
          <w:color w:val="auto"/>
          <w:sz w:val="32"/>
          <w:szCs w:val="32"/>
          <w:lang w:val="en-US" w:eastAsia="zh-CN"/>
        </w:rPr>
        <w:t xml:space="preserve"> 202</w:t>
      </w:r>
      <w:r>
        <w:rPr>
          <w:rFonts w:hint="default" w:ascii="方正仿宋_GBK" w:hAnsi="方正仿宋_GBK" w:eastAsia="方正仿宋_GBK" w:cs="方正仿宋_GBK"/>
          <w:b/>
          <w:bCs/>
          <w:color w:val="auto"/>
          <w:sz w:val="32"/>
          <w:szCs w:val="32"/>
          <w:lang w:val="en" w:eastAsia="zh-CN"/>
        </w:rPr>
        <w:t>2</w:t>
      </w:r>
      <w:r>
        <w:rPr>
          <w:rFonts w:hint="eastAsia" w:ascii="方正仿宋_GBK" w:hAnsi="方正仿宋_GBK" w:eastAsia="方正仿宋_GBK" w:cs="方正仿宋_GBK"/>
          <w:b/>
          <w:bCs/>
          <w:color w:val="auto"/>
          <w:sz w:val="32"/>
          <w:szCs w:val="32"/>
          <w:lang w:val="en-US" w:eastAsia="zh-CN"/>
        </w:rPr>
        <w:t>年</w:t>
      </w:r>
      <w:r>
        <w:rPr>
          <w:rFonts w:hint="eastAsia" w:ascii="方正仿宋_GBK" w:hAnsi="方正仿宋_GBK" w:eastAsia="方正仿宋_GBK" w:cs="方正仿宋_GBK"/>
          <w:b/>
          <w:bCs/>
          <w:color w:val="auto"/>
          <w:sz w:val="32"/>
          <w:szCs w:val="32"/>
        </w:rPr>
        <w:t>度部门决算情况说明</w:t>
      </w:r>
      <w:r>
        <w:rPr>
          <w:rFonts w:hint="eastAsia" w:ascii="方正仿宋_GBK" w:hAnsi="方正仿宋_GBK" w:eastAsia="方正仿宋_GBK" w:cs="方正仿宋_GBK"/>
          <w:color w:val="auto"/>
          <w:sz w:val="32"/>
          <w:szCs w:val="32"/>
          <w:lang w:val="en-US" w:eastAsia="zh-CN"/>
        </w:rPr>
        <w:t>.............................3</w:t>
      </w:r>
    </w:p>
    <w:p>
      <w:pPr>
        <w:pStyle w:val="12"/>
        <w:widowControl w:val="0"/>
        <w:wordWrap/>
        <w:adjustRightInd w:val="0"/>
        <w:snapToGrid w:val="0"/>
        <w:spacing w:line="560" w:lineRule="exact"/>
        <w:jc w:val="left"/>
        <w:textAlignment w:val="auto"/>
        <w:rPr>
          <w:rFonts w:hint="default" w:ascii="方正仿宋_GBK" w:hAnsi="方正仿宋_GBK" w:eastAsia="方正仿宋_GBK" w:cs="方正仿宋_GBK"/>
          <w:color w:val="auto"/>
          <w:sz w:val="32"/>
          <w:szCs w:val="32"/>
          <w:lang w:val="en"/>
        </w:rPr>
      </w:pPr>
      <w:r>
        <w:rPr>
          <w:rFonts w:hint="eastAsia" w:ascii="方正仿宋_GBK" w:hAnsi="方正仿宋_GBK" w:eastAsia="方正仿宋_GBK" w:cs="方正仿宋_GBK"/>
          <w:color w:val="auto"/>
          <w:sz w:val="32"/>
          <w:szCs w:val="32"/>
        </w:rPr>
        <w:t>一、收入支出决算总体情况说明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二、收入决算情况说明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三、支出决算情况</w:t>
      </w:r>
      <w:r>
        <w:rPr>
          <w:rFonts w:hint="eastAsia" w:ascii="方正仿宋_GBK" w:hAnsi="方正仿宋_GBK" w:eastAsia="方正仿宋_GBK" w:cs="方正仿宋_GBK"/>
          <w:color w:val="auto"/>
          <w:sz w:val="32"/>
          <w:szCs w:val="32"/>
          <w:lang w:val="en-US" w:eastAsia="zh-CN"/>
        </w:rPr>
        <w:t>说明...............................................</w:t>
      </w:r>
      <w:r>
        <w:rPr>
          <w:rFonts w:hint="default" w:ascii="方正仿宋_GBK" w:hAnsi="方正仿宋_GBK" w:eastAsia="方正仿宋_GBK" w:cs="方正仿宋_GBK"/>
          <w:color w:val="auto"/>
          <w:sz w:val="32"/>
          <w:szCs w:val="32"/>
          <w:lang w:val="en" w:eastAsia="zh-CN"/>
        </w:rPr>
        <w:t>4</w:t>
      </w:r>
    </w:p>
    <w:p>
      <w:pPr>
        <w:pStyle w:val="12"/>
        <w:widowControl w:val="0"/>
        <w:tabs>
          <w:tab w:val="right" w:leader="dot" w:pos="8200"/>
          <w:tab w:val="clear" w:pos="8296"/>
        </w:tabs>
        <w:wordWrap/>
        <w:adjustRightInd w:val="0"/>
        <w:snapToGrid w:val="0"/>
        <w:spacing w:line="560" w:lineRule="exact"/>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rPr>
        <w:t>四、财政拨款收入支出决算总体情况说明</w:t>
      </w:r>
      <w:r>
        <w:rPr>
          <w:rFonts w:hint="eastAsia" w:ascii="方正仿宋_GBK" w:hAnsi="方正仿宋_GBK" w:eastAsia="方正仿宋_GBK" w:cs="方正仿宋_GBK"/>
          <w:color w:val="auto"/>
          <w:sz w:val="32"/>
          <w:szCs w:val="32"/>
          <w:lang w:val="en-US" w:eastAsia="zh-CN"/>
        </w:rPr>
        <w:t>....................4</w:t>
      </w:r>
    </w:p>
    <w:p>
      <w:pPr>
        <w:pStyle w:val="12"/>
        <w:widowControl w:val="0"/>
        <w:wordWrap/>
        <w:adjustRightInd w:val="0"/>
        <w:snapToGrid w:val="0"/>
        <w:spacing w:line="560" w:lineRule="exact"/>
        <w:jc w:val="left"/>
        <w:textAlignment w:val="auto"/>
        <w:rPr>
          <w:rFonts w:hint="default"/>
          <w:lang w:val="en" w:eastAsia="zh-CN"/>
        </w:rPr>
      </w:pPr>
      <w:r>
        <w:rPr>
          <w:rFonts w:hint="eastAsia" w:ascii="方正仿宋_GBK" w:hAnsi="方正仿宋_GBK" w:eastAsia="方正仿宋_GBK" w:cs="方正仿宋_GBK"/>
          <w:color w:val="auto"/>
          <w:sz w:val="32"/>
          <w:szCs w:val="32"/>
        </w:rPr>
        <w:t>五、一般公共预算财政拨款支出决算情况说明</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 w:eastAsia="zh-CN"/>
        </w:rPr>
        <w:t>5</w:t>
      </w:r>
    </w:p>
    <w:p>
      <w:pPr>
        <w:pStyle w:val="12"/>
        <w:widowControl w:val="0"/>
        <w:wordWrap/>
        <w:adjustRightInd w:val="0"/>
        <w:snapToGrid w:val="0"/>
        <w:spacing w:line="560" w:lineRule="exact"/>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六、一般公共预算财政拨款基本支出决算情况说明</w:t>
      </w:r>
      <w:r>
        <w:rPr>
          <w:rFonts w:hint="eastAsia" w:ascii="方正仿宋_GBK" w:hAnsi="方正仿宋_GBK" w:eastAsia="方正仿宋_GBK" w:cs="方正仿宋_GBK"/>
          <w:color w:val="auto"/>
          <w:sz w:val="32"/>
          <w:szCs w:val="32"/>
          <w:lang w:val="en-US" w:eastAsia="zh-CN"/>
        </w:rPr>
        <w:t>......7</w:t>
      </w:r>
    </w:p>
    <w:p>
      <w:pPr>
        <w:pStyle w:val="12"/>
        <w:widowControl w:val="0"/>
        <w:tabs>
          <w:tab w:val="right" w:leader="dot" w:pos="8200"/>
          <w:tab w:val="clear" w:pos="8296"/>
        </w:tabs>
        <w:wordWrap/>
        <w:adjustRightInd w:val="0"/>
        <w:snapToGrid w:val="0"/>
        <w:spacing w:line="560" w:lineRule="exact"/>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、一般公共预算财政拨款</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支出决算情况说明</w:t>
      </w:r>
      <w:r>
        <w:rPr>
          <w:rFonts w:hint="eastAsia" w:ascii="方正仿宋_GBK" w:hAnsi="方正仿宋_GBK" w:eastAsia="方正仿宋_GBK" w:cs="方正仿宋_GBK"/>
          <w:color w:val="auto"/>
          <w:sz w:val="32"/>
          <w:szCs w:val="32"/>
          <w:lang w:val="en-US" w:eastAsia="zh-CN"/>
        </w:rPr>
        <w:t>......8</w:t>
      </w:r>
    </w:p>
    <w:p>
      <w:pPr>
        <w:pStyle w:val="12"/>
        <w:widowControl w:val="0"/>
        <w:wordWrap/>
        <w:adjustRightInd w:val="0"/>
        <w:snapToGrid w:val="0"/>
        <w:spacing w:line="560" w:lineRule="exact"/>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eastAsia="zh-CN"/>
        </w:rPr>
        <w:t>八</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财政拨款</w:t>
      </w:r>
      <w:r>
        <w:rPr>
          <w:rFonts w:hint="eastAsia" w:ascii="方正仿宋_GBK" w:hAnsi="方正仿宋_GBK" w:eastAsia="方正仿宋_GBK" w:cs="方正仿宋_GBK"/>
          <w:color w:val="auto"/>
          <w:sz w:val="32"/>
          <w:szCs w:val="32"/>
        </w:rPr>
        <w:t>“三公”经费支出决算情况说明</w:t>
      </w:r>
      <w:r>
        <w:rPr>
          <w:rFonts w:hint="eastAsia" w:ascii="方正仿宋_GBK" w:hAnsi="方正仿宋_GBK" w:eastAsia="方正仿宋_GBK" w:cs="方正仿宋_GBK"/>
          <w:color w:val="auto"/>
          <w:sz w:val="32"/>
          <w:szCs w:val="32"/>
          <w:lang w:val="en-US" w:eastAsia="zh-CN"/>
        </w:rPr>
        <w:t>.............8</w:t>
      </w:r>
    </w:p>
    <w:p>
      <w:pPr>
        <w:pStyle w:val="12"/>
        <w:widowControl w:val="0"/>
        <w:wordWrap/>
        <w:adjustRightInd w:val="0"/>
        <w:snapToGrid w:val="0"/>
        <w:spacing w:line="560" w:lineRule="exact"/>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九</w:t>
      </w:r>
      <w:r>
        <w:rPr>
          <w:rFonts w:hint="eastAsia" w:ascii="方正仿宋_GBK" w:hAnsi="方正仿宋_GBK" w:eastAsia="方正仿宋_GBK" w:cs="方正仿宋_GBK"/>
          <w:color w:val="auto"/>
          <w:sz w:val="32"/>
          <w:szCs w:val="32"/>
        </w:rPr>
        <w:t>、政府性基金预算支出决算情况说明</w:t>
      </w:r>
      <w:r>
        <w:rPr>
          <w:rFonts w:hint="eastAsia" w:ascii="方正仿宋_GBK" w:hAnsi="方正仿宋_GBK" w:eastAsia="方正仿宋_GBK" w:cs="方正仿宋_GBK"/>
          <w:color w:val="auto"/>
          <w:sz w:val="32"/>
          <w:szCs w:val="32"/>
          <w:lang w:val="en-US" w:eastAsia="zh-CN"/>
        </w:rPr>
        <w:t>.......................10</w:t>
      </w:r>
    </w:p>
    <w:p>
      <w:pPr>
        <w:pStyle w:val="12"/>
        <w:widowControl w:val="0"/>
        <w:wordWrap/>
        <w:adjustRightInd w:val="0"/>
        <w:snapToGrid w:val="0"/>
        <w:spacing w:line="560" w:lineRule="exact"/>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eastAsia="zh-CN"/>
        </w:rPr>
        <w:t>十</w:t>
      </w:r>
      <w:r>
        <w:rPr>
          <w:rFonts w:hint="eastAsia" w:ascii="方正仿宋_GBK" w:hAnsi="方正仿宋_GBK" w:eastAsia="方正仿宋_GBK" w:cs="方正仿宋_GBK"/>
          <w:color w:val="auto"/>
          <w:sz w:val="32"/>
          <w:szCs w:val="32"/>
        </w:rPr>
        <w:t>、国有资本经营预算支出决算情况说明</w:t>
      </w:r>
      <w:r>
        <w:rPr>
          <w:rFonts w:hint="eastAsia" w:ascii="方正仿宋_GBK" w:hAnsi="方正仿宋_GBK" w:eastAsia="方正仿宋_GBK" w:cs="方正仿宋_GBK"/>
          <w:color w:val="auto"/>
          <w:sz w:val="32"/>
          <w:szCs w:val="32"/>
          <w:lang w:val="en-US" w:eastAsia="zh-CN"/>
        </w:rPr>
        <w:t>...................10</w:t>
      </w:r>
    </w:p>
    <w:p>
      <w:pPr>
        <w:widowControl w:val="0"/>
        <w:wordWrap/>
        <w:adjustRightInd w:val="0"/>
        <w:snapToGrid w:val="0"/>
        <w:spacing w:line="560" w:lineRule="exact"/>
        <w:ind w:left="415" w:leftChars="152" w:hanging="96" w:hangingChars="30"/>
        <w:jc w:val="left"/>
        <w:textAlignment w:val="auto"/>
        <w:rPr>
          <w:rFonts w:hint="default" w:ascii="方正仿宋_GBK" w:hAnsi="方正仿宋_GBK" w:eastAsia="方正仿宋_GBK" w:cs="方正仿宋_GBK"/>
          <w:color w:val="auto"/>
          <w:sz w:val="32"/>
          <w:szCs w:val="32"/>
          <w:lang w:val="en-US" w:eastAsia="zh-CN"/>
        </w:rPr>
      </w:pPr>
      <w:r>
        <w:rPr>
          <w:rStyle w:val="18"/>
          <w:rFonts w:hint="eastAsia" w:ascii="方正仿宋_GBK" w:hAnsi="方正仿宋_GBK" w:eastAsia="方正仿宋_GBK" w:cs="方正仿宋_GBK"/>
          <w:color w:val="auto"/>
          <w:sz w:val="32"/>
          <w:szCs w:val="32"/>
          <w:u w:val="none"/>
        </w:rPr>
        <w:t>十</w:t>
      </w:r>
      <w:r>
        <w:rPr>
          <w:rStyle w:val="18"/>
          <w:rFonts w:hint="eastAsia" w:ascii="方正仿宋_GBK" w:hAnsi="方正仿宋_GBK" w:eastAsia="方正仿宋_GBK" w:cs="方正仿宋_GBK"/>
          <w:color w:val="auto"/>
          <w:sz w:val="32"/>
          <w:szCs w:val="32"/>
          <w:u w:val="none"/>
          <w:lang w:eastAsia="zh-CN"/>
        </w:rPr>
        <w:t>一</w:t>
      </w:r>
      <w:r>
        <w:rPr>
          <w:rStyle w:val="18"/>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rPr>
        <w:t>其他重要事项的情况说明</w:t>
      </w:r>
      <w:r>
        <w:rPr>
          <w:rFonts w:hint="eastAsia" w:ascii="方正仿宋_GBK" w:hAnsi="方正仿宋_GBK" w:eastAsia="方正仿宋_GBK" w:cs="方正仿宋_GBK"/>
          <w:color w:val="auto"/>
          <w:sz w:val="32"/>
          <w:szCs w:val="32"/>
          <w:lang w:val="en-US" w:eastAsia="zh-CN"/>
        </w:rPr>
        <w:t>..................................10</w:t>
      </w:r>
    </w:p>
    <w:p>
      <w:pPr>
        <w:pStyle w:val="11"/>
        <w:widowControl w:val="0"/>
        <w:wordWrap/>
        <w:adjustRightInd w:val="0"/>
        <w:snapToGrid w:val="0"/>
        <w:spacing w:before="0" w:line="560" w:lineRule="exact"/>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rPr>
        <w:t>第三部分 名词解释</w:t>
      </w:r>
      <w:r>
        <w:rPr>
          <w:rFonts w:hint="eastAsia" w:ascii="方正仿宋_GBK" w:hAnsi="方正仿宋_GBK" w:eastAsia="方正仿宋_GBK" w:cs="方正仿宋_GBK"/>
          <w:color w:val="auto"/>
          <w:sz w:val="32"/>
          <w:szCs w:val="32"/>
          <w:lang w:val="en-US" w:eastAsia="zh-CN"/>
        </w:rPr>
        <w:t>......................................................11</w:t>
      </w:r>
    </w:p>
    <w:p>
      <w:pPr>
        <w:pStyle w:val="11"/>
        <w:widowControl w:val="0"/>
        <w:wordWrap/>
        <w:adjustRightInd w:val="0"/>
        <w:snapToGrid w:val="0"/>
        <w:spacing w:before="0" w:line="560" w:lineRule="exact"/>
        <w:jc w:val="left"/>
        <w:textAlignment w:val="auto"/>
        <w:rPr>
          <w:rFonts w:hint="default" w:ascii="方正仿宋_GBK" w:hAnsi="方正仿宋_GBK" w:eastAsia="方正仿宋_GBK" w:cs="方正仿宋_GBK"/>
          <w:color w:val="auto"/>
          <w:sz w:val="32"/>
          <w:szCs w:val="32"/>
          <w:lang w:val="en"/>
        </w:rPr>
      </w:pPr>
      <w:r>
        <w:rPr>
          <w:rFonts w:hint="eastAsia" w:ascii="方正仿宋_GBK" w:hAnsi="方正仿宋_GBK" w:eastAsia="方正仿宋_GBK" w:cs="方正仿宋_GBK"/>
          <w:b/>
          <w:bCs/>
          <w:color w:val="auto"/>
          <w:sz w:val="32"/>
          <w:szCs w:val="32"/>
        </w:rPr>
        <w:t>第四部分 附件</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 w:eastAsia="zh-CN"/>
        </w:rPr>
        <w:t>1</w:t>
      </w:r>
      <w:r>
        <w:rPr>
          <w:rFonts w:hint="eastAsia" w:ascii="方正仿宋_GBK" w:hAnsi="方正仿宋_GBK" w:eastAsia="方正仿宋_GBK" w:cs="方正仿宋_GBK"/>
          <w:color w:val="auto"/>
          <w:sz w:val="32"/>
          <w:szCs w:val="32"/>
          <w:lang w:val="en-US" w:eastAsia="zh-CN"/>
        </w:rPr>
        <w:t>4</w:t>
      </w:r>
    </w:p>
    <w:p>
      <w:pPr>
        <w:pStyle w:val="11"/>
        <w:widowControl w:val="0"/>
        <w:wordWrap/>
        <w:adjustRightInd w:val="0"/>
        <w:snapToGrid w:val="0"/>
        <w:spacing w:before="0" w:line="560" w:lineRule="exact"/>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b/>
          <w:bCs/>
          <w:color w:val="auto"/>
          <w:sz w:val="32"/>
          <w:szCs w:val="32"/>
        </w:rPr>
        <w:t>第五部分 附表</w:t>
      </w:r>
      <w:r>
        <w:rPr>
          <w:rFonts w:hint="eastAsia" w:ascii="方正仿宋_GBK" w:hAnsi="方正仿宋_GBK" w:eastAsia="方正仿宋_GBK" w:cs="方正仿宋_GBK"/>
          <w:color w:val="auto"/>
          <w:sz w:val="32"/>
          <w:szCs w:val="32"/>
          <w:lang w:val="en-US" w:eastAsia="zh-CN"/>
        </w:rPr>
        <w:t>.............................................................23</w:t>
      </w:r>
      <w:bookmarkStart w:id="56" w:name="_GoBack"/>
      <w:bookmarkEnd w:id="56"/>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1" w:name="_Toc15396619"/>
      <w:bookmarkStart w:id="2" w:name="_Toc15377196"/>
      <w:bookmarkStart w:id="3" w:name="_Toc15396599"/>
      <w:r>
        <w:rPr>
          <w:rFonts w:hint="eastAsia" w:ascii="方正仿宋_GBK" w:hAnsi="方正仿宋_GBK" w:eastAsia="方正仿宋_GBK" w:cs="方正仿宋_GBK"/>
          <w:color w:val="auto"/>
          <w:sz w:val="32"/>
          <w:szCs w:val="32"/>
        </w:rPr>
        <w:t>一、收入支出决算总表</w:t>
      </w:r>
      <w:bookmarkEnd w:id="1"/>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4" w:name="_Toc15396620"/>
      <w:r>
        <w:rPr>
          <w:rFonts w:hint="eastAsia" w:ascii="方正仿宋_GBK" w:hAnsi="方正仿宋_GBK" w:eastAsia="方正仿宋_GBK" w:cs="方正仿宋_GBK"/>
          <w:color w:val="auto"/>
          <w:sz w:val="32"/>
          <w:szCs w:val="32"/>
        </w:rPr>
        <w:t>二、收入决算表</w:t>
      </w:r>
      <w:bookmarkEnd w:id="4"/>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5" w:name="_Toc15396621"/>
      <w:r>
        <w:rPr>
          <w:rFonts w:hint="eastAsia" w:ascii="方正仿宋_GBK" w:hAnsi="方正仿宋_GBK" w:eastAsia="方正仿宋_GBK" w:cs="方正仿宋_GBK"/>
          <w:color w:val="auto"/>
          <w:sz w:val="32"/>
          <w:szCs w:val="32"/>
        </w:rPr>
        <w:t>三、支出决算表</w:t>
      </w:r>
      <w:bookmarkEnd w:id="5"/>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6" w:name="_Toc15396622"/>
      <w:r>
        <w:rPr>
          <w:rFonts w:hint="eastAsia" w:ascii="方正仿宋_GBK" w:hAnsi="方正仿宋_GBK" w:eastAsia="方正仿宋_GBK" w:cs="方正仿宋_GBK"/>
          <w:color w:val="auto"/>
          <w:sz w:val="32"/>
          <w:szCs w:val="32"/>
        </w:rPr>
        <w:t>四、财政拨款收入支出决算总表</w:t>
      </w:r>
      <w:bookmarkEnd w:id="6"/>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7" w:name="_Toc15396623"/>
      <w:r>
        <w:rPr>
          <w:rFonts w:hint="eastAsia" w:ascii="方正仿宋_GBK" w:hAnsi="方正仿宋_GBK" w:eastAsia="方正仿宋_GBK" w:cs="方正仿宋_GBK"/>
          <w:color w:val="auto"/>
          <w:sz w:val="32"/>
          <w:szCs w:val="32"/>
        </w:rPr>
        <w:t>五、财政拨款支出决算明细表</w:t>
      </w:r>
      <w:bookmarkEnd w:id="7"/>
      <w:bookmarkStart w:id="8" w:name="_Toc15396624"/>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六、一般公共预算财政拨款支出决算表</w:t>
      </w:r>
      <w:bookmarkEnd w:id="8"/>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9" w:name="_Toc15396625"/>
      <w:r>
        <w:rPr>
          <w:rFonts w:hint="eastAsia" w:ascii="方正仿宋_GBK" w:hAnsi="方正仿宋_GBK" w:eastAsia="方正仿宋_GBK" w:cs="方正仿宋_GBK"/>
          <w:color w:val="auto"/>
          <w:sz w:val="32"/>
          <w:szCs w:val="32"/>
        </w:rPr>
        <w:t>七、一般公共预算财政拨款支出决算明细表</w:t>
      </w:r>
      <w:bookmarkEnd w:id="9"/>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10" w:name="_Toc15396626"/>
      <w:r>
        <w:rPr>
          <w:rFonts w:hint="eastAsia" w:ascii="方正仿宋_GBK" w:hAnsi="方正仿宋_GBK" w:eastAsia="方正仿宋_GBK" w:cs="方正仿宋_GBK"/>
          <w:color w:val="auto"/>
          <w:sz w:val="32"/>
          <w:szCs w:val="32"/>
        </w:rPr>
        <w:t>八、一般公共预算财政拨款基本支出决算表</w:t>
      </w:r>
      <w:bookmarkEnd w:id="10"/>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11" w:name="_Toc15396627"/>
      <w:r>
        <w:rPr>
          <w:rFonts w:hint="eastAsia" w:ascii="方正仿宋_GBK" w:hAnsi="方正仿宋_GBK" w:eastAsia="方正仿宋_GBK" w:cs="方正仿宋_GBK"/>
          <w:color w:val="auto"/>
          <w:sz w:val="32"/>
          <w:szCs w:val="32"/>
        </w:rPr>
        <w:t>九、一般公共预算财政拨款项目支出决算表</w:t>
      </w:r>
      <w:bookmarkEnd w:id="11"/>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12" w:name="_Toc15396629"/>
      <w:r>
        <w:rPr>
          <w:rFonts w:hint="eastAsia" w:ascii="方正仿宋_GBK" w:hAnsi="方正仿宋_GBK" w:eastAsia="方正仿宋_GBK" w:cs="方正仿宋_GBK"/>
          <w:color w:val="auto"/>
          <w:sz w:val="32"/>
          <w:szCs w:val="32"/>
        </w:rPr>
        <w:t>十、政府性基金预算财政拨款收入支出决算表</w:t>
      </w:r>
      <w:bookmarkEnd w:id="12"/>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、国有资本经营预算财政拨款收入支出决算表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13" w:name="_Toc15396631"/>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、国有资本经营预算财政拨款支出决算表</w:t>
      </w:r>
      <w:bookmarkEnd w:id="13"/>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bookmarkStart w:id="14" w:name="_Toc15396630"/>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、财政拨款“三公”经费支出决算表</w:t>
      </w:r>
      <w:bookmarkEnd w:id="14"/>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FF0000"/>
          <w:sz w:val="32"/>
          <w:szCs w:val="32"/>
        </w:rPr>
      </w:pPr>
    </w:p>
    <w:p>
      <w:pPr>
        <w:pStyle w:val="3"/>
        <w:jc w:val="center"/>
        <w:rPr>
          <w:rFonts w:hint="eastAsia" w:ascii="黑体" w:hAnsi="黑体" w:eastAsia="黑体"/>
          <w:b w:val="0"/>
          <w:color w:val="auto"/>
        </w:rPr>
      </w:pPr>
    </w:p>
    <w:p>
      <w:pPr>
        <w:pStyle w:val="3"/>
        <w:jc w:val="center"/>
        <w:rPr>
          <w:rFonts w:hint="eastAsia" w:ascii="黑体" w:hAnsi="黑体" w:eastAsia="黑体"/>
          <w:b w:val="0"/>
          <w:color w:val="auto"/>
        </w:rPr>
      </w:pPr>
    </w:p>
    <w:p>
      <w:pPr>
        <w:pStyle w:val="3"/>
        <w:jc w:val="center"/>
        <w:rPr>
          <w:rFonts w:hint="eastAsia" w:ascii="黑体" w:hAnsi="黑体" w:eastAsia="黑体"/>
          <w:b w:val="0"/>
          <w:color w:val="auto"/>
        </w:rPr>
      </w:pPr>
    </w:p>
    <w:p>
      <w:pPr>
        <w:rPr>
          <w:rFonts w:hint="eastAsia"/>
          <w:color w:val="auto"/>
        </w:rPr>
      </w:pPr>
    </w:p>
    <w:p>
      <w:pPr>
        <w:pStyle w:val="3"/>
        <w:jc w:val="center"/>
        <w:rPr>
          <w:rFonts w:hint="eastAsia" w:ascii="黑体" w:hAnsi="黑体" w:eastAsia="黑体"/>
          <w:b w:val="0"/>
          <w:color w:val="auto"/>
        </w:rPr>
        <w:sectPr>
          <w:footerReference r:id="rId5" w:type="first"/>
          <w:headerReference r:id="rId3" w:type="default"/>
          <w:footerReference r:id="rId4" w:type="default"/>
          <w:pgSz w:w="11906" w:h="16838"/>
          <w:pgMar w:top="1157" w:right="1800" w:bottom="1157" w:left="1800" w:header="851" w:footer="992" w:gutter="0"/>
          <w:pgNumType w:fmt="decimal" w:start="1"/>
          <w:cols w:space="720" w:num="1"/>
          <w:docGrid w:type="lines" w:linePitch="312" w:charSpace="0"/>
        </w:sectPr>
      </w:pPr>
    </w:p>
    <w:p>
      <w:pPr>
        <w:pStyle w:val="3"/>
        <w:jc w:val="center"/>
        <w:rPr>
          <w:rStyle w:val="29"/>
          <w:rFonts w:ascii="黑体" w:hAnsi="黑体" w:eastAsia="黑体"/>
          <w:b/>
          <w:bCs w:val="0"/>
          <w:color w:val="auto"/>
        </w:rPr>
      </w:pPr>
      <w:r>
        <w:rPr>
          <w:rFonts w:hint="eastAsia" w:ascii="黑体" w:hAnsi="黑体" w:eastAsia="黑体"/>
          <w:b w:val="0"/>
          <w:color w:val="auto"/>
        </w:rPr>
        <w:t>第一部分</w:t>
      </w:r>
      <w:r>
        <w:rPr>
          <w:rFonts w:hint="eastAsia" w:ascii="黑体" w:hAnsi="黑体" w:eastAsia="黑体"/>
          <w:b w:val="0"/>
          <w:color w:val="auto"/>
          <w:lang w:val="en-US" w:eastAsia="zh-CN"/>
        </w:rPr>
        <w:t xml:space="preserve"> </w:t>
      </w:r>
      <w:r>
        <w:rPr>
          <w:rFonts w:hint="eastAsia" w:ascii="黑体" w:hAnsi="黑体" w:eastAsia="黑体"/>
          <w:b w:val="0"/>
          <w:color w:val="auto"/>
          <w:lang w:eastAsia="zh-CN"/>
        </w:rPr>
        <w:t>单位</w:t>
      </w:r>
      <w:r>
        <w:rPr>
          <w:rStyle w:val="29"/>
          <w:rFonts w:hint="eastAsia" w:ascii="黑体" w:hAnsi="黑体" w:eastAsia="黑体"/>
          <w:b w:val="0"/>
          <w:bCs w:val="0"/>
          <w:color w:val="auto"/>
        </w:rPr>
        <w:t>概况</w:t>
      </w:r>
      <w:bookmarkEnd w:id="2"/>
      <w:bookmarkEnd w:id="3"/>
    </w:p>
    <w:p>
      <w:pPr>
        <w:pStyle w:val="4"/>
        <w:rPr>
          <w:rStyle w:val="30"/>
          <w:rFonts w:hint="eastAsia" w:ascii="黑体" w:hAnsi="黑体" w:eastAsia="黑体"/>
          <w:b w:val="0"/>
          <w:bCs w:val="0"/>
          <w:color w:val="auto"/>
          <w:lang w:eastAsia="zh-CN"/>
        </w:rPr>
      </w:pPr>
      <w:bookmarkStart w:id="15" w:name="_Toc15396600"/>
      <w:bookmarkStart w:id="16" w:name="_Toc15377197"/>
      <w:r>
        <w:rPr>
          <w:rFonts w:hint="eastAsia" w:ascii="黑体" w:hAnsi="黑体" w:eastAsia="黑体"/>
          <w:b w:val="0"/>
          <w:color w:val="auto"/>
        </w:rPr>
        <w:t>一、基</w:t>
      </w:r>
      <w:r>
        <w:rPr>
          <w:rStyle w:val="30"/>
          <w:rFonts w:hint="eastAsia" w:ascii="黑体" w:hAnsi="黑体" w:eastAsia="黑体"/>
          <w:b w:val="0"/>
          <w:bCs w:val="0"/>
          <w:color w:val="auto"/>
        </w:rPr>
        <w:t>本职能</w:t>
      </w:r>
      <w:bookmarkEnd w:id="15"/>
      <w:bookmarkEnd w:id="16"/>
      <w:r>
        <w:rPr>
          <w:rStyle w:val="30"/>
          <w:rFonts w:hint="eastAsia" w:ascii="黑体" w:hAnsi="黑体" w:eastAsia="黑体"/>
          <w:b w:val="0"/>
          <w:bCs w:val="0"/>
          <w:color w:val="auto"/>
          <w:lang w:eastAsia="zh-CN"/>
        </w:rPr>
        <w:t>及主要工作</w:t>
      </w:r>
    </w:p>
    <w:p>
      <w:pPr>
        <w:pStyle w:val="4"/>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 xml:space="preserve"> （一）主要职能。</w:t>
      </w:r>
    </w:p>
    <w:p>
      <w:pPr>
        <w:pStyle w:val="4"/>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 xml:space="preserve">    根据《广安市人民政府办公室关于印发广安市教育科学研究所主要职责内设机构和人员编制情况的通知》精神，广安市教育科学研究所为全市的教育教学改革发展服务。开展教学业务、质量的管理、考核、指导，教育教学、教育决策的研究、咨询，教材教辅的编写、选用、培训，教育科研课题、成果的评审管理等工作。</w:t>
      </w:r>
    </w:p>
    <w:p>
      <w:pPr>
        <w:rPr>
          <w:rFonts w:hint="default"/>
          <w:lang w:val="en-US" w:eastAsia="zh-CN"/>
        </w:rPr>
      </w:pPr>
      <w:r>
        <w:rPr>
          <w:rFonts w:hint="eastAsia" w:ascii="仿宋" w:hAnsi="仿宋" w:eastAsia="仿宋" w:cs="Times New Roman"/>
          <w:b w:val="0"/>
          <w:bCs w:val="0"/>
          <w:color w:val="auto"/>
          <w:kern w:val="2"/>
          <w:sz w:val="32"/>
          <w:szCs w:val="32"/>
          <w:lang w:val="en-US" w:eastAsia="zh-CN" w:bidi="ar-SA"/>
        </w:rPr>
        <w:t xml:space="preserve">  （二）2022重点工作完成情况。</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202</w:t>
      </w:r>
      <w:r>
        <w:rPr>
          <w:rFonts w:hint="default" w:ascii="仿宋" w:hAnsi="仿宋" w:eastAsia="仿宋"/>
          <w:color w:val="auto"/>
          <w:sz w:val="32"/>
          <w:szCs w:val="32"/>
          <w:lang w:val="en" w:eastAsia="zh-CN"/>
        </w:rPr>
        <w:t>2</w:t>
      </w:r>
      <w:r>
        <w:rPr>
          <w:rFonts w:hint="eastAsia" w:ascii="仿宋" w:hAnsi="仿宋" w:eastAsia="仿宋"/>
          <w:color w:val="auto"/>
          <w:sz w:val="32"/>
          <w:szCs w:val="32"/>
        </w:rPr>
        <w:t>年，我所继续完成我市高中三个年级的教学管理指导考核等相关工作。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1.我所组织全市高中学校的部分优秀教师参与高中教学指导及高三复习备考的视导工作，为我市高三年级的备考工作问诊把脉；</w:t>
      </w:r>
    </w:p>
    <w:p>
      <w:pPr>
        <w:ind w:firstLine="640" w:firstLineChars="200"/>
        <w:rPr>
          <w:rFonts w:hint="eastAsia" w:ascii="仿宋" w:hAnsi="仿宋" w:eastAsia="仿宋"/>
          <w:color w:val="auto"/>
          <w:kern w:val="2"/>
          <w:sz w:val="32"/>
          <w:szCs w:val="32"/>
        </w:rPr>
      </w:pPr>
      <w:r>
        <w:rPr>
          <w:rFonts w:hint="eastAsia" w:ascii="仿宋" w:hAnsi="仿宋" w:eastAsia="仿宋"/>
          <w:color w:val="auto"/>
          <w:sz w:val="32"/>
          <w:szCs w:val="32"/>
        </w:rPr>
        <w:t>2.我所负责抽选全市优秀教师命制高中一二年级的期末考试题，组织全市统一</w:t>
      </w:r>
      <w:r>
        <w:rPr>
          <w:rFonts w:hint="eastAsia" w:ascii="仿宋" w:hAnsi="仿宋" w:eastAsia="仿宋"/>
          <w:color w:val="auto"/>
          <w:sz w:val="32"/>
          <w:szCs w:val="32"/>
          <w:lang w:eastAsia="zh-CN"/>
        </w:rPr>
        <w:t>考试、</w:t>
      </w:r>
      <w:r>
        <w:rPr>
          <w:rFonts w:hint="eastAsia" w:ascii="仿宋" w:hAnsi="仿宋" w:eastAsia="仿宋"/>
          <w:color w:val="auto"/>
          <w:sz w:val="32"/>
          <w:szCs w:val="32"/>
        </w:rPr>
        <w:t>阅卷，分析考试成绩；与其他市</w:t>
      </w:r>
      <w:r>
        <w:rPr>
          <w:rFonts w:hint="eastAsia" w:ascii="仿宋" w:hAnsi="仿宋" w:eastAsia="仿宋"/>
          <w:color w:val="auto"/>
          <w:sz w:val="32"/>
          <w:szCs w:val="32"/>
          <w:lang w:eastAsia="zh-CN"/>
        </w:rPr>
        <w:t>（</w:t>
      </w:r>
      <w:r>
        <w:rPr>
          <w:rFonts w:hint="eastAsia" w:ascii="仿宋" w:hAnsi="仿宋" w:eastAsia="仿宋"/>
          <w:color w:val="auto"/>
          <w:sz w:val="32"/>
          <w:szCs w:val="32"/>
        </w:rPr>
        <w:t>州</w:t>
      </w:r>
      <w:r>
        <w:rPr>
          <w:rFonts w:hint="eastAsia" w:ascii="仿宋" w:hAnsi="仿宋" w:eastAsia="仿宋"/>
          <w:color w:val="auto"/>
          <w:sz w:val="32"/>
          <w:szCs w:val="32"/>
          <w:lang w:eastAsia="zh-CN"/>
        </w:rPr>
        <w:t>）</w:t>
      </w:r>
      <w:r>
        <w:rPr>
          <w:rFonts w:hint="eastAsia" w:ascii="仿宋" w:hAnsi="仿宋" w:eastAsia="仿宋"/>
          <w:color w:val="auto"/>
          <w:sz w:val="32"/>
          <w:szCs w:val="32"/>
        </w:rPr>
        <w:t>联合组织高三的一、二诊考试，为我市的高中教育发展提供了科学的数据依据。</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w:t>
      </w:r>
      <w:r>
        <w:rPr>
          <w:rFonts w:hint="eastAsia" w:ascii="仿宋" w:hAnsi="仿宋" w:eastAsia="仿宋"/>
          <w:color w:val="auto"/>
          <w:sz w:val="32"/>
          <w:szCs w:val="32"/>
        </w:rPr>
        <w:t>中考工作：</w:t>
      </w:r>
      <w:r>
        <w:rPr>
          <w:rFonts w:hint="eastAsia" w:ascii="仿宋" w:hAnsi="仿宋" w:eastAsia="仿宋"/>
          <w:color w:val="auto"/>
          <w:sz w:val="32"/>
          <w:szCs w:val="32"/>
          <w:lang w:val="en-US" w:eastAsia="zh-CN"/>
        </w:rPr>
        <w:t>202</w:t>
      </w:r>
      <w:r>
        <w:rPr>
          <w:rFonts w:hint="default" w:ascii="仿宋" w:hAnsi="仿宋" w:eastAsia="仿宋"/>
          <w:color w:val="auto"/>
          <w:sz w:val="32"/>
          <w:szCs w:val="32"/>
          <w:lang w:val="en" w:eastAsia="zh-CN"/>
        </w:rPr>
        <w:t>2</w:t>
      </w:r>
      <w:r>
        <w:rPr>
          <w:rFonts w:hint="eastAsia" w:ascii="仿宋" w:hAnsi="仿宋" w:eastAsia="仿宋"/>
          <w:color w:val="auto"/>
          <w:sz w:val="32"/>
          <w:szCs w:val="32"/>
        </w:rPr>
        <w:t>年广安市高中阶段学校招生考试，由市教科所承担考试各科目试卷的命制、审核以及阅卷、成绩分</w:t>
      </w:r>
      <w:r>
        <w:rPr>
          <w:rFonts w:hint="eastAsia" w:ascii="仿宋_GB2312" w:hAnsi="仿宋_GB2312" w:eastAsia="仿宋_GB2312" w:cs="仿宋_GB2312"/>
          <w:color w:val="auto"/>
          <w:sz w:val="32"/>
          <w:szCs w:val="32"/>
          <w:shd w:val="clear" w:color="050000" w:fill="auto"/>
        </w:rPr>
        <w:t>析</w:t>
      </w:r>
      <w:r>
        <w:rPr>
          <w:rFonts w:hint="eastAsia" w:ascii="仿宋" w:hAnsi="仿宋" w:eastAsia="仿宋"/>
          <w:color w:val="auto"/>
          <w:sz w:val="32"/>
          <w:szCs w:val="32"/>
        </w:rPr>
        <w:t>等相关工作。尤其是试卷命制、审核工作，任务重、责任大、时间紧，在单位领导的带领和命审题教师的全力支持配合下顺利完成中考各项工作。</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kern w:val="2"/>
          <w:sz w:val="32"/>
          <w:szCs w:val="32"/>
        </w:rPr>
        <w:t>学科培训指导：20</w:t>
      </w:r>
      <w:r>
        <w:rPr>
          <w:rFonts w:hint="eastAsia" w:ascii="仿宋" w:hAnsi="仿宋" w:eastAsia="仿宋"/>
          <w:color w:val="auto"/>
          <w:kern w:val="2"/>
          <w:sz w:val="32"/>
          <w:szCs w:val="32"/>
          <w:lang w:val="en-US" w:eastAsia="zh-CN"/>
        </w:rPr>
        <w:t>2</w:t>
      </w:r>
      <w:r>
        <w:rPr>
          <w:rFonts w:hint="default" w:ascii="仿宋" w:hAnsi="仿宋" w:eastAsia="仿宋"/>
          <w:color w:val="auto"/>
          <w:kern w:val="2"/>
          <w:sz w:val="32"/>
          <w:szCs w:val="32"/>
          <w:lang w:val="en" w:eastAsia="zh-CN"/>
        </w:rPr>
        <w:t>2</w:t>
      </w:r>
      <w:r>
        <w:rPr>
          <w:rFonts w:hint="eastAsia" w:ascii="仿宋" w:hAnsi="仿宋" w:eastAsia="仿宋"/>
          <w:color w:val="auto"/>
          <w:kern w:val="2"/>
          <w:sz w:val="32"/>
          <w:szCs w:val="32"/>
        </w:rPr>
        <w:t>年，我所各学段、学科组织教师竞教、论文评选、学生学科竞赛等活动，完成</w:t>
      </w:r>
      <w:r>
        <w:rPr>
          <w:rFonts w:hint="eastAsia" w:ascii="仿宋" w:hAnsi="仿宋" w:eastAsia="仿宋"/>
          <w:color w:val="auto"/>
          <w:kern w:val="2"/>
          <w:sz w:val="32"/>
          <w:szCs w:val="32"/>
          <w:lang w:val="en-US" w:eastAsia="zh-CN"/>
        </w:rPr>
        <w:t>省教科院组织的各种网络培训会</w:t>
      </w:r>
      <w:r>
        <w:rPr>
          <w:rFonts w:hint="eastAsia" w:ascii="仿宋" w:hAnsi="仿宋" w:eastAsia="仿宋"/>
          <w:color w:val="auto"/>
          <w:kern w:val="2"/>
          <w:sz w:val="32"/>
          <w:szCs w:val="32"/>
        </w:rPr>
        <w:t>；</w:t>
      </w:r>
    </w:p>
    <w:p>
      <w:pPr>
        <w:pageBreakBefore w:val="0"/>
        <w:widowControl w:val="0"/>
        <w:kinsoku/>
        <w:wordWrap/>
        <w:overflowPunct/>
        <w:topLinePunct w:val="0"/>
        <w:autoSpaceDE/>
        <w:autoSpaceDN/>
        <w:bidi w:val="0"/>
        <w:adjustRightInd/>
        <w:snapToGrid/>
        <w:spacing w:line="260" w:lineRule="atLeas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3.组织我市中等职业教育学校进行第十三届学生职业技能大赛和教师教学能力大赛。</w:t>
      </w:r>
    </w:p>
    <w:p>
      <w:pPr>
        <w:pStyle w:val="13"/>
        <w:ind w:left="0" w:leftChars="0" w:firstLine="0" w:firstLineChars="0"/>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二、机构设置</w:t>
      </w:r>
    </w:p>
    <w:p>
      <w:pPr>
        <w:pageBreakBefore w:val="0"/>
        <w:widowControl w:val="0"/>
        <w:kinsoku/>
        <w:wordWrap/>
        <w:overflowPunct/>
        <w:topLinePunct w:val="0"/>
        <w:autoSpaceDE/>
        <w:autoSpaceDN/>
        <w:bidi w:val="0"/>
        <w:adjustRightInd/>
        <w:snapToGrid/>
        <w:spacing w:line="260" w:lineRule="atLeast"/>
        <w:ind w:firstLine="640"/>
        <w:textAlignment w:val="auto"/>
        <w:rPr>
          <w:rFonts w:hint="eastAsia" w:ascii="仿宋_GB2312" w:hAnsi="仿宋_GB2312" w:eastAsia="仿宋_GB2312" w:cs="仿宋_GB2312"/>
          <w:color w:val="auto"/>
          <w:sz w:val="32"/>
          <w:szCs w:val="32"/>
          <w:shd w:val="clear" w:color="050000" w:fill="auto"/>
          <w:lang w:eastAsia="zh-CN"/>
        </w:rPr>
      </w:pPr>
      <w:r>
        <w:rPr>
          <w:rFonts w:hint="eastAsia" w:ascii="仿宋_GB2312" w:hAnsi="仿宋_GB2312" w:eastAsia="仿宋_GB2312" w:cs="仿宋_GB2312"/>
          <w:color w:val="auto"/>
          <w:sz w:val="32"/>
          <w:szCs w:val="32"/>
          <w:shd w:val="clear" w:color="050000" w:fill="auto"/>
        </w:rPr>
        <w:t>广安市教科所为广安市财政全额拨款事业单位，市教育体育局直属事业单位。</w:t>
      </w:r>
      <w:r>
        <w:rPr>
          <w:rFonts w:hint="eastAsia" w:ascii="仿宋_GB2312" w:hAnsi="仿宋_GB2312" w:eastAsia="仿宋_GB2312" w:cs="仿宋_GB2312"/>
          <w:color w:val="auto"/>
          <w:sz w:val="32"/>
          <w:szCs w:val="32"/>
          <w:shd w:val="clear" w:color="050000" w:fill="auto"/>
          <w:lang w:eastAsia="zh-CN"/>
        </w:rPr>
        <w:t>共有在职人员</w:t>
      </w:r>
      <w:r>
        <w:rPr>
          <w:rFonts w:hint="eastAsia" w:ascii="仿宋_GB2312" w:hAnsi="仿宋_GB2312" w:eastAsia="仿宋_GB2312" w:cs="仿宋_GB2312"/>
          <w:color w:val="auto"/>
          <w:sz w:val="32"/>
          <w:szCs w:val="32"/>
          <w:shd w:val="clear" w:color="050000" w:fill="auto"/>
          <w:lang w:val="en-US" w:eastAsia="zh-CN"/>
        </w:rPr>
        <w:t>12人，</w:t>
      </w:r>
      <w:r>
        <w:rPr>
          <w:rFonts w:hint="eastAsia" w:ascii="仿宋" w:hAnsi="仿宋" w:eastAsia="仿宋" w:cs="Times New Roman"/>
          <w:color w:val="auto"/>
          <w:sz w:val="32"/>
          <w:szCs w:val="32"/>
        </w:rPr>
        <w:t>临聘人员1名，</w:t>
      </w:r>
      <w:r>
        <w:rPr>
          <w:rFonts w:hint="eastAsia" w:ascii="仿宋" w:hAnsi="仿宋" w:eastAsia="仿宋" w:cs="Times New Roman"/>
          <w:color w:val="auto"/>
          <w:sz w:val="32"/>
          <w:szCs w:val="32"/>
          <w:lang w:eastAsia="zh-CN"/>
        </w:rPr>
        <w:t>内</w:t>
      </w:r>
      <w:r>
        <w:rPr>
          <w:rFonts w:hint="eastAsia" w:ascii="仿宋" w:hAnsi="仿宋" w:eastAsia="仿宋" w:cs="Times New Roman"/>
          <w:color w:val="auto"/>
          <w:sz w:val="32"/>
          <w:szCs w:val="32"/>
        </w:rPr>
        <w:t>设</w:t>
      </w:r>
      <w:r>
        <w:rPr>
          <w:rFonts w:hint="eastAsia" w:ascii="仿宋" w:hAnsi="仿宋" w:eastAsia="仿宋" w:cs="Times New Roman"/>
          <w:color w:val="auto"/>
          <w:sz w:val="32"/>
          <w:szCs w:val="32"/>
          <w:lang w:val="en-US" w:eastAsia="zh-CN"/>
        </w:rPr>
        <w:t>4个科室。</w:t>
      </w:r>
      <w:r>
        <w:rPr>
          <w:rFonts w:hint="eastAsia" w:ascii="仿宋_GB2312" w:hAnsi="仿宋_GB2312" w:eastAsia="仿宋_GB2312" w:cs="仿宋_GB2312"/>
          <w:color w:val="auto"/>
          <w:sz w:val="32"/>
          <w:szCs w:val="32"/>
          <w:shd w:val="clear" w:color="050000" w:fill="auto"/>
          <w:lang w:eastAsia="zh-CN"/>
        </w:rPr>
        <w:t>设有</w:t>
      </w:r>
      <w:r>
        <w:rPr>
          <w:rFonts w:hint="eastAsia" w:ascii="仿宋_GB2312" w:hAnsi="仿宋_GB2312" w:eastAsia="仿宋_GB2312" w:cs="仿宋_GB2312"/>
          <w:color w:val="auto"/>
          <w:sz w:val="32"/>
          <w:szCs w:val="32"/>
          <w:shd w:val="clear" w:color="050000" w:fill="auto"/>
        </w:rPr>
        <w:t>办公室</w:t>
      </w:r>
      <w:r>
        <w:rPr>
          <w:rFonts w:hint="eastAsia" w:ascii="仿宋_GB2312" w:hAnsi="仿宋_GB2312" w:eastAsia="仿宋_GB2312" w:cs="仿宋_GB2312"/>
          <w:color w:val="auto"/>
          <w:sz w:val="32"/>
          <w:szCs w:val="32"/>
          <w:shd w:val="clear" w:color="050000" w:fill="auto"/>
          <w:lang w:eastAsia="zh-CN"/>
        </w:rPr>
        <w:t>，主要负责文件收发、统筹所务；</w:t>
      </w:r>
      <w:r>
        <w:rPr>
          <w:rFonts w:hint="eastAsia" w:ascii="仿宋_GB2312" w:hAnsi="仿宋_GB2312" w:eastAsia="仿宋_GB2312" w:cs="仿宋_GB2312"/>
          <w:color w:val="auto"/>
          <w:sz w:val="32"/>
          <w:szCs w:val="32"/>
          <w:shd w:val="clear" w:color="050000" w:fill="auto"/>
        </w:rPr>
        <w:t>小学室</w:t>
      </w:r>
      <w:r>
        <w:rPr>
          <w:rFonts w:hint="eastAsia" w:ascii="仿宋_GB2312" w:hAnsi="仿宋_GB2312" w:eastAsia="仿宋_GB2312" w:cs="仿宋_GB2312"/>
          <w:color w:val="auto"/>
          <w:sz w:val="32"/>
          <w:szCs w:val="32"/>
          <w:shd w:val="clear" w:color="050000" w:fill="auto"/>
          <w:lang w:eastAsia="zh-CN"/>
        </w:rPr>
        <w:t>，主要负责义务教育阶段教学教研；</w:t>
      </w:r>
      <w:r>
        <w:rPr>
          <w:rFonts w:hint="eastAsia" w:ascii="仿宋_GB2312" w:hAnsi="仿宋_GB2312" w:eastAsia="仿宋_GB2312" w:cs="仿宋_GB2312"/>
          <w:color w:val="auto"/>
          <w:sz w:val="32"/>
          <w:szCs w:val="32"/>
          <w:shd w:val="clear" w:color="050000" w:fill="auto"/>
        </w:rPr>
        <w:t>中学室</w:t>
      </w:r>
      <w:r>
        <w:rPr>
          <w:rFonts w:hint="eastAsia" w:ascii="仿宋_GB2312" w:hAnsi="仿宋_GB2312" w:eastAsia="仿宋_GB2312" w:cs="仿宋_GB2312"/>
          <w:color w:val="auto"/>
          <w:sz w:val="32"/>
          <w:szCs w:val="32"/>
          <w:shd w:val="clear" w:color="050000" w:fill="auto"/>
          <w:lang w:eastAsia="zh-CN"/>
        </w:rPr>
        <w:t>，主要负责高中阶段教学教研；</w:t>
      </w:r>
      <w:r>
        <w:rPr>
          <w:rFonts w:hint="eastAsia" w:ascii="仿宋_GB2312" w:hAnsi="仿宋_GB2312" w:eastAsia="仿宋_GB2312" w:cs="仿宋_GB2312"/>
          <w:color w:val="auto"/>
          <w:sz w:val="32"/>
          <w:szCs w:val="32"/>
          <w:shd w:val="clear" w:color="050000" w:fill="auto"/>
        </w:rPr>
        <w:t>职教室</w:t>
      </w:r>
      <w:r>
        <w:rPr>
          <w:rFonts w:hint="eastAsia" w:ascii="仿宋_GB2312" w:hAnsi="仿宋_GB2312" w:eastAsia="仿宋_GB2312" w:cs="仿宋_GB2312"/>
          <w:color w:val="auto"/>
          <w:sz w:val="32"/>
          <w:szCs w:val="32"/>
          <w:shd w:val="clear" w:color="050000" w:fill="auto"/>
          <w:lang w:eastAsia="zh-CN"/>
        </w:rPr>
        <w:t>，主要负责职业教育教学教研及财务工作。</w:t>
      </w:r>
    </w:p>
    <w:p>
      <w:pPr>
        <w:pStyle w:val="2"/>
        <w:rPr>
          <w:rFonts w:hint="eastAsia" w:ascii="仿宋_GB2312" w:hAnsi="仿宋_GB2312" w:eastAsia="仿宋_GB2312" w:cs="仿宋_GB2312"/>
          <w:color w:val="auto"/>
          <w:sz w:val="32"/>
          <w:szCs w:val="32"/>
          <w:shd w:val="clear" w:color="050000" w:fill="auto"/>
          <w:lang w:eastAsia="zh-CN"/>
        </w:rPr>
      </w:pPr>
    </w:p>
    <w:p>
      <w:pPr>
        <w:pStyle w:val="2"/>
        <w:rPr>
          <w:rFonts w:hint="eastAsia" w:ascii="仿宋_GB2312" w:hAnsi="仿宋_GB2312" w:eastAsia="仿宋_GB2312" w:cs="仿宋_GB2312"/>
          <w:color w:val="auto"/>
          <w:sz w:val="32"/>
          <w:szCs w:val="32"/>
          <w:shd w:val="clear" w:color="050000" w:fill="auto"/>
          <w:lang w:eastAsia="zh-CN"/>
        </w:rPr>
      </w:pPr>
    </w:p>
    <w:p>
      <w:pPr>
        <w:pStyle w:val="2"/>
        <w:rPr>
          <w:rFonts w:hint="eastAsia" w:ascii="仿宋_GB2312" w:hAnsi="仿宋_GB2312" w:eastAsia="仿宋_GB2312" w:cs="仿宋_GB2312"/>
          <w:color w:val="auto"/>
          <w:sz w:val="32"/>
          <w:szCs w:val="32"/>
          <w:shd w:val="clear" w:color="050000" w:fill="auto"/>
          <w:lang w:eastAsia="zh-CN"/>
        </w:rPr>
      </w:pPr>
    </w:p>
    <w:p>
      <w:pPr>
        <w:pStyle w:val="2"/>
        <w:rPr>
          <w:rFonts w:hint="eastAsia" w:ascii="仿宋_GB2312" w:hAnsi="仿宋_GB2312" w:eastAsia="仿宋_GB2312" w:cs="仿宋_GB2312"/>
          <w:color w:val="auto"/>
          <w:sz w:val="32"/>
          <w:szCs w:val="32"/>
          <w:shd w:val="clear" w:color="050000" w:fill="auto"/>
          <w:lang w:eastAsia="zh-CN"/>
        </w:rPr>
      </w:pPr>
    </w:p>
    <w:p>
      <w:pPr>
        <w:pStyle w:val="2"/>
        <w:rPr>
          <w:rFonts w:hint="eastAsia" w:ascii="仿宋_GB2312" w:hAnsi="仿宋_GB2312" w:eastAsia="仿宋_GB2312" w:cs="仿宋_GB2312"/>
          <w:color w:val="auto"/>
          <w:sz w:val="32"/>
          <w:szCs w:val="32"/>
          <w:shd w:val="clear" w:color="050000" w:fill="auto"/>
          <w:lang w:eastAsia="zh-CN"/>
        </w:rPr>
      </w:pPr>
    </w:p>
    <w:p>
      <w:pPr>
        <w:pStyle w:val="2"/>
        <w:rPr>
          <w:rFonts w:hint="eastAsia" w:ascii="仿宋_GB2312" w:hAnsi="仿宋_GB2312" w:eastAsia="仿宋_GB2312" w:cs="仿宋_GB2312"/>
          <w:color w:val="auto"/>
          <w:sz w:val="32"/>
          <w:szCs w:val="32"/>
          <w:shd w:val="clear" w:color="050000" w:fill="auto"/>
          <w:lang w:eastAsia="zh-CN"/>
        </w:rPr>
      </w:pPr>
    </w:p>
    <w:p>
      <w:pPr>
        <w:widowControl/>
        <w:wordWrap/>
        <w:adjustRightInd/>
        <w:snapToGrid/>
        <w:spacing w:line="600" w:lineRule="auto"/>
        <w:ind w:right="0"/>
        <w:jc w:val="center"/>
        <w:textAlignment w:val="auto"/>
        <w:rPr>
          <w:rStyle w:val="29"/>
          <w:rFonts w:hint="eastAsia" w:ascii="黑体" w:hAnsi="黑体" w:eastAsia="黑体" w:cs="Times New Roman"/>
          <w:b w:val="0"/>
          <w:bCs w:val="0"/>
          <w:color w:val="auto"/>
        </w:rPr>
      </w:pPr>
      <w:bookmarkStart w:id="17" w:name="_Toc15377204"/>
      <w:bookmarkStart w:id="18" w:name="_Toc15396602"/>
      <w:r>
        <w:rPr>
          <w:rStyle w:val="29"/>
          <w:rFonts w:hint="eastAsia" w:ascii="黑体" w:hAnsi="黑体" w:eastAsia="黑体" w:cs="Times New Roman"/>
          <w:b w:val="0"/>
          <w:bCs w:val="0"/>
          <w:color w:val="auto"/>
        </w:rPr>
        <w:t>第二部分 202</w:t>
      </w:r>
      <w:r>
        <w:rPr>
          <w:rStyle w:val="29"/>
          <w:rFonts w:hint="eastAsia" w:ascii="黑体" w:hAnsi="黑体" w:eastAsia="黑体" w:cs="Times New Roman"/>
          <w:b w:val="0"/>
          <w:bCs w:val="0"/>
          <w:color w:val="auto"/>
          <w:lang w:val="en-US" w:eastAsia="zh-CN"/>
        </w:rPr>
        <w:t>2</w:t>
      </w:r>
      <w:r>
        <w:rPr>
          <w:rStyle w:val="29"/>
          <w:rFonts w:hint="eastAsia" w:ascii="黑体" w:hAnsi="黑体" w:eastAsia="黑体" w:cs="Times New Roman"/>
          <w:b w:val="0"/>
          <w:bCs w:val="0"/>
          <w:color w:val="auto"/>
        </w:rPr>
        <w:t>年度部门决算情况说明</w:t>
      </w:r>
      <w:bookmarkEnd w:id="17"/>
      <w:bookmarkEnd w:id="18"/>
    </w:p>
    <w:p>
      <w:pPr>
        <w:pStyle w:val="20"/>
        <w:numPr>
          <w:ilvl w:val="0"/>
          <w:numId w:val="2"/>
        </w:numPr>
        <w:wordWrap/>
        <w:adjustRightInd/>
        <w:snapToGrid/>
        <w:spacing w:line="600" w:lineRule="auto"/>
        <w:ind w:right="0" w:firstLineChars="0"/>
        <w:textAlignment w:val="auto"/>
        <w:outlineLvl w:val="1"/>
        <w:rPr>
          <w:rFonts w:hint="eastAsia" w:ascii="黑体" w:hAnsi="黑体" w:eastAsia="黑体" w:cs="Times New Roman"/>
          <w:color w:val="auto"/>
          <w:sz w:val="32"/>
          <w:szCs w:val="32"/>
        </w:rPr>
      </w:pPr>
      <w:bookmarkStart w:id="19" w:name="_Toc15377205"/>
      <w:bookmarkStart w:id="20" w:name="_Toc15396603"/>
      <w:r>
        <w:rPr>
          <w:rFonts w:hint="eastAsia" w:ascii="黑体" w:hAnsi="黑体" w:eastAsia="黑体" w:cs="Times New Roman"/>
          <w:color w:val="auto"/>
          <w:sz w:val="32"/>
          <w:szCs w:val="32"/>
        </w:rPr>
        <w:t>收入支出决算总体情况说明</w:t>
      </w:r>
      <w:bookmarkEnd w:id="19"/>
      <w:bookmarkEnd w:id="20"/>
    </w:p>
    <w:p>
      <w:pPr>
        <w:widowControl/>
        <w:wordWrap/>
        <w:adjustRightInd/>
        <w:snapToGrid/>
        <w:spacing w:line="600" w:lineRule="auto"/>
        <w:ind w:right="0"/>
        <w:jc w:val="left"/>
        <w:textAlignment w:val="auto"/>
        <w:rPr>
          <w:rFonts w:hint="eastAsia" w:ascii="仿宋" w:hAnsi="仿宋" w:eastAsia="仿宋"/>
          <w:color w:val="auto"/>
          <w:sz w:val="32"/>
          <w:szCs w:val="32"/>
          <w:lang w:val="en-US" w:eastAsia="zh-CN"/>
        </w:rPr>
      </w:pPr>
      <w:r>
        <w:rPr>
          <w:rFonts w:hint="eastAsia" w:ascii="仿宋_GB2312" w:hAnsi="仿宋_GB2312" w:eastAsia="仿宋_GB2312" w:cs="仿宋_GB2312"/>
          <w:color w:val="auto"/>
          <w:sz w:val="32"/>
          <w:szCs w:val="32"/>
          <w:shd w:val="clear" w:color="050000" w:fill="auto"/>
          <w:lang w:val="en-US" w:eastAsia="zh-CN"/>
        </w:rPr>
        <w:t xml:space="preserve">     </w:t>
      </w:r>
      <w:r>
        <w:rPr>
          <w:rFonts w:hint="eastAsia" w:ascii="仿宋_GB2312" w:hAnsi="仿宋_GB2312" w:eastAsia="仿宋_GB2312" w:cs="仿宋_GB2312"/>
          <w:color w:val="auto"/>
          <w:sz w:val="32"/>
          <w:szCs w:val="32"/>
          <w:shd w:val="clear" w:color="050000" w:fill="auto"/>
        </w:rPr>
        <w:t>202</w:t>
      </w:r>
      <w:r>
        <w:rPr>
          <w:rFonts w:hint="eastAsia" w:ascii="仿宋_GB2312" w:hAnsi="仿宋_GB2312" w:eastAsia="仿宋_GB2312" w:cs="仿宋_GB2312"/>
          <w:color w:val="auto"/>
          <w:sz w:val="32"/>
          <w:szCs w:val="32"/>
          <w:shd w:val="clear" w:color="050000" w:fill="auto"/>
          <w:lang w:val="en-US" w:eastAsia="zh-CN"/>
        </w:rPr>
        <w:t>2</w:t>
      </w:r>
      <w:r>
        <w:rPr>
          <w:rFonts w:hint="eastAsia" w:ascii="仿宋_GB2312" w:hAnsi="仿宋_GB2312" w:eastAsia="仿宋_GB2312" w:cs="仿宋_GB2312"/>
          <w:color w:val="auto"/>
          <w:sz w:val="32"/>
          <w:szCs w:val="32"/>
          <w:shd w:val="clear" w:color="050000" w:fill="auto"/>
        </w:rPr>
        <w:t>年度收</w:t>
      </w:r>
      <w:r>
        <w:rPr>
          <w:rFonts w:hint="eastAsia" w:ascii="仿宋_GB2312" w:hAnsi="仿宋_GB2312" w:eastAsia="仿宋_GB2312" w:cs="仿宋_GB2312"/>
          <w:color w:val="auto"/>
          <w:sz w:val="32"/>
          <w:szCs w:val="32"/>
          <w:shd w:val="clear" w:color="050000" w:fill="auto"/>
          <w:lang w:val="en-US" w:eastAsia="zh-CN"/>
        </w:rPr>
        <w:t>入、支出</w:t>
      </w:r>
      <w:r>
        <w:rPr>
          <w:rFonts w:hint="eastAsia" w:ascii="仿宋_GB2312" w:hAnsi="仿宋_GB2312" w:eastAsia="仿宋_GB2312" w:cs="仿宋_GB2312"/>
          <w:color w:val="auto"/>
          <w:sz w:val="32"/>
          <w:szCs w:val="32"/>
          <w:shd w:val="clear" w:color="050000" w:fill="auto"/>
        </w:rPr>
        <w:t>总计</w:t>
      </w:r>
      <w:r>
        <w:rPr>
          <w:rFonts w:hint="eastAsia" w:ascii="仿宋_GB2312" w:hAnsi="仿宋_GB2312" w:eastAsia="仿宋_GB2312" w:cs="仿宋_GB2312"/>
          <w:color w:val="auto"/>
          <w:sz w:val="32"/>
          <w:szCs w:val="32"/>
          <w:shd w:val="clear" w:color="050000" w:fill="auto"/>
          <w:lang w:eastAsia="zh-CN"/>
        </w:rPr>
        <w:t>均为</w:t>
      </w:r>
      <w:r>
        <w:rPr>
          <w:rFonts w:hint="eastAsia" w:ascii="仿宋_GB2312" w:hAnsi="仿宋_GB2312" w:eastAsia="仿宋_GB2312" w:cs="仿宋_GB2312"/>
          <w:color w:val="auto"/>
          <w:sz w:val="32"/>
          <w:szCs w:val="32"/>
          <w:shd w:val="clear" w:color="050000" w:fill="auto"/>
          <w:lang w:val="en-US" w:eastAsia="zh-CN"/>
        </w:rPr>
        <w:t>343.22</w:t>
      </w:r>
      <w:r>
        <w:rPr>
          <w:rFonts w:hint="eastAsia" w:ascii="仿宋_GB2312" w:hAnsi="仿宋_GB2312" w:eastAsia="仿宋_GB2312" w:cs="仿宋_GB2312"/>
          <w:color w:val="auto"/>
          <w:sz w:val="32"/>
          <w:szCs w:val="32"/>
          <w:shd w:val="clear" w:color="050000" w:fill="auto"/>
        </w:rPr>
        <w:t>万元。与</w:t>
      </w:r>
      <w:r>
        <w:rPr>
          <w:rFonts w:hint="eastAsia" w:ascii="仿宋_GB2312" w:hAnsi="仿宋_GB2312" w:eastAsia="仿宋_GB2312" w:cs="仿宋_GB2312"/>
          <w:color w:val="auto"/>
          <w:sz w:val="32"/>
          <w:szCs w:val="32"/>
          <w:shd w:val="clear" w:color="050000" w:fill="auto"/>
          <w:lang w:val="en-US" w:eastAsia="zh-CN"/>
        </w:rPr>
        <w:t>2021</w:t>
      </w:r>
      <w:r>
        <w:rPr>
          <w:rFonts w:hint="eastAsia" w:ascii="仿宋_GB2312" w:hAnsi="仿宋_GB2312" w:eastAsia="仿宋_GB2312" w:cs="仿宋_GB2312"/>
          <w:color w:val="auto"/>
          <w:sz w:val="32"/>
          <w:szCs w:val="32"/>
          <w:shd w:val="clear" w:color="050000" w:fill="auto"/>
        </w:rPr>
        <w:t>年相比，</w:t>
      </w:r>
      <w:r>
        <w:rPr>
          <w:rFonts w:hint="eastAsia" w:ascii="仿宋" w:hAnsi="仿宋" w:eastAsia="仿宋"/>
          <w:color w:val="auto"/>
          <w:sz w:val="32"/>
          <w:szCs w:val="32"/>
          <w:lang w:val="en-US" w:eastAsia="zh-CN"/>
        </w:rPr>
        <w:t>收入、支出总计均增加42.68万元</w:t>
      </w:r>
      <w:r>
        <w:rPr>
          <w:rFonts w:hint="default" w:ascii="仿宋" w:hAnsi="仿宋" w:eastAsia="仿宋"/>
          <w:color w:val="auto"/>
          <w:sz w:val="32"/>
          <w:szCs w:val="32"/>
          <w:lang w:val="en-US" w:eastAsia="zh-CN"/>
        </w:rPr>
        <w:t>,</w:t>
      </w:r>
      <w:r>
        <w:rPr>
          <w:rFonts w:hint="eastAsia" w:ascii="仿宋" w:hAnsi="仿宋" w:eastAsia="仿宋"/>
          <w:color w:val="auto"/>
          <w:sz w:val="32"/>
          <w:szCs w:val="32"/>
          <w:lang w:val="en-US" w:eastAsia="zh-CN"/>
        </w:rPr>
        <w:t>增长12.44%。主要变动原因是增加了中考考试工作经费，体育专项资金，职业技能大赛工作经费，退休人员一次性生活补助，一次性人员经费补发等。</w:t>
      </w:r>
    </w:p>
    <w:p>
      <w:pPr>
        <w:pStyle w:val="13"/>
        <w:rPr>
          <w:rFonts w:hint="default"/>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2975610</wp:posOffset>
                </wp:positionH>
                <wp:positionV relativeFrom="paragraph">
                  <wp:posOffset>463550</wp:posOffset>
                </wp:positionV>
                <wp:extent cx="818515" cy="428625"/>
                <wp:effectExtent l="0" t="0" r="0" b="0"/>
                <wp:wrapNone/>
                <wp:docPr id="1" name="文本框 1"/>
                <wp:cNvGraphicFramePr/>
                <a:graphic xmlns:a="http://schemas.openxmlformats.org/drawingml/2006/main">
                  <a:graphicData uri="http://schemas.microsoft.com/office/word/2010/wordprocessingShape">
                    <wps:wsp>
                      <wps:cNvSpPr txBox="true"/>
                      <wps:spPr>
                        <a:xfrm>
                          <a:off x="4118610" y="4872355"/>
                          <a:ext cx="818515"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 w:eastAsia="zh-CN"/>
                              </w:rPr>
                            </w:pPr>
                            <w:r>
                              <w:rPr>
                                <w:rFonts w:hint="eastAsia"/>
                                <w:lang w:val="en" w:eastAsia="zh-CN"/>
                              </w:rPr>
                              <w:t>单位：万元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4.3pt;margin-top:36.5pt;height:33.75pt;width:64.45pt;z-index:251658240;mso-width-relative:page;mso-height-relative:page;" filled="f" stroked="f" coordsize="21600,21600" o:gfxdata="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uZmTLtsAAAAKAQAADwAAAAAAAAAB&#10;ACAAAAA4AAAAZHJzL2Rvd25yZXYueG1sUEsBAhQAFAAAAAgAh07iQIHv9FswAgAANQQAAA4AAAAA&#10;AAAAAQAgAAAAQAEAAGRycy9lMm9Eb2MueG1sUEsFBgAAAAAGAAYAWQEAAOIFAAAAAA==&#10;">
                <v:fill on="f" focussize="0,0"/>
                <v:stroke on="f" weight="0.5pt"/>
                <v:imagedata o:title=""/>
                <o:lock v:ext="edit" aspectratio="f"/>
                <v:textbox>
                  <w:txbxContent>
                    <w:p>
                      <w:pPr>
                        <w:rPr>
                          <w:rFonts w:hint="eastAsia" w:eastAsia="宋体"/>
                          <w:lang w:val="en" w:eastAsia="zh-CN"/>
                        </w:rPr>
                      </w:pPr>
                      <w:r>
                        <w:rPr>
                          <w:rFonts w:hint="eastAsia"/>
                          <w:lang w:val="en" w:eastAsia="zh-CN"/>
                        </w:rPr>
                        <w:t>单位：万元</w:t>
                      </w:r>
                    </w:p>
                  </w:txbxContent>
                </v:textbox>
              </v:shape>
            </w:pict>
          </mc:Fallback>
        </mc:AlternateContent>
      </w:r>
      <w:r>
        <w:drawing>
          <wp:inline distT="0" distB="0" distL="114300" distR="114300">
            <wp:extent cx="4533900" cy="2680335"/>
            <wp:effectExtent l="4445" t="4445" r="14605" b="20320"/>
            <wp:docPr id="13986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0"/>
        <w:numPr>
          <w:ilvl w:val="0"/>
          <w:numId w:val="2"/>
        </w:numPr>
        <w:spacing w:line="600" w:lineRule="exact"/>
        <w:ind w:firstLineChars="0"/>
        <w:outlineLvl w:val="1"/>
        <w:rPr>
          <w:rStyle w:val="30"/>
          <w:rFonts w:ascii="黑体" w:hAnsi="黑体" w:eastAsia="黑体"/>
          <w:b w:val="0"/>
          <w:color w:val="auto"/>
        </w:rPr>
      </w:pPr>
      <w:bookmarkStart w:id="21" w:name="_Toc15396604"/>
      <w:bookmarkStart w:id="22" w:name="_Toc15377206"/>
      <w:r>
        <w:rPr>
          <w:rFonts w:hint="eastAsia" w:ascii="黑体" w:hAnsi="黑体" w:eastAsia="黑体"/>
          <w:color w:val="auto"/>
          <w:sz w:val="32"/>
          <w:szCs w:val="32"/>
        </w:rPr>
        <w:t>收</w:t>
      </w:r>
      <w:r>
        <w:rPr>
          <w:rStyle w:val="30"/>
          <w:rFonts w:hint="eastAsia" w:ascii="黑体" w:hAnsi="黑体" w:eastAsia="黑体"/>
          <w:b w:val="0"/>
          <w:color w:val="auto"/>
        </w:rPr>
        <w:t>入决算情况说明</w:t>
      </w:r>
      <w:bookmarkEnd w:id="21"/>
      <w:bookmarkEnd w:id="22"/>
    </w:p>
    <w:p>
      <w:pPr>
        <w:spacing w:line="600" w:lineRule="exact"/>
        <w:ind w:firstLine="640" w:firstLineChars="200"/>
        <w:outlineLvl w:val="1"/>
        <w:rPr>
          <w:rFonts w:hint="default" w:ascii="仿宋" w:hAnsi="仿宋" w:eastAsia="仿宋"/>
          <w:color w:val="auto"/>
          <w:sz w:val="32"/>
          <w:szCs w:val="32"/>
          <w:lang w:val="en-US"/>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w:t>
      </w:r>
      <w:r>
        <w:rPr>
          <w:rFonts w:hint="eastAsia" w:ascii="仿宋" w:hAnsi="仿宋" w:eastAsia="仿宋"/>
          <w:color w:val="auto"/>
          <w:sz w:val="32"/>
          <w:szCs w:val="32"/>
          <w:lang w:eastAsia="zh-CN"/>
        </w:rPr>
        <w:t>本年</w:t>
      </w:r>
      <w:r>
        <w:rPr>
          <w:rFonts w:hint="eastAsia" w:ascii="仿宋" w:hAnsi="仿宋" w:eastAsia="仿宋"/>
          <w:color w:val="auto"/>
          <w:sz w:val="32"/>
          <w:szCs w:val="32"/>
        </w:rPr>
        <w:t>收入合计</w:t>
      </w:r>
      <w:r>
        <w:rPr>
          <w:rFonts w:hint="eastAsia" w:ascii="仿宋" w:hAnsi="仿宋" w:eastAsia="仿宋"/>
          <w:color w:val="auto"/>
          <w:sz w:val="32"/>
          <w:szCs w:val="32"/>
          <w:lang w:val="en-US" w:eastAsia="zh-CN"/>
        </w:rPr>
        <w:t>343.22</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343.22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p>
    <w:p>
      <w:pPr>
        <w:pStyle w:val="2"/>
        <w:rPr>
          <w:rFonts w:hint="eastAsia"/>
        </w:rPr>
      </w:pPr>
      <w:r>
        <w:drawing>
          <wp:inline distT="0" distB="0" distL="114300" distR="114300">
            <wp:extent cx="5115560" cy="2891790"/>
            <wp:effectExtent l="4445" t="4445" r="23495" b="18415"/>
            <wp:docPr id="13985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0"/>
        <w:numPr>
          <w:ilvl w:val="0"/>
          <w:numId w:val="2"/>
        </w:numPr>
        <w:spacing w:line="600" w:lineRule="exact"/>
        <w:ind w:firstLineChars="0"/>
        <w:outlineLvl w:val="1"/>
        <w:rPr>
          <w:rStyle w:val="30"/>
          <w:rFonts w:ascii="黑体" w:hAnsi="黑体" w:eastAsia="黑体"/>
          <w:b w:val="0"/>
          <w:color w:val="auto"/>
        </w:rPr>
      </w:pPr>
      <w:bookmarkStart w:id="23" w:name="_Toc15396605"/>
      <w:bookmarkStart w:id="24" w:name="_Toc15377207"/>
      <w:r>
        <w:rPr>
          <w:rFonts w:hint="eastAsia" w:ascii="黑体" w:hAnsi="黑体" w:eastAsia="黑体"/>
          <w:color w:val="auto"/>
          <w:sz w:val="32"/>
          <w:szCs w:val="32"/>
        </w:rPr>
        <w:t>支</w:t>
      </w:r>
      <w:r>
        <w:rPr>
          <w:rStyle w:val="30"/>
          <w:rFonts w:hint="eastAsia" w:ascii="黑体" w:hAnsi="黑体" w:eastAsia="黑体"/>
          <w:b w:val="0"/>
          <w:color w:val="auto"/>
        </w:rPr>
        <w:t>出决算情况说明</w:t>
      </w:r>
      <w:bookmarkEnd w:id="23"/>
      <w:bookmarkEnd w:id="24"/>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343.22</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218.87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63.77</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124.35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36.23</w:t>
      </w:r>
      <w:r>
        <w:rPr>
          <w:rFonts w:ascii="仿宋" w:hAnsi="仿宋" w:eastAsia="仿宋"/>
          <w:color w:val="auto"/>
          <w:sz w:val="32"/>
          <w:szCs w:val="32"/>
        </w:rPr>
        <w:t>%</w:t>
      </w:r>
      <w:r>
        <w:rPr>
          <w:rFonts w:hint="eastAsia" w:ascii="仿宋" w:hAnsi="仿宋" w:eastAsia="仿宋"/>
          <w:color w:val="auto"/>
          <w:sz w:val="32"/>
          <w:szCs w:val="32"/>
        </w:rPr>
        <w:t>。</w:t>
      </w:r>
    </w:p>
    <w:p>
      <w:pPr>
        <w:pStyle w:val="2"/>
        <w:rPr>
          <w:rFonts w:hint="eastAsia"/>
        </w:rPr>
      </w:pPr>
      <w:r>
        <w:drawing>
          <wp:inline distT="0" distB="0" distL="114300" distR="114300">
            <wp:extent cx="5046980" cy="2402840"/>
            <wp:effectExtent l="4445" t="4445" r="15875" b="12065"/>
            <wp:docPr id="13985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30"/>
          <w:rFonts w:ascii="黑体" w:hAnsi="黑体" w:eastAsia="黑体"/>
          <w:b w:val="0"/>
          <w:color w:val="auto"/>
        </w:rPr>
      </w:pPr>
      <w:bookmarkStart w:id="25" w:name="_Toc15377208"/>
      <w:bookmarkStart w:id="26" w:name="_Toc15396606"/>
      <w:r>
        <w:rPr>
          <w:rFonts w:hint="eastAsia" w:ascii="黑体" w:hAnsi="黑体" w:eastAsia="黑体"/>
          <w:color w:val="auto"/>
          <w:sz w:val="32"/>
          <w:szCs w:val="32"/>
        </w:rPr>
        <w:t>四、财</w:t>
      </w:r>
      <w:r>
        <w:rPr>
          <w:rStyle w:val="30"/>
          <w:rFonts w:hint="eastAsia" w:ascii="黑体" w:hAnsi="黑体" w:eastAsia="黑体"/>
          <w:b w:val="0"/>
          <w:color w:val="auto"/>
        </w:rPr>
        <w:t>政拨款收入支出决算总体情况说明</w:t>
      </w:r>
      <w:bookmarkEnd w:id="25"/>
      <w:bookmarkEnd w:id="26"/>
    </w:p>
    <w:p>
      <w:pPr>
        <w:spacing w:line="600" w:lineRule="exact"/>
        <w:ind w:firstLine="640"/>
        <w:rPr>
          <w:rFonts w:hint="eastAsia" w:ascii="仿宋" w:hAnsi="仿宋" w:eastAsia="仿宋"/>
          <w:color w:val="auto"/>
          <w:sz w:val="32"/>
          <w:szCs w:val="32"/>
          <w:lang w:val="en-US" w:eastAsia="zh-CN"/>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年度财政拨款收</w:t>
      </w:r>
      <w:r>
        <w:rPr>
          <w:rFonts w:hint="eastAsia" w:ascii="仿宋" w:hAnsi="仿宋" w:eastAsia="仿宋"/>
          <w:color w:val="auto"/>
          <w:sz w:val="32"/>
          <w:szCs w:val="32"/>
          <w:lang w:val="en-US" w:eastAsia="zh-CN"/>
        </w:rPr>
        <w:t>入、</w:t>
      </w:r>
      <w:r>
        <w:rPr>
          <w:rFonts w:hint="eastAsia" w:ascii="仿宋" w:hAnsi="仿宋" w:eastAsia="仿宋"/>
          <w:color w:val="auto"/>
          <w:sz w:val="32"/>
          <w:szCs w:val="32"/>
        </w:rPr>
        <w:t>支</w:t>
      </w:r>
      <w:r>
        <w:rPr>
          <w:rFonts w:hint="eastAsia" w:ascii="仿宋" w:hAnsi="仿宋" w:eastAsia="仿宋"/>
          <w:color w:val="auto"/>
          <w:sz w:val="32"/>
          <w:szCs w:val="32"/>
          <w:lang w:val="en-US" w:eastAsia="zh-CN"/>
        </w:rPr>
        <w:t>出</w:t>
      </w:r>
      <w:r>
        <w:rPr>
          <w:rFonts w:hint="eastAsia" w:ascii="仿宋" w:hAnsi="仿宋" w:eastAsia="仿宋"/>
          <w:color w:val="auto"/>
          <w:sz w:val="32"/>
          <w:szCs w:val="32"/>
        </w:rPr>
        <w:t>总计</w:t>
      </w:r>
      <w:r>
        <w:rPr>
          <w:rFonts w:hint="eastAsia" w:ascii="仿宋" w:hAnsi="仿宋" w:eastAsia="仿宋"/>
          <w:color w:val="auto"/>
          <w:sz w:val="32"/>
          <w:szCs w:val="32"/>
          <w:lang w:val="en-US" w:eastAsia="zh-CN"/>
        </w:rPr>
        <w:t>343.22</w:t>
      </w:r>
      <w:r>
        <w:rPr>
          <w:rFonts w:hint="eastAsia" w:ascii="仿宋" w:hAnsi="仿宋" w:eastAsia="仿宋"/>
          <w:color w:val="auto"/>
          <w:sz w:val="32"/>
          <w:szCs w:val="32"/>
        </w:rPr>
        <w:t>万元。</w:t>
      </w:r>
      <w:r>
        <w:rPr>
          <w:rFonts w:hint="eastAsia" w:ascii="仿宋_GB2312" w:hAnsi="仿宋_GB2312" w:eastAsia="仿宋_GB2312" w:cs="仿宋_GB2312"/>
          <w:color w:val="auto"/>
          <w:sz w:val="32"/>
          <w:szCs w:val="32"/>
          <w:shd w:val="clear" w:color="050000" w:fill="auto"/>
        </w:rPr>
        <w:t>与</w:t>
      </w:r>
      <w:r>
        <w:rPr>
          <w:rFonts w:hint="eastAsia" w:ascii="仿宋_GB2312" w:hAnsi="仿宋_GB2312" w:eastAsia="仿宋_GB2312" w:cs="仿宋_GB2312"/>
          <w:color w:val="auto"/>
          <w:sz w:val="32"/>
          <w:szCs w:val="32"/>
          <w:shd w:val="clear" w:color="050000" w:fill="auto"/>
          <w:lang w:val="en-US" w:eastAsia="zh-CN"/>
        </w:rPr>
        <w:t>2021</w:t>
      </w:r>
      <w:r>
        <w:rPr>
          <w:rFonts w:hint="eastAsia" w:ascii="仿宋_GB2312" w:hAnsi="仿宋_GB2312" w:eastAsia="仿宋_GB2312" w:cs="仿宋_GB2312"/>
          <w:color w:val="auto"/>
          <w:sz w:val="32"/>
          <w:szCs w:val="32"/>
          <w:shd w:val="clear" w:color="050000" w:fill="auto"/>
        </w:rPr>
        <w:t>年相比，收</w:t>
      </w:r>
      <w:r>
        <w:rPr>
          <w:rFonts w:hint="eastAsia" w:ascii="仿宋" w:hAnsi="仿宋" w:eastAsia="仿宋"/>
          <w:color w:val="auto"/>
          <w:sz w:val="32"/>
          <w:szCs w:val="32"/>
          <w:lang w:val="en-US" w:eastAsia="zh-CN"/>
        </w:rPr>
        <w:t>入、支出总计均增加42.68</w:t>
      </w:r>
      <w:r>
        <w:rPr>
          <w:rFonts w:hint="eastAsia" w:ascii="仿宋" w:hAnsi="仿宋" w:eastAsia="仿宋"/>
          <w:color w:val="auto"/>
          <w:sz w:val="32"/>
          <w:szCs w:val="32"/>
        </w:rPr>
        <w:t>万元</w:t>
      </w:r>
      <w:r>
        <w:rPr>
          <w:rFonts w:hint="default" w:ascii="仿宋" w:hAnsi="仿宋" w:eastAsia="仿宋"/>
          <w:color w:val="auto"/>
          <w:sz w:val="32"/>
          <w:szCs w:val="32"/>
        </w:rPr>
        <w:t>,</w:t>
      </w:r>
      <w:r>
        <w:rPr>
          <w:rFonts w:hint="eastAsia" w:ascii="仿宋" w:hAnsi="仿宋" w:eastAsia="仿宋"/>
          <w:color w:val="auto"/>
          <w:sz w:val="32"/>
          <w:szCs w:val="32"/>
          <w:lang w:val="en-US" w:eastAsia="zh-CN"/>
        </w:rPr>
        <w:t>增长12.44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。主要变动原因是增加了中考考试工作经费，体育专项资金，职业技能大赛工作经费，退休人员一次性生活补助，一次性人员经费补发等。</w:t>
      </w:r>
    </w:p>
    <w:p>
      <w:pPr>
        <w:pStyle w:val="2"/>
        <w:jc w:val="center"/>
        <w:rPr>
          <w:rFonts w:hint="eastAsia" w:ascii="仿宋" w:hAnsi="仿宋" w:eastAsia="仿宋"/>
          <w:color w:val="auto"/>
          <w:sz w:val="32"/>
          <w:szCs w:val="32"/>
          <w:lang w:val="en-US" w:eastAsia="zh-CN"/>
        </w:rPr>
      </w:pPr>
      <w:r>
        <w:drawing>
          <wp:inline distT="0" distB="0" distL="114300" distR="114300">
            <wp:extent cx="4780280" cy="2543175"/>
            <wp:effectExtent l="4445" t="5080" r="15875" b="4445"/>
            <wp:docPr id="13986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30"/>
          <w:rFonts w:ascii="黑体" w:hAnsi="黑体" w:eastAsia="黑体"/>
          <w:b w:val="0"/>
          <w:color w:val="auto"/>
        </w:rPr>
      </w:pPr>
      <w:bookmarkStart w:id="27" w:name="_Toc15396607"/>
      <w:bookmarkStart w:id="28"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30"/>
          <w:rFonts w:hint="eastAsia" w:ascii="黑体" w:hAnsi="黑体" w:eastAsia="黑体"/>
          <w:b w:val="0"/>
          <w:color w:val="auto"/>
        </w:rPr>
        <w:t>般公共预算财政拨款支出决算情况说明</w:t>
      </w:r>
      <w:bookmarkEnd w:id="27"/>
      <w:bookmarkEnd w:id="28"/>
    </w:p>
    <w:p>
      <w:pPr>
        <w:spacing w:line="600" w:lineRule="exact"/>
        <w:ind w:firstLine="642" w:firstLineChars="200"/>
        <w:outlineLvl w:val="2"/>
        <w:rPr>
          <w:rFonts w:ascii="仿宋" w:hAnsi="仿宋" w:eastAsia="仿宋"/>
          <w:b/>
          <w:color w:val="auto"/>
          <w:sz w:val="32"/>
          <w:szCs w:val="32"/>
        </w:rPr>
      </w:pPr>
      <w:bookmarkStart w:id="29" w:name="_Toc15377210"/>
      <w:r>
        <w:rPr>
          <w:rFonts w:hint="eastAsia" w:ascii="仿宋" w:hAnsi="仿宋" w:eastAsia="仿宋"/>
          <w:b/>
          <w:color w:val="auto"/>
          <w:sz w:val="32"/>
          <w:szCs w:val="32"/>
        </w:rPr>
        <w:t>（一）一般公共预算财政拨款支出决算总体情况</w:t>
      </w:r>
      <w:bookmarkEnd w:id="29"/>
    </w:p>
    <w:p>
      <w:pPr>
        <w:spacing w:line="600" w:lineRule="exact"/>
        <w:ind w:firstLine="640"/>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343.22</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年相比，一般公共预算财政拨款</w:t>
      </w:r>
      <w:r>
        <w:rPr>
          <w:rFonts w:hint="eastAsia" w:ascii="仿宋" w:hAnsi="仿宋" w:eastAsia="仿宋"/>
          <w:color w:val="auto"/>
          <w:sz w:val="32"/>
          <w:szCs w:val="32"/>
          <w:lang w:eastAsia="zh-CN"/>
        </w:rPr>
        <w:t>支出</w:t>
      </w:r>
      <w:r>
        <w:rPr>
          <w:rFonts w:hint="eastAsia" w:ascii="仿宋" w:hAnsi="仿宋" w:eastAsia="仿宋"/>
          <w:color w:val="auto"/>
          <w:sz w:val="32"/>
          <w:szCs w:val="32"/>
          <w:lang w:val="en-US" w:eastAsia="zh-CN"/>
        </w:rPr>
        <w:t>增加42.68</w:t>
      </w:r>
      <w:r>
        <w:rPr>
          <w:rFonts w:hint="eastAsia" w:ascii="仿宋" w:hAnsi="仿宋" w:eastAsia="仿宋"/>
          <w:color w:val="auto"/>
          <w:sz w:val="32"/>
          <w:szCs w:val="32"/>
        </w:rPr>
        <w:t>万元</w:t>
      </w:r>
      <w:r>
        <w:rPr>
          <w:rFonts w:hint="default" w:ascii="仿宋" w:hAnsi="仿宋" w:eastAsia="仿宋"/>
          <w:color w:val="auto"/>
          <w:sz w:val="32"/>
          <w:szCs w:val="32"/>
        </w:rPr>
        <w:t>,</w:t>
      </w:r>
      <w:r>
        <w:rPr>
          <w:rFonts w:hint="eastAsia" w:ascii="仿宋" w:hAnsi="仿宋" w:eastAsia="仿宋"/>
          <w:color w:val="auto"/>
          <w:sz w:val="32"/>
          <w:szCs w:val="32"/>
          <w:lang w:val="en-US" w:eastAsia="zh-CN"/>
        </w:rPr>
        <w:t>增长12.44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。主要变动原因是增加了中考考试工作经费，体育专项资金，职业技能大赛工作经费，退休人员一次性生活补助，一次性人员经费补发等。</w:t>
      </w:r>
    </w:p>
    <w:p>
      <w:pPr>
        <w:pStyle w:val="2"/>
        <w:rPr>
          <w:rFonts w:hint="eastAsia"/>
        </w:rPr>
      </w:pPr>
      <w:r>
        <w:drawing>
          <wp:inline distT="0" distB="0" distL="114300" distR="114300">
            <wp:extent cx="4639310" cy="2130425"/>
            <wp:effectExtent l="4445" t="5080" r="23495" b="17145"/>
            <wp:docPr id="13985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both"/>
        <w:rPr>
          <w:rFonts w:ascii="仿宋" w:hAnsi="仿宋" w:eastAsia="仿宋"/>
          <w:b/>
          <w:color w:val="auto"/>
          <w:sz w:val="32"/>
          <w:szCs w:val="32"/>
        </w:rPr>
      </w:pPr>
      <w:bookmarkStart w:id="30" w:name="_Toc15377211"/>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（二）一般公共预算财政拨款支出决算结构情况</w:t>
      </w:r>
      <w:bookmarkEnd w:id="30"/>
    </w:p>
    <w:p>
      <w:pPr>
        <w:spacing w:line="600" w:lineRule="exact"/>
        <w:ind w:firstLine="640"/>
        <w:rPr>
          <w:rFonts w:hint="default" w:ascii="仿宋" w:hAnsi="仿宋" w:eastAsia="仿宋"/>
          <w:color w:val="auto"/>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343.22</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bCs/>
          <w:color w:val="auto"/>
          <w:sz w:val="32"/>
          <w:szCs w:val="32"/>
          <w:lang w:eastAsia="zh-CN"/>
        </w:rPr>
        <w:t>一般公共服务支出</w:t>
      </w:r>
      <w:r>
        <w:rPr>
          <w:rFonts w:hint="eastAsia" w:ascii="仿宋" w:hAnsi="仿宋" w:eastAsia="仿宋"/>
          <w:color w:val="auto"/>
          <w:sz w:val="32"/>
          <w:szCs w:val="32"/>
          <w:lang w:val="en-US" w:eastAsia="zh-CN"/>
        </w:rPr>
        <w:t>0.1</w:t>
      </w:r>
      <w:r>
        <w:rPr>
          <w:rFonts w:hint="default" w:ascii="仿宋" w:hAnsi="仿宋" w:eastAsia="仿宋"/>
          <w:color w:val="auto"/>
          <w:sz w:val="32"/>
          <w:szCs w:val="32"/>
          <w:lang w:val="en" w:eastAsia="zh-CN"/>
        </w:rPr>
        <w:t>1</w:t>
      </w:r>
      <w:r>
        <w:rPr>
          <w:rFonts w:hint="eastAsia" w:ascii="仿宋" w:hAnsi="仿宋" w:eastAsia="仿宋"/>
          <w:color w:val="auto"/>
          <w:sz w:val="32"/>
          <w:szCs w:val="32"/>
          <w:lang w:val="en-US" w:eastAsia="zh-CN"/>
        </w:rPr>
        <w:t>万元，占0.03%；</w:t>
      </w:r>
      <w:r>
        <w:rPr>
          <w:rFonts w:hint="eastAsia" w:ascii="仿宋" w:hAnsi="仿宋" w:eastAsia="仿宋"/>
          <w:b/>
          <w:color w:val="auto"/>
          <w:sz w:val="32"/>
          <w:szCs w:val="32"/>
        </w:rPr>
        <w:t>教育支出</w:t>
      </w:r>
      <w:r>
        <w:rPr>
          <w:rFonts w:hint="eastAsia" w:ascii="仿宋" w:hAnsi="仿宋" w:eastAsia="仿宋"/>
          <w:color w:val="auto"/>
          <w:sz w:val="32"/>
          <w:szCs w:val="32"/>
          <w:lang w:val="en-US" w:eastAsia="zh-CN"/>
        </w:rPr>
        <w:t>309.13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90.07</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22.73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6.62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11.2</w:t>
      </w:r>
      <w:r>
        <w:rPr>
          <w:rFonts w:hint="default" w:ascii="仿宋" w:hAnsi="仿宋" w:eastAsia="仿宋"/>
          <w:color w:val="auto"/>
          <w:sz w:val="32"/>
          <w:szCs w:val="32"/>
          <w:lang w:val="en" w:eastAsia="zh-CN"/>
        </w:rPr>
        <w:t>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3.28</w:t>
      </w:r>
      <w:r>
        <w:rPr>
          <w:rFonts w:ascii="仿宋" w:hAnsi="仿宋" w:eastAsia="仿宋"/>
          <w:color w:val="auto"/>
          <w:sz w:val="32"/>
          <w:szCs w:val="32"/>
        </w:rPr>
        <w:t>%</w:t>
      </w:r>
      <w:r>
        <w:rPr>
          <w:rFonts w:hint="eastAsia" w:ascii="仿宋" w:hAnsi="仿宋" w:eastAsia="仿宋"/>
          <w:color w:val="auto"/>
          <w:sz w:val="32"/>
          <w:szCs w:val="32"/>
        </w:rPr>
        <w:t>。</w:t>
      </w:r>
    </w:p>
    <w:p>
      <w:pPr>
        <w:pStyle w:val="2"/>
        <w:rPr>
          <w:rFonts w:hint="eastAsia" w:ascii="仿宋" w:hAnsi="仿宋" w:eastAsia="仿宋"/>
          <w:b/>
          <w:color w:val="auto"/>
          <w:sz w:val="32"/>
          <w:szCs w:val="32"/>
        </w:rPr>
      </w:pPr>
      <w:bookmarkStart w:id="31" w:name="_Toc15377212"/>
      <w:r>
        <w:drawing>
          <wp:inline distT="0" distB="0" distL="114300" distR="114300">
            <wp:extent cx="4989830" cy="2494915"/>
            <wp:effectExtent l="4445" t="4445" r="15875" b="15240"/>
            <wp:docPr id="13985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2" w:firstLineChars="200"/>
        <w:outlineLvl w:val="2"/>
        <w:rPr>
          <w:rFonts w:ascii="仿宋" w:hAnsi="仿宋" w:eastAsia="仿宋"/>
          <w:b/>
          <w:color w:val="auto"/>
          <w:sz w:val="32"/>
          <w:szCs w:val="32"/>
        </w:rPr>
      </w:pPr>
      <w:r>
        <w:rPr>
          <w:rFonts w:hint="eastAsia" w:ascii="仿宋" w:hAnsi="仿宋" w:eastAsia="仿宋"/>
          <w:b/>
          <w:color w:val="auto"/>
          <w:sz w:val="32"/>
          <w:szCs w:val="32"/>
        </w:rPr>
        <w:t>（三）一般公共预算财政拨款支出决算具体情况</w:t>
      </w:r>
      <w:bookmarkEnd w:id="31"/>
    </w:p>
    <w:p>
      <w:pPr>
        <w:spacing w:line="600" w:lineRule="exact"/>
        <w:ind w:firstLine="642" w:firstLineChars="200"/>
        <w:outlineLvl w:val="2"/>
        <w:rPr>
          <w:rStyle w:val="17"/>
          <w:rFonts w:hint="eastAsia" w:ascii="仿宋" w:hAnsi="仿宋" w:eastAsia="仿宋"/>
          <w:bCs/>
          <w:color w:val="auto"/>
          <w:sz w:val="32"/>
          <w:szCs w:val="32"/>
        </w:rPr>
      </w:pPr>
      <w:bookmarkStart w:id="32" w:name="_Toc15377213"/>
      <w:bookmarkStart w:id="33" w:name="_Toc15378460"/>
      <w:bookmarkStart w:id="34" w:name="_Toc15377444"/>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2</w:t>
      </w:r>
      <w:r>
        <w:rPr>
          <w:rFonts w:hint="eastAsia" w:ascii="仿宋" w:hAnsi="仿宋" w:eastAsia="仿宋"/>
          <w:b/>
          <w:color w:val="auto"/>
          <w:sz w:val="32"/>
          <w:szCs w:val="32"/>
        </w:rPr>
        <w:t>年</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rPr>
        <w:t>般公共预算支出决算数为</w:t>
      </w:r>
      <w:r>
        <w:rPr>
          <w:rFonts w:hint="eastAsia" w:ascii="仿宋" w:hAnsi="仿宋" w:eastAsia="仿宋"/>
          <w:color w:val="auto"/>
          <w:sz w:val="32"/>
          <w:szCs w:val="32"/>
          <w:lang w:val="en-US" w:eastAsia="zh-CN"/>
        </w:rPr>
        <w:t>343.22</w:t>
      </w:r>
      <w:r>
        <w:rPr>
          <w:rStyle w:val="17"/>
          <w:rFonts w:hint="eastAsia" w:ascii="仿宋" w:hAnsi="仿宋" w:eastAsia="仿宋"/>
          <w:b w:val="0"/>
          <w:bCs/>
          <w:color w:val="auto"/>
          <w:sz w:val="32"/>
          <w:szCs w:val="32"/>
        </w:rPr>
        <w:t>万元</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w:t>
      </w:r>
      <w:r>
        <w:rPr>
          <w:rStyle w:val="17"/>
          <w:rFonts w:hint="eastAsia" w:ascii="仿宋" w:hAnsi="仿宋" w:eastAsia="仿宋"/>
          <w:bCs/>
          <w:color w:val="auto"/>
          <w:sz w:val="32"/>
          <w:szCs w:val="32"/>
          <w:lang w:val="en-US" w:eastAsia="zh-CN"/>
        </w:rPr>
        <w:t>100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32"/>
      <w:bookmarkEnd w:id="33"/>
      <w:bookmarkEnd w:id="34"/>
    </w:p>
    <w:p>
      <w:pPr>
        <w:spacing w:line="600" w:lineRule="exact"/>
        <w:ind w:firstLine="642" w:firstLineChars="200"/>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1.一般公共服务支出（类）组织事务（款）其他事务支出（项）：</w:t>
      </w:r>
      <w:r>
        <w:rPr>
          <w:rFonts w:hint="eastAsia" w:ascii="仿宋" w:hAnsi="仿宋" w:eastAsia="仿宋"/>
          <w:color w:val="auto"/>
          <w:sz w:val="32"/>
          <w:szCs w:val="32"/>
          <w:lang w:val="en-US" w:eastAsia="zh-CN"/>
        </w:rPr>
        <w:t>支出决算为0.1</w:t>
      </w:r>
      <w:r>
        <w:rPr>
          <w:rFonts w:hint="default" w:ascii="仿宋" w:hAnsi="仿宋" w:eastAsia="仿宋"/>
          <w:color w:val="auto"/>
          <w:sz w:val="32"/>
          <w:szCs w:val="32"/>
          <w:lang w:val="en" w:eastAsia="zh-CN"/>
        </w:rPr>
        <w:t>1</w:t>
      </w:r>
      <w:r>
        <w:rPr>
          <w:rFonts w:hint="eastAsia" w:ascii="仿宋" w:hAnsi="仿宋" w:eastAsia="仿宋"/>
          <w:color w:val="auto"/>
          <w:sz w:val="32"/>
          <w:szCs w:val="32"/>
          <w:lang w:val="en-US" w:eastAsia="zh-CN"/>
        </w:rPr>
        <w:t>万元，完成预算100%，与预算持平。</w:t>
      </w:r>
    </w:p>
    <w:p>
      <w:pPr>
        <w:spacing w:line="600" w:lineRule="exact"/>
        <w:ind w:firstLine="642" w:firstLineChars="200"/>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 xml:space="preserve">2.教育支出（类）教育管理事务（款）一般行政管理事务（项）: </w:t>
      </w:r>
      <w:r>
        <w:rPr>
          <w:rFonts w:hint="eastAsia" w:ascii="仿宋" w:hAnsi="仿宋" w:eastAsia="仿宋"/>
          <w:color w:val="auto"/>
          <w:sz w:val="32"/>
          <w:szCs w:val="32"/>
          <w:lang w:val="en-US" w:eastAsia="zh-CN"/>
        </w:rPr>
        <w:t>支出决算为36.92万元，完成预算100%，与预算持平。</w:t>
      </w:r>
    </w:p>
    <w:p>
      <w:pPr>
        <w:spacing w:line="600" w:lineRule="exac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r>
        <w:rPr>
          <w:rFonts w:hint="eastAsia" w:ascii="仿宋" w:hAnsi="仿宋" w:eastAsia="仿宋"/>
          <w:b/>
          <w:bCs/>
          <w:color w:val="auto"/>
          <w:sz w:val="32"/>
          <w:szCs w:val="32"/>
          <w:lang w:val="en-US" w:eastAsia="zh-CN"/>
        </w:rPr>
        <w:t xml:space="preserve"> 3.教育支出（类）教育管理事务（款）其他教育管理事务支出（项）:</w:t>
      </w:r>
      <w:r>
        <w:rPr>
          <w:rFonts w:hint="eastAsia" w:ascii="仿宋" w:hAnsi="仿宋" w:eastAsia="仿宋"/>
          <w:color w:val="auto"/>
          <w:sz w:val="32"/>
          <w:szCs w:val="32"/>
          <w:lang w:val="en-US" w:eastAsia="zh-CN"/>
        </w:rPr>
        <w:t xml:space="preserve"> 支出决算为255.86万元，完成预算100%，与预算持平。</w:t>
      </w:r>
    </w:p>
    <w:p>
      <w:pPr>
        <w:spacing w:line="600" w:lineRule="exact"/>
        <w:ind w:firstLine="642" w:firstLineChars="200"/>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4.教育支出（类）普通教育（款）学前教育（项）:</w:t>
      </w:r>
      <w:r>
        <w:rPr>
          <w:rFonts w:hint="eastAsia" w:ascii="仿宋" w:hAnsi="仿宋" w:eastAsia="仿宋"/>
          <w:color w:val="auto"/>
          <w:sz w:val="32"/>
          <w:szCs w:val="32"/>
          <w:lang w:val="en-US" w:eastAsia="zh-CN"/>
        </w:rPr>
        <w:t xml:space="preserve"> 支出决算为15.35万元，完成预算100%，与预算持平。</w:t>
      </w:r>
    </w:p>
    <w:p>
      <w:pPr>
        <w:spacing w:line="600" w:lineRule="exact"/>
        <w:ind w:firstLine="642" w:firstLineChars="200"/>
        <w:rPr>
          <w:rFonts w:hint="default" w:ascii="仿宋" w:hAnsi="仿宋" w:eastAsia="仿宋"/>
          <w:color w:val="auto"/>
          <w:sz w:val="32"/>
          <w:szCs w:val="32"/>
          <w:lang w:val="en-US" w:eastAsia="zh-CN"/>
        </w:rPr>
      </w:pPr>
      <w:r>
        <w:rPr>
          <w:rFonts w:hint="eastAsia" w:ascii="仿宋" w:hAnsi="仿宋" w:eastAsia="仿宋"/>
          <w:b/>
          <w:bCs/>
          <w:color w:val="auto"/>
          <w:sz w:val="32"/>
          <w:szCs w:val="32"/>
          <w:lang w:val="en-US" w:eastAsia="zh-CN"/>
        </w:rPr>
        <w:t xml:space="preserve">5.教育支出（类）其他教育支出（款）其他教育支出（项）: </w:t>
      </w:r>
      <w:r>
        <w:rPr>
          <w:rFonts w:hint="eastAsia" w:ascii="仿宋" w:hAnsi="仿宋" w:eastAsia="仿宋"/>
          <w:color w:val="auto"/>
          <w:sz w:val="32"/>
          <w:szCs w:val="32"/>
          <w:lang w:val="en-US" w:eastAsia="zh-CN"/>
        </w:rPr>
        <w:t>支出决算为1万元，完成预算100%，与预算持平。</w:t>
      </w:r>
    </w:p>
    <w:p>
      <w:pPr>
        <w:spacing w:line="600" w:lineRule="exac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r>
        <w:rPr>
          <w:rFonts w:hint="eastAsia" w:ascii="仿宋" w:hAnsi="仿宋" w:eastAsia="仿宋"/>
          <w:b/>
          <w:bCs/>
          <w:color w:val="auto"/>
          <w:sz w:val="32"/>
          <w:szCs w:val="32"/>
          <w:lang w:val="en-US" w:eastAsia="zh-CN"/>
        </w:rPr>
        <w:t xml:space="preserve"> 6.社会保障和就业支出（类）行政事业单位养老支出（款）机关事业单位养老保险缴费支出（项）: </w:t>
      </w:r>
      <w:r>
        <w:rPr>
          <w:rFonts w:hint="eastAsia" w:ascii="仿宋" w:hAnsi="仿宋" w:eastAsia="仿宋"/>
          <w:color w:val="auto"/>
          <w:sz w:val="32"/>
          <w:szCs w:val="32"/>
          <w:lang w:val="en-US" w:eastAsia="zh-CN"/>
        </w:rPr>
        <w:t>支出决算为19.53万元，完成预算100%，与预算持平。</w:t>
      </w:r>
    </w:p>
    <w:p>
      <w:pPr>
        <w:spacing w:line="600" w:lineRule="exact"/>
        <w:ind w:firstLine="642" w:firstLineChars="200"/>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 xml:space="preserve">7.社会保障和就业支出（类）社会福利（款）其他社会福利支出（项）: </w:t>
      </w:r>
      <w:r>
        <w:rPr>
          <w:rFonts w:hint="eastAsia" w:ascii="仿宋" w:hAnsi="仿宋" w:eastAsia="仿宋"/>
          <w:color w:val="auto"/>
          <w:sz w:val="32"/>
          <w:szCs w:val="32"/>
          <w:lang w:val="en-US" w:eastAsia="zh-CN"/>
        </w:rPr>
        <w:t>支出决算为3.2万元，完成预算100%，与预算持平。</w:t>
      </w:r>
    </w:p>
    <w:p>
      <w:pPr>
        <w:spacing w:line="600" w:lineRule="exact"/>
        <w:ind w:firstLine="642" w:firstLineChars="200"/>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8.卫生健康支出（类）行政事业单位医疗（款）事业单位医疗（项）:</w:t>
      </w:r>
      <w:r>
        <w:rPr>
          <w:rFonts w:hint="eastAsia" w:ascii="仿宋" w:hAnsi="仿宋" w:eastAsia="仿宋"/>
          <w:color w:val="auto"/>
          <w:sz w:val="32"/>
          <w:szCs w:val="32"/>
          <w:lang w:val="en-US" w:eastAsia="zh-CN"/>
        </w:rPr>
        <w:t xml:space="preserve">支出决算为8.04万元，完成预算100%，与预算持平。 </w:t>
      </w:r>
    </w:p>
    <w:p>
      <w:pPr>
        <w:spacing w:line="600" w:lineRule="exact"/>
        <w:ind w:firstLine="642" w:firstLineChars="200"/>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9.卫生健康支出（类）行政事业单位医疗（款）公务员医疗补助（项）:</w:t>
      </w:r>
      <w:r>
        <w:rPr>
          <w:rFonts w:hint="eastAsia" w:ascii="仿宋" w:hAnsi="仿宋" w:eastAsia="仿宋"/>
          <w:color w:val="auto"/>
          <w:sz w:val="32"/>
          <w:szCs w:val="32"/>
          <w:lang w:val="en-US" w:eastAsia="zh-CN"/>
        </w:rPr>
        <w:t xml:space="preserve">支出决算为3.2万元，完成预算100%，与预算持平。 </w:t>
      </w:r>
    </w:p>
    <w:p>
      <w:pPr>
        <w:tabs>
          <w:tab w:val="right" w:pos="8306"/>
        </w:tabs>
        <w:spacing w:line="600" w:lineRule="exact"/>
        <w:ind w:firstLine="640"/>
        <w:outlineLvl w:val="1"/>
        <w:rPr>
          <w:rStyle w:val="30"/>
          <w:color w:val="auto"/>
        </w:rPr>
      </w:pPr>
      <w:bookmarkStart w:id="35" w:name="_Toc15396608"/>
      <w:bookmarkStart w:id="36"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30"/>
          <w:rFonts w:hint="eastAsia" w:ascii="黑体" w:hAnsi="黑体" w:eastAsia="黑体"/>
          <w:b w:val="0"/>
          <w:color w:val="auto"/>
        </w:rPr>
        <w:t>般公共预算财政拨款基本支出决算情况说明</w:t>
      </w:r>
      <w:bookmarkEnd w:id="35"/>
      <w:bookmarkEnd w:id="36"/>
      <w:r>
        <w:rPr>
          <w:rStyle w:val="30"/>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343.22</w:t>
      </w:r>
      <w:r>
        <w:rPr>
          <w:rFonts w:hint="eastAsia" w:ascii="仿宋" w:hAnsi="仿宋" w:eastAsia="仿宋"/>
          <w:color w:val="auto"/>
          <w:sz w:val="32"/>
          <w:szCs w:val="32"/>
        </w:rPr>
        <w:t>万元，其中：</w:t>
      </w:r>
    </w:p>
    <w:p>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194.11</w:t>
      </w:r>
      <w:r>
        <w:rPr>
          <w:rFonts w:hint="eastAsia" w:ascii="仿宋" w:hAnsi="仿宋" w:eastAsia="仿宋"/>
          <w:color w:val="auto"/>
          <w:sz w:val="32"/>
          <w:szCs w:val="32"/>
        </w:rPr>
        <w:t>万元，主要包括：基本工资</w:t>
      </w:r>
      <w:r>
        <w:rPr>
          <w:rFonts w:hint="eastAsia" w:ascii="仿宋" w:hAnsi="仿宋" w:eastAsia="仿宋"/>
          <w:color w:val="auto"/>
          <w:sz w:val="32"/>
          <w:szCs w:val="32"/>
          <w:lang w:val="en-US" w:eastAsia="zh-CN"/>
        </w:rPr>
        <w:t>109.53万元</w:t>
      </w:r>
      <w:r>
        <w:rPr>
          <w:rFonts w:hint="eastAsia" w:ascii="仿宋" w:hAnsi="仿宋" w:eastAsia="仿宋"/>
          <w:color w:val="auto"/>
          <w:sz w:val="32"/>
          <w:szCs w:val="32"/>
        </w:rPr>
        <w:t>、津贴补贴</w:t>
      </w:r>
      <w:r>
        <w:rPr>
          <w:rFonts w:hint="eastAsia" w:ascii="仿宋" w:hAnsi="仿宋" w:eastAsia="仿宋"/>
          <w:color w:val="auto"/>
          <w:sz w:val="32"/>
          <w:szCs w:val="32"/>
          <w:lang w:val="en-US" w:eastAsia="zh-CN"/>
        </w:rPr>
        <w:t>12.84万元</w:t>
      </w:r>
      <w:r>
        <w:rPr>
          <w:rFonts w:hint="eastAsia" w:ascii="仿宋" w:hAnsi="仿宋" w:eastAsia="仿宋"/>
          <w:color w:val="auto"/>
          <w:sz w:val="32"/>
          <w:szCs w:val="32"/>
        </w:rPr>
        <w:t>、奖金</w:t>
      </w:r>
      <w:r>
        <w:rPr>
          <w:rFonts w:hint="eastAsia" w:ascii="仿宋" w:hAnsi="仿宋" w:eastAsia="仿宋"/>
          <w:color w:val="auto"/>
          <w:sz w:val="32"/>
          <w:szCs w:val="32"/>
          <w:lang w:val="en-US" w:eastAsia="zh-CN"/>
        </w:rPr>
        <w:t>6.79</w:t>
      </w:r>
      <w:r>
        <w:rPr>
          <w:rFonts w:hint="eastAsia" w:ascii="仿宋" w:hAnsi="仿宋" w:eastAsia="仿宋"/>
          <w:color w:val="auto"/>
          <w:sz w:val="32"/>
          <w:szCs w:val="32"/>
        </w:rPr>
        <w:t>万元、绩效工资</w:t>
      </w:r>
      <w:r>
        <w:rPr>
          <w:rFonts w:hint="eastAsia" w:ascii="仿宋" w:hAnsi="仿宋" w:eastAsia="仿宋"/>
          <w:color w:val="auto"/>
          <w:sz w:val="32"/>
          <w:szCs w:val="32"/>
          <w:lang w:val="en-US" w:eastAsia="zh-CN"/>
        </w:rPr>
        <w:t>23.39万元</w:t>
      </w:r>
      <w:r>
        <w:rPr>
          <w:rFonts w:hint="eastAsia" w:ascii="仿宋" w:hAnsi="仿宋" w:eastAsia="仿宋"/>
          <w:color w:val="auto"/>
          <w:sz w:val="32"/>
          <w:szCs w:val="32"/>
        </w:rPr>
        <w:t>、机关事业单位基本养老保险缴费</w:t>
      </w:r>
      <w:r>
        <w:rPr>
          <w:rFonts w:hint="eastAsia" w:ascii="仿宋" w:hAnsi="仿宋" w:eastAsia="仿宋"/>
          <w:color w:val="auto"/>
          <w:sz w:val="32"/>
          <w:szCs w:val="32"/>
          <w:lang w:val="en-US" w:eastAsia="zh-CN"/>
        </w:rPr>
        <w:t>19.53万元</w:t>
      </w:r>
      <w:r>
        <w:rPr>
          <w:rFonts w:hint="eastAsia" w:ascii="仿宋" w:hAnsi="仿宋" w:eastAsia="仿宋"/>
          <w:color w:val="auto"/>
          <w:sz w:val="32"/>
          <w:szCs w:val="32"/>
        </w:rPr>
        <w:t>、其他社会保障缴费</w:t>
      </w:r>
      <w:r>
        <w:rPr>
          <w:rFonts w:hint="eastAsia" w:ascii="仿宋" w:hAnsi="仿宋" w:eastAsia="仿宋"/>
          <w:color w:val="auto"/>
          <w:sz w:val="32"/>
          <w:szCs w:val="32"/>
          <w:lang w:val="en-US" w:eastAsia="zh-CN"/>
        </w:rPr>
        <w:t>1.28万元</w:t>
      </w:r>
      <w:r>
        <w:rPr>
          <w:rFonts w:hint="eastAsia" w:ascii="仿宋" w:hAnsi="仿宋" w:eastAsia="仿宋"/>
          <w:color w:val="auto"/>
          <w:sz w:val="32"/>
          <w:szCs w:val="32"/>
        </w:rPr>
        <w:t>、</w:t>
      </w:r>
      <w:r>
        <w:rPr>
          <w:rFonts w:hint="eastAsia" w:ascii="仿宋" w:hAnsi="仿宋" w:eastAsia="仿宋"/>
          <w:color w:val="auto"/>
          <w:sz w:val="32"/>
          <w:szCs w:val="32"/>
          <w:lang w:eastAsia="zh-CN"/>
        </w:rPr>
        <w:t>医疗保险</w:t>
      </w:r>
      <w:r>
        <w:rPr>
          <w:rFonts w:hint="eastAsia" w:ascii="仿宋" w:hAnsi="仿宋" w:eastAsia="仿宋"/>
          <w:color w:val="auto"/>
          <w:sz w:val="32"/>
          <w:szCs w:val="32"/>
          <w:lang w:val="en-US" w:eastAsia="zh-CN"/>
        </w:rPr>
        <w:t>8.04万元、公务员医疗补助3.2万元、</w:t>
      </w:r>
      <w:r>
        <w:rPr>
          <w:rFonts w:hint="eastAsia" w:ascii="仿宋" w:hAnsi="仿宋" w:eastAsia="仿宋"/>
          <w:color w:val="auto"/>
          <w:sz w:val="32"/>
          <w:szCs w:val="32"/>
        </w:rPr>
        <w:t>生活补助</w:t>
      </w:r>
      <w:r>
        <w:rPr>
          <w:rFonts w:hint="eastAsia" w:ascii="仿宋" w:hAnsi="仿宋" w:eastAsia="仿宋"/>
          <w:color w:val="auto"/>
          <w:sz w:val="32"/>
          <w:szCs w:val="32"/>
          <w:lang w:val="en-US" w:eastAsia="zh-CN"/>
        </w:rPr>
        <w:t>9.5万元</w:t>
      </w:r>
      <w:r>
        <w:rPr>
          <w:rFonts w:hint="eastAsia" w:ascii="仿宋" w:hAnsi="仿宋" w:eastAsia="仿宋"/>
          <w:color w:val="auto"/>
          <w:sz w:val="32"/>
          <w:szCs w:val="32"/>
        </w:rPr>
        <w:t>、奖励金</w:t>
      </w:r>
      <w:r>
        <w:rPr>
          <w:rFonts w:hint="eastAsia" w:ascii="仿宋" w:hAnsi="仿宋" w:eastAsia="仿宋"/>
          <w:color w:val="auto"/>
          <w:sz w:val="32"/>
          <w:szCs w:val="32"/>
          <w:lang w:val="en-US" w:eastAsia="zh-CN"/>
        </w:rPr>
        <w:t>0.01万元</w:t>
      </w:r>
      <w:r>
        <w:rPr>
          <w:rFonts w:hint="eastAsia" w:ascii="仿宋" w:hAnsi="仿宋" w:eastAsia="仿宋"/>
          <w:color w:val="auto"/>
          <w:sz w:val="32"/>
          <w:szCs w:val="32"/>
        </w:rPr>
        <w:t>。</w:t>
      </w:r>
    </w:p>
    <w:p>
      <w:pPr>
        <w:spacing w:line="600" w:lineRule="exact"/>
        <w:ind w:firstLine="640" w:firstLineChars="200"/>
        <w:rPr>
          <w:rFonts w:ascii="仿宋" w:hAnsi="仿宋" w:eastAsia="仿宋"/>
          <w:b/>
          <w:color w:val="auto"/>
          <w:sz w:val="32"/>
          <w:szCs w:val="32"/>
        </w:rPr>
      </w:pPr>
      <w:r>
        <w:rPr>
          <w:rFonts w:hint="eastAsia" w:ascii="仿宋" w:hAnsi="仿宋" w:eastAsia="仿宋"/>
          <w:color w:val="auto"/>
          <w:sz w:val="32"/>
          <w:szCs w:val="32"/>
          <w:lang w:eastAsia="zh-CN"/>
        </w:rPr>
        <w:t>日常</w:t>
      </w:r>
      <w:r>
        <w:rPr>
          <w:rFonts w:hint="eastAsia" w:ascii="仿宋" w:hAnsi="仿宋" w:eastAsia="仿宋"/>
          <w:color w:val="auto"/>
          <w:sz w:val="32"/>
          <w:szCs w:val="32"/>
        </w:rPr>
        <w:t>公用经费</w:t>
      </w:r>
      <w:r>
        <w:rPr>
          <w:rFonts w:hint="eastAsia" w:ascii="仿宋" w:hAnsi="仿宋" w:eastAsia="仿宋"/>
          <w:color w:val="auto"/>
          <w:sz w:val="32"/>
          <w:szCs w:val="32"/>
          <w:lang w:val="en-US" w:eastAsia="zh-CN"/>
        </w:rPr>
        <w:t>24.76</w:t>
      </w:r>
      <w:r>
        <w:rPr>
          <w:rFonts w:hint="eastAsia" w:ascii="仿宋" w:hAnsi="仿宋" w:eastAsia="仿宋"/>
          <w:color w:val="auto"/>
          <w:sz w:val="32"/>
          <w:szCs w:val="32"/>
        </w:rPr>
        <w:t>万元，主要包括：办公费</w:t>
      </w:r>
      <w:r>
        <w:rPr>
          <w:rFonts w:hint="eastAsia" w:ascii="仿宋" w:hAnsi="仿宋" w:eastAsia="仿宋"/>
          <w:color w:val="auto"/>
          <w:sz w:val="32"/>
          <w:szCs w:val="32"/>
          <w:lang w:val="en-US" w:eastAsia="zh-CN"/>
        </w:rPr>
        <w:t>3.62万元</w:t>
      </w:r>
      <w:r>
        <w:rPr>
          <w:rFonts w:hint="eastAsia" w:ascii="仿宋" w:hAnsi="仿宋" w:eastAsia="仿宋"/>
          <w:color w:val="auto"/>
          <w:sz w:val="32"/>
          <w:szCs w:val="32"/>
        </w:rPr>
        <w:t>、水费</w:t>
      </w:r>
      <w:r>
        <w:rPr>
          <w:rFonts w:hint="eastAsia" w:ascii="仿宋" w:hAnsi="仿宋" w:eastAsia="仿宋"/>
          <w:color w:val="auto"/>
          <w:sz w:val="32"/>
          <w:szCs w:val="32"/>
          <w:lang w:val="en-US" w:eastAsia="zh-CN"/>
        </w:rPr>
        <w:t>0.23万元</w:t>
      </w:r>
      <w:r>
        <w:rPr>
          <w:rFonts w:hint="eastAsia" w:ascii="仿宋" w:hAnsi="仿宋" w:eastAsia="仿宋"/>
          <w:color w:val="auto"/>
          <w:sz w:val="32"/>
          <w:szCs w:val="32"/>
        </w:rPr>
        <w:t>、</w:t>
      </w:r>
      <w:r>
        <w:rPr>
          <w:rFonts w:hint="eastAsia" w:ascii="仿宋" w:hAnsi="仿宋" w:eastAsia="仿宋"/>
          <w:color w:val="auto"/>
          <w:sz w:val="32"/>
          <w:szCs w:val="32"/>
          <w:lang w:eastAsia="zh-CN"/>
        </w:rPr>
        <w:t>电费</w:t>
      </w:r>
      <w:r>
        <w:rPr>
          <w:rFonts w:hint="eastAsia" w:ascii="仿宋" w:hAnsi="仿宋" w:eastAsia="仿宋"/>
          <w:color w:val="auto"/>
          <w:sz w:val="32"/>
          <w:szCs w:val="32"/>
          <w:lang w:val="en-US" w:eastAsia="zh-CN"/>
        </w:rPr>
        <w:t>1.5万元、</w:t>
      </w:r>
      <w:r>
        <w:rPr>
          <w:rFonts w:hint="eastAsia" w:ascii="仿宋" w:hAnsi="仿宋" w:eastAsia="仿宋"/>
          <w:color w:val="auto"/>
          <w:sz w:val="32"/>
          <w:szCs w:val="32"/>
        </w:rPr>
        <w:t>邮电费</w:t>
      </w:r>
      <w:r>
        <w:rPr>
          <w:rFonts w:hint="eastAsia" w:ascii="仿宋" w:hAnsi="仿宋" w:eastAsia="仿宋"/>
          <w:color w:val="auto"/>
          <w:sz w:val="32"/>
          <w:szCs w:val="32"/>
          <w:lang w:val="en-US" w:eastAsia="zh-CN"/>
        </w:rPr>
        <w:t>0.79万元</w:t>
      </w:r>
      <w:r>
        <w:rPr>
          <w:rFonts w:hint="eastAsia" w:ascii="仿宋" w:hAnsi="仿宋" w:eastAsia="仿宋"/>
          <w:color w:val="auto"/>
          <w:sz w:val="32"/>
          <w:szCs w:val="32"/>
        </w:rPr>
        <w:t>、差旅费</w:t>
      </w:r>
      <w:r>
        <w:rPr>
          <w:rFonts w:hint="eastAsia" w:ascii="仿宋" w:hAnsi="仿宋" w:eastAsia="仿宋"/>
          <w:color w:val="auto"/>
          <w:sz w:val="32"/>
          <w:szCs w:val="32"/>
          <w:lang w:val="en-US" w:eastAsia="zh-CN"/>
        </w:rPr>
        <w:t>2.86万元</w:t>
      </w:r>
      <w:r>
        <w:rPr>
          <w:rFonts w:hint="eastAsia" w:ascii="仿宋" w:hAnsi="仿宋" w:eastAsia="仿宋"/>
          <w:color w:val="auto"/>
          <w:sz w:val="32"/>
          <w:szCs w:val="32"/>
        </w:rPr>
        <w:t>、</w:t>
      </w:r>
      <w:r>
        <w:rPr>
          <w:rFonts w:hint="eastAsia" w:ascii="仿宋" w:hAnsi="仿宋" w:eastAsia="仿宋"/>
          <w:color w:val="auto"/>
          <w:sz w:val="32"/>
          <w:szCs w:val="32"/>
          <w:lang w:eastAsia="zh-CN"/>
        </w:rPr>
        <w:t>党建经费</w:t>
      </w:r>
      <w:r>
        <w:rPr>
          <w:rFonts w:hint="eastAsia" w:ascii="仿宋" w:hAnsi="仿宋" w:eastAsia="仿宋"/>
          <w:color w:val="auto"/>
          <w:sz w:val="32"/>
          <w:szCs w:val="32"/>
          <w:lang w:val="en-US" w:eastAsia="zh-CN"/>
        </w:rPr>
        <w:t>1.13万元、</w:t>
      </w:r>
      <w:r>
        <w:rPr>
          <w:rFonts w:hint="eastAsia" w:ascii="仿宋" w:hAnsi="仿宋" w:eastAsia="仿宋"/>
          <w:color w:val="auto"/>
          <w:sz w:val="32"/>
          <w:szCs w:val="32"/>
        </w:rPr>
        <w:t>维修（护）费</w:t>
      </w:r>
      <w:r>
        <w:rPr>
          <w:rFonts w:hint="eastAsia" w:ascii="仿宋" w:hAnsi="仿宋" w:eastAsia="仿宋"/>
          <w:color w:val="auto"/>
          <w:sz w:val="32"/>
          <w:szCs w:val="32"/>
          <w:lang w:val="en-US" w:eastAsia="zh-CN"/>
        </w:rPr>
        <w:t>0.23万元</w:t>
      </w:r>
      <w:r>
        <w:rPr>
          <w:rFonts w:hint="eastAsia" w:ascii="仿宋" w:hAnsi="仿宋" w:eastAsia="仿宋"/>
          <w:color w:val="auto"/>
          <w:sz w:val="32"/>
          <w:szCs w:val="32"/>
        </w:rPr>
        <w:t>、培训费</w:t>
      </w:r>
      <w:r>
        <w:rPr>
          <w:rFonts w:hint="eastAsia" w:ascii="仿宋" w:hAnsi="仿宋" w:eastAsia="仿宋"/>
          <w:color w:val="auto"/>
          <w:sz w:val="32"/>
          <w:szCs w:val="32"/>
          <w:lang w:val="en-US" w:eastAsia="zh-CN"/>
        </w:rPr>
        <w:t>0.23万元</w:t>
      </w:r>
      <w:r>
        <w:rPr>
          <w:rFonts w:hint="eastAsia" w:ascii="仿宋" w:hAnsi="仿宋" w:eastAsia="仿宋"/>
          <w:color w:val="auto"/>
          <w:sz w:val="32"/>
          <w:szCs w:val="32"/>
        </w:rPr>
        <w:t>、</w:t>
      </w:r>
      <w:r>
        <w:rPr>
          <w:rFonts w:hint="eastAsia" w:ascii="仿宋" w:hAnsi="仿宋" w:eastAsia="仿宋"/>
          <w:color w:val="auto"/>
          <w:sz w:val="32"/>
          <w:szCs w:val="32"/>
          <w:lang w:eastAsia="zh-CN"/>
        </w:rPr>
        <w:t>劳务费</w:t>
      </w:r>
      <w:r>
        <w:rPr>
          <w:rFonts w:hint="eastAsia" w:ascii="仿宋" w:hAnsi="仿宋" w:eastAsia="仿宋"/>
          <w:color w:val="auto"/>
          <w:sz w:val="32"/>
          <w:szCs w:val="32"/>
          <w:lang w:val="en-US" w:eastAsia="zh-CN"/>
        </w:rPr>
        <w:t>0.66万元、离退休公用经费0.18万元、</w:t>
      </w:r>
      <w:r>
        <w:rPr>
          <w:rFonts w:hint="eastAsia" w:ascii="仿宋" w:hAnsi="仿宋" w:eastAsia="仿宋"/>
          <w:color w:val="auto"/>
          <w:sz w:val="32"/>
          <w:szCs w:val="32"/>
        </w:rPr>
        <w:t>工会经费</w:t>
      </w:r>
      <w:r>
        <w:rPr>
          <w:rFonts w:hint="eastAsia" w:ascii="仿宋" w:hAnsi="仿宋" w:eastAsia="仿宋"/>
          <w:color w:val="auto"/>
          <w:sz w:val="32"/>
          <w:szCs w:val="32"/>
          <w:lang w:val="en-US" w:eastAsia="zh-CN"/>
        </w:rPr>
        <w:t>2.94万元</w:t>
      </w:r>
      <w:r>
        <w:rPr>
          <w:rFonts w:hint="eastAsia" w:ascii="仿宋" w:hAnsi="仿宋" w:eastAsia="仿宋"/>
          <w:color w:val="auto"/>
          <w:sz w:val="32"/>
          <w:szCs w:val="32"/>
        </w:rPr>
        <w:t>、福利费</w:t>
      </w:r>
      <w:r>
        <w:rPr>
          <w:rFonts w:hint="eastAsia" w:ascii="仿宋" w:hAnsi="仿宋" w:eastAsia="仿宋"/>
          <w:color w:val="auto"/>
          <w:sz w:val="32"/>
          <w:szCs w:val="32"/>
          <w:lang w:val="en-US" w:eastAsia="zh-CN"/>
        </w:rPr>
        <w:t>7.66万元</w:t>
      </w:r>
      <w:r>
        <w:rPr>
          <w:rFonts w:hint="eastAsia" w:ascii="仿宋" w:hAnsi="仿宋" w:eastAsia="仿宋"/>
          <w:color w:val="auto"/>
          <w:sz w:val="32"/>
          <w:szCs w:val="32"/>
        </w:rPr>
        <w:t>、其他交通费</w:t>
      </w:r>
      <w:r>
        <w:rPr>
          <w:rFonts w:hint="eastAsia" w:ascii="仿宋" w:hAnsi="仿宋" w:eastAsia="仿宋"/>
          <w:color w:val="auto"/>
          <w:sz w:val="32"/>
          <w:szCs w:val="32"/>
          <w:lang w:val="en-US" w:eastAsia="zh-CN"/>
        </w:rPr>
        <w:t>2.5万元</w:t>
      </w:r>
      <w:r>
        <w:rPr>
          <w:rFonts w:hint="eastAsia" w:ascii="仿宋" w:hAnsi="仿宋" w:eastAsia="仿宋"/>
          <w:color w:val="auto"/>
          <w:sz w:val="32"/>
          <w:szCs w:val="32"/>
        </w:rPr>
        <w:t>、其他商品和服务支出</w:t>
      </w:r>
      <w:r>
        <w:rPr>
          <w:rFonts w:hint="eastAsia" w:ascii="仿宋" w:hAnsi="仿宋" w:eastAsia="仿宋"/>
          <w:color w:val="auto"/>
          <w:sz w:val="32"/>
          <w:szCs w:val="32"/>
          <w:lang w:val="en-US" w:eastAsia="zh-CN"/>
        </w:rPr>
        <w:t>1.53万元</w:t>
      </w:r>
      <w:r>
        <w:rPr>
          <w:rFonts w:hint="eastAsia" w:ascii="仿宋" w:hAnsi="仿宋" w:eastAsia="仿宋"/>
          <w:color w:val="auto"/>
          <w:sz w:val="32"/>
          <w:szCs w:val="32"/>
        </w:rPr>
        <w:t>。</w:t>
      </w:r>
    </w:p>
    <w:p>
      <w:pPr>
        <w:numPr>
          <w:ilvl w:val="0"/>
          <w:numId w:val="3"/>
        </w:numPr>
        <w:spacing w:line="600" w:lineRule="exact"/>
        <w:ind w:firstLine="640"/>
        <w:rPr>
          <w:rStyle w:val="30"/>
          <w:rFonts w:hint="eastAsia" w:ascii="黑体" w:hAnsi="黑体" w:eastAsia="黑体"/>
          <w:b w:val="0"/>
          <w:bCs/>
          <w:color w:val="auto"/>
        </w:rPr>
      </w:pPr>
      <w:bookmarkStart w:id="37" w:name="_Toc15396609"/>
      <w:bookmarkStart w:id="38" w:name="_Toc15377215"/>
      <w:r>
        <w:rPr>
          <w:rFonts w:hint="eastAsia" w:ascii="黑体" w:hAnsi="黑体" w:eastAsia="黑体"/>
          <w:b w:val="0"/>
          <w:bCs/>
          <w:color w:val="auto"/>
          <w:sz w:val="32"/>
          <w:szCs w:val="32"/>
        </w:rPr>
        <w:t>一</w:t>
      </w:r>
      <w:r>
        <w:rPr>
          <w:rStyle w:val="30"/>
          <w:rFonts w:hint="eastAsia" w:ascii="黑体" w:hAnsi="黑体" w:eastAsia="黑体"/>
          <w:b w:val="0"/>
          <w:bCs/>
          <w:color w:val="auto"/>
        </w:rPr>
        <w:t>般公共预算财政拨款</w:t>
      </w:r>
      <w:r>
        <w:rPr>
          <w:rStyle w:val="30"/>
          <w:rFonts w:hint="eastAsia" w:ascii="黑体" w:hAnsi="黑体" w:eastAsia="黑体"/>
          <w:b w:val="0"/>
          <w:bCs/>
          <w:color w:val="auto"/>
          <w:lang w:eastAsia="zh-CN"/>
        </w:rPr>
        <w:t>项目</w:t>
      </w:r>
      <w:r>
        <w:rPr>
          <w:rStyle w:val="30"/>
          <w:rFonts w:hint="eastAsia" w:ascii="黑体" w:hAnsi="黑体" w:eastAsia="黑体"/>
          <w:b w:val="0"/>
          <w:bCs/>
          <w:color w:val="auto"/>
        </w:rPr>
        <w:t>支出决算情况说明</w:t>
      </w:r>
    </w:p>
    <w:p>
      <w:pPr>
        <w:spacing w:line="600" w:lineRule="exact"/>
        <w:ind w:firstLine="64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2022年一般公共预算财政拨款项目支出124.35万元，其中：千名英才行活动工作经费0.11万元，主要用于差旅费；2021年广安市名师名校长工作室补助经费2.32万元，主要用于项目经费支出，包括差旅费、其他商品服务支出；年终目标奖与额定公用经费35.21万元，主要用于项目人员支出，包括奖金、办公费、印刷费、邮电费、福利费；广安市高中考试工作经费66.5万元，主要用于项目经费支出，包括办公费、印刷费、电费、物管费、差旅费、会议费、劳务费等；教育科研工作经费0.66万元，主要用于办公设备购置；学前教育金飞15.35万元，主要用于项目办公经费；特级教师奖励金1万元，主要用于奖励金；机关事业单位一次性退休补贴3.2万元，主要用于退休费支出。</w:t>
      </w:r>
    </w:p>
    <w:p>
      <w:pPr>
        <w:spacing w:line="600" w:lineRule="exact"/>
        <w:ind w:firstLine="640"/>
        <w:outlineLvl w:val="1"/>
        <w:rPr>
          <w:rStyle w:val="30"/>
          <w:rFonts w:ascii="黑体" w:hAnsi="黑体" w:eastAsia="黑体"/>
          <w:b w:val="0"/>
          <w:color w:val="auto"/>
        </w:rPr>
      </w:pPr>
      <w:r>
        <w:rPr>
          <w:rFonts w:hint="eastAsia" w:ascii="黑体" w:eastAsia="黑体"/>
          <w:color w:val="auto"/>
          <w:sz w:val="32"/>
          <w:szCs w:val="32"/>
          <w:lang w:eastAsia="zh-CN"/>
        </w:rPr>
        <w:t>八</w:t>
      </w:r>
      <w:r>
        <w:rPr>
          <w:rFonts w:hint="eastAsia" w:ascii="黑体" w:eastAsia="黑体"/>
          <w:color w:val="auto"/>
          <w:sz w:val="32"/>
          <w:szCs w:val="32"/>
        </w:rPr>
        <w:t>、</w:t>
      </w:r>
      <w:r>
        <w:rPr>
          <w:rStyle w:val="30"/>
          <w:rFonts w:hint="eastAsia" w:ascii="黑体" w:hAnsi="黑体" w:eastAsia="黑体"/>
          <w:color w:val="auto"/>
        </w:rPr>
        <w:t>“</w:t>
      </w:r>
      <w:r>
        <w:rPr>
          <w:rStyle w:val="30"/>
          <w:rFonts w:hint="eastAsia" w:ascii="黑体" w:hAnsi="黑体" w:eastAsia="黑体"/>
          <w:b w:val="0"/>
          <w:color w:val="auto"/>
        </w:rPr>
        <w:t>三公”经费财政拨款支出决算情况说明</w:t>
      </w:r>
      <w:bookmarkEnd w:id="37"/>
      <w:bookmarkEnd w:id="38"/>
    </w:p>
    <w:p>
      <w:pPr>
        <w:spacing w:line="600" w:lineRule="exact"/>
        <w:ind w:firstLine="640"/>
        <w:outlineLvl w:val="2"/>
        <w:rPr>
          <w:rFonts w:ascii="仿宋" w:hAnsi="仿宋" w:eastAsia="仿宋"/>
          <w:b/>
          <w:color w:val="auto"/>
          <w:sz w:val="32"/>
          <w:szCs w:val="32"/>
        </w:rPr>
      </w:pPr>
      <w:bookmarkStart w:id="39" w:name="_Toc15377216"/>
      <w:r>
        <w:rPr>
          <w:rFonts w:hint="eastAsia" w:ascii="仿宋" w:hAnsi="仿宋" w:eastAsia="仿宋"/>
          <w:b/>
          <w:color w:val="auto"/>
          <w:sz w:val="32"/>
          <w:szCs w:val="32"/>
        </w:rPr>
        <w:t>（一）“三公”经费财政拨款支出决算总体情况说明</w:t>
      </w:r>
      <w:bookmarkEnd w:id="39"/>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default" w:ascii="仿宋_GB2312" w:hAnsi="仿宋_GB2312" w:eastAsia="仿宋_GB2312"/>
          <w:color w:val="000000"/>
          <w:kern w:val="2"/>
          <w:sz w:val="32"/>
          <w:szCs w:val="24"/>
          <w:lang w:val="zh-CN"/>
        </w:rPr>
        <w:t>与2021年持平</w:t>
      </w:r>
      <w:r>
        <w:rPr>
          <w:rFonts w:hint="eastAsia" w:ascii="仿宋_GB2312" w:hAnsi="仿宋_GB2312" w:eastAsia="仿宋_GB2312"/>
          <w:color w:val="000000"/>
          <w:kern w:val="2"/>
          <w:sz w:val="32"/>
          <w:szCs w:val="24"/>
          <w:lang w:val="zh-CN"/>
        </w:rPr>
        <w:t>，</w:t>
      </w:r>
      <w:r>
        <w:rPr>
          <w:rFonts w:hint="eastAsia" w:ascii="仿宋" w:hAnsi="仿宋" w:eastAsia="仿宋"/>
          <w:color w:val="auto"/>
          <w:sz w:val="32"/>
          <w:szCs w:val="32"/>
          <w:lang w:eastAsia="zh-CN"/>
        </w:rPr>
        <w:t>主要原因是</w:t>
      </w:r>
      <w:r>
        <w:rPr>
          <w:rFonts w:hint="eastAsia" w:ascii="仿宋" w:hAnsi="仿宋" w:eastAsia="仿宋"/>
          <w:color w:val="auto"/>
          <w:sz w:val="32"/>
          <w:szCs w:val="32"/>
          <w:lang w:val="en-US" w:eastAsia="zh-CN"/>
        </w:rPr>
        <w:t>没有</w:t>
      </w:r>
      <w:r>
        <w:rPr>
          <w:rFonts w:hint="eastAsia" w:ascii="仿宋" w:hAnsi="仿宋" w:eastAsia="仿宋"/>
          <w:b/>
          <w:color w:val="auto"/>
          <w:sz w:val="32"/>
          <w:szCs w:val="32"/>
        </w:rPr>
        <w:t>“</w:t>
      </w:r>
      <w:r>
        <w:rPr>
          <w:rFonts w:hint="eastAsia" w:ascii="仿宋" w:hAnsi="仿宋" w:eastAsia="仿宋"/>
          <w:color w:val="auto"/>
          <w:sz w:val="32"/>
          <w:szCs w:val="32"/>
          <w:lang w:eastAsia="zh-CN"/>
        </w:rPr>
        <w:t>三公”经费</w:t>
      </w:r>
      <w:r>
        <w:rPr>
          <w:rFonts w:hint="eastAsia" w:ascii="仿宋" w:hAnsi="仿宋" w:eastAsia="仿宋"/>
          <w:color w:val="auto"/>
          <w:sz w:val="32"/>
          <w:szCs w:val="32"/>
          <w:lang w:val="en-US" w:eastAsia="zh-CN"/>
        </w:rPr>
        <w:t>支出，决算与预算数持平，主要原因</w:t>
      </w:r>
      <w:r>
        <w:rPr>
          <w:rFonts w:hint="eastAsia" w:ascii="仿宋" w:hAnsi="仿宋" w:eastAsia="仿宋"/>
          <w:color w:val="auto"/>
          <w:sz w:val="32"/>
          <w:szCs w:val="32"/>
          <w:lang w:eastAsia="zh-CN"/>
        </w:rPr>
        <w:t>是</w:t>
      </w:r>
      <w:r>
        <w:rPr>
          <w:rFonts w:hint="eastAsia" w:ascii="仿宋" w:hAnsi="仿宋" w:eastAsia="仿宋"/>
          <w:color w:val="auto"/>
          <w:sz w:val="32"/>
          <w:szCs w:val="32"/>
          <w:lang w:val="en-US" w:eastAsia="zh-CN"/>
        </w:rPr>
        <w:t>没有</w:t>
      </w:r>
      <w:r>
        <w:rPr>
          <w:rFonts w:hint="eastAsia" w:ascii="仿宋" w:hAnsi="仿宋" w:eastAsia="仿宋"/>
          <w:b/>
          <w:color w:val="auto"/>
          <w:sz w:val="32"/>
          <w:szCs w:val="32"/>
        </w:rPr>
        <w:t>“</w:t>
      </w:r>
      <w:r>
        <w:rPr>
          <w:rFonts w:hint="eastAsia" w:ascii="仿宋" w:hAnsi="仿宋" w:eastAsia="仿宋"/>
          <w:color w:val="auto"/>
          <w:sz w:val="32"/>
          <w:szCs w:val="32"/>
          <w:lang w:eastAsia="zh-CN"/>
        </w:rPr>
        <w:t>三公”经费</w:t>
      </w:r>
      <w:r>
        <w:rPr>
          <w:rFonts w:hint="eastAsia" w:ascii="仿宋" w:hAnsi="仿宋" w:eastAsia="仿宋"/>
          <w:color w:val="auto"/>
          <w:sz w:val="32"/>
          <w:szCs w:val="32"/>
          <w:lang w:val="en-US" w:eastAsia="zh-CN"/>
        </w:rPr>
        <w:t>支出。</w:t>
      </w:r>
    </w:p>
    <w:p>
      <w:pPr>
        <w:spacing w:line="600" w:lineRule="exact"/>
        <w:ind w:firstLine="640"/>
        <w:outlineLvl w:val="2"/>
        <w:rPr>
          <w:rFonts w:ascii="仿宋" w:hAnsi="仿宋" w:eastAsia="仿宋"/>
          <w:b/>
          <w:color w:val="auto"/>
          <w:sz w:val="32"/>
          <w:szCs w:val="32"/>
        </w:rPr>
      </w:pPr>
      <w:bookmarkStart w:id="40" w:name="_Toc15377217"/>
      <w:r>
        <w:rPr>
          <w:rFonts w:hint="eastAsia" w:ascii="仿宋" w:hAnsi="仿宋" w:eastAsia="仿宋"/>
          <w:b/>
          <w:color w:val="auto"/>
          <w:sz w:val="32"/>
          <w:szCs w:val="32"/>
        </w:rPr>
        <w:t>（二）“三公”经费财政拨款支出决算具体情况说明</w:t>
      </w:r>
      <w:bookmarkEnd w:id="40"/>
    </w:p>
    <w:p>
      <w:pPr>
        <w:spacing w:line="600" w:lineRule="exact"/>
        <w:ind w:firstLine="640"/>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年“三公”经费财政拨款支出</w:t>
      </w:r>
      <w:r>
        <w:rPr>
          <w:rFonts w:hint="eastAsia" w:ascii="仿宋" w:hAnsi="仿宋" w:eastAsia="仿宋"/>
          <w:color w:val="auto"/>
          <w:sz w:val="32"/>
          <w:szCs w:val="32"/>
          <w:lang w:val="en-US" w:eastAsia="zh-CN"/>
        </w:rPr>
        <w:t>0万元</w:t>
      </w:r>
      <w:r>
        <w:rPr>
          <w:rFonts w:hint="eastAsia" w:ascii="仿宋" w:hAnsi="仿宋" w:eastAsia="仿宋"/>
          <w:color w:val="auto"/>
          <w:sz w:val="32"/>
          <w:szCs w:val="32"/>
          <w:lang w:eastAsia="zh-CN"/>
        </w:rPr>
        <w:t>，</w:t>
      </w:r>
      <w:r>
        <w:rPr>
          <w:rFonts w:hint="default" w:ascii="仿宋_GB2312" w:hAnsi="仿宋_GB2312" w:eastAsia="仿宋_GB2312"/>
          <w:color w:val="000000"/>
          <w:kern w:val="2"/>
          <w:sz w:val="32"/>
          <w:szCs w:val="24"/>
          <w:lang w:val="zh-CN"/>
        </w:rPr>
        <w:t>与2021年持平</w:t>
      </w:r>
      <w:r>
        <w:rPr>
          <w:rFonts w:hint="eastAsia" w:ascii="仿宋_GB2312" w:hAnsi="仿宋_GB2312" w:eastAsia="仿宋_GB2312"/>
          <w:color w:val="000000"/>
          <w:kern w:val="2"/>
          <w:sz w:val="32"/>
          <w:szCs w:val="24"/>
          <w:lang w:val="zh-CN"/>
        </w:rPr>
        <w:t>，</w:t>
      </w:r>
      <w:r>
        <w:rPr>
          <w:rFonts w:hint="eastAsia" w:ascii="仿宋" w:hAnsi="仿宋" w:eastAsia="仿宋"/>
          <w:color w:val="auto"/>
          <w:sz w:val="32"/>
          <w:szCs w:val="32"/>
          <w:lang w:eastAsia="zh-CN"/>
        </w:rPr>
        <w:t>主要原因是</w:t>
      </w:r>
      <w:r>
        <w:rPr>
          <w:rFonts w:hint="eastAsia" w:ascii="仿宋" w:hAnsi="仿宋" w:eastAsia="仿宋"/>
          <w:color w:val="auto"/>
          <w:sz w:val="32"/>
          <w:szCs w:val="32"/>
          <w:lang w:val="en-US" w:eastAsia="zh-CN"/>
        </w:rPr>
        <w:t>没有</w:t>
      </w:r>
      <w:r>
        <w:rPr>
          <w:rFonts w:hint="eastAsia" w:ascii="仿宋" w:hAnsi="仿宋" w:eastAsia="仿宋"/>
          <w:b/>
          <w:color w:val="auto"/>
          <w:sz w:val="32"/>
          <w:szCs w:val="32"/>
        </w:rPr>
        <w:t>“</w:t>
      </w:r>
      <w:r>
        <w:rPr>
          <w:rFonts w:hint="eastAsia" w:ascii="仿宋" w:hAnsi="仿宋" w:eastAsia="仿宋"/>
          <w:color w:val="auto"/>
          <w:sz w:val="32"/>
          <w:szCs w:val="32"/>
          <w:lang w:eastAsia="zh-CN"/>
        </w:rPr>
        <w:t>三公”经费支出</w:t>
      </w:r>
      <w:r>
        <w:rPr>
          <w:rFonts w:hint="eastAsia" w:ascii="仿宋" w:hAnsi="仿宋" w:eastAsia="仿宋"/>
          <w:color w:val="auto"/>
          <w:sz w:val="32"/>
          <w:szCs w:val="32"/>
          <w:lang w:val="en-US" w:eastAsia="zh-CN"/>
        </w:rPr>
        <w:t>，</w:t>
      </w:r>
      <w:r>
        <w:rPr>
          <w:rFonts w:hint="eastAsia" w:ascii="仿宋_GB2312" w:hAnsi="仿宋_GB2312" w:eastAsia="仿宋_GB2312"/>
          <w:color w:val="000000"/>
          <w:kern w:val="2"/>
          <w:sz w:val="32"/>
          <w:szCs w:val="24"/>
          <w:lang w:val="zh-CN"/>
        </w:rPr>
        <w:t>其中：</w:t>
      </w:r>
      <w:r>
        <w:rPr>
          <w:rFonts w:hint="eastAsia" w:ascii="仿宋" w:hAnsi="仿宋" w:eastAsia="仿宋"/>
          <w:color w:val="auto"/>
          <w:sz w:val="32"/>
          <w:szCs w:val="32"/>
        </w:rPr>
        <w:t>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万元；公务用车购置及运行维护费支出决算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p>
    <w:p>
      <w:pPr>
        <w:numPr>
          <w:ilvl w:val="0"/>
          <w:numId w:val="0"/>
        </w:numPr>
        <w:spacing w:line="576" w:lineRule="exact"/>
        <w:ind w:firstLine="321" w:firstLineChars="100"/>
        <w:jc w:val="both"/>
        <w:rPr>
          <w:rFonts w:hint="default"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 xml:space="preserve">  </w:t>
      </w:r>
      <w:r>
        <w:rPr>
          <w:rFonts w:hint="default" w:ascii="仿宋_GB2312" w:hAnsi="仿宋_GB2312" w:eastAsia="仿宋_GB2312"/>
          <w:b/>
          <w:color w:val="000000"/>
          <w:kern w:val="2"/>
          <w:sz w:val="32"/>
          <w:szCs w:val="24"/>
          <w:lang w:val="en"/>
        </w:rPr>
        <w:t>1.</w:t>
      </w:r>
      <w:r>
        <w:rPr>
          <w:rFonts w:hint="default" w:ascii="仿宋_GB2312" w:hAnsi="仿宋_GB2312" w:eastAsia="仿宋_GB2312"/>
          <w:b/>
          <w:color w:val="000000"/>
          <w:kern w:val="2"/>
          <w:sz w:val="32"/>
          <w:szCs w:val="24"/>
          <w:lang w:val="zh-CN"/>
        </w:rPr>
        <w:t>因公出国（境）经费</w:t>
      </w:r>
      <w:r>
        <w:rPr>
          <w:rFonts w:hint="default" w:ascii="仿宋_GB2312" w:hAnsi="仿宋_GB2312" w:eastAsia="仿宋_GB2312"/>
          <w:color w:val="000000"/>
          <w:kern w:val="2"/>
          <w:sz w:val="32"/>
          <w:szCs w:val="24"/>
          <w:lang w:val="zh-CN"/>
        </w:rPr>
        <w:t>支出0万元，完成预算0%。全年安排因公出国（境）团组0个，出国（境）0人。因公出国（境）支出决算与2021年持平，主要原因是</w:t>
      </w:r>
      <w:r>
        <w:rPr>
          <w:rFonts w:hint="eastAsia" w:ascii="仿宋_GB2312" w:hAnsi="仿宋_GB2312" w:eastAsia="仿宋_GB2312"/>
          <w:color w:val="000000"/>
          <w:kern w:val="2"/>
          <w:sz w:val="32"/>
          <w:szCs w:val="24"/>
          <w:lang w:val="zh-CN"/>
        </w:rPr>
        <w:t>本单位</w:t>
      </w:r>
      <w:r>
        <w:rPr>
          <w:rFonts w:hint="default" w:ascii="仿宋_GB2312" w:hAnsi="仿宋_GB2312" w:eastAsia="仿宋_GB2312"/>
          <w:color w:val="000000"/>
          <w:kern w:val="2"/>
          <w:sz w:val="32"/>
          <w:szCs w:val="24"/>
          <w:lang w:val="en-US" w:eastAsia="zh-CN"/>
        </w:rPr>
        <w:t>2021年2022年都无工作人员因公出国（境）。</w:t>
      </w:r>
    </w:p>
    <w:p>
      <w:pPr>
        <w:numPr>
          <w:ilvl w:val="0"/>
          <w:numId w:val="0"/>
        </w:numPr>
        <w:spacing w:line="576" w:lineRule="exact"/>
        <w:ind w:firstLine="321" w:firstLineChars="100"/>
        <w:jc w:val="both"/>
        <w:rPr>
          <w:rFonts w:hint="default"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 xml:space="preserve">  </w:t>
      </w:r>
      <w:r>
        <w:rPr>
          <w:rFonts w:hint="default" w:ascii="仿宋_GB2312" w:hAnsi="仿宋_GB2312" w:eastAsia="仿宋_GB2312"/>
          <w:b/>
          <w:color w:val="000000"/>
          <w:kern w:val="2"/>
          <w:sz w:val="32"/>
          <w:szCs w:val="24"/>
          <w:lang w:val="zh-CN"/>
        </w:rPr>
        <w:t>2.公务用车购置及运行维护费</w:t>
      </w:r>
      <w:r>
        <w:rPr>
          <w:rFonts w:hint="default" w:ascii="仿宋_GB2312" w:hAnsi="仿宋_GB2312" w:eastAsia="仿宋_GB2312"/>
          <w:color w:val="000000"/>
          <w:kern w:val="2"/>
          <w:sz w:val="32"/>
          <w:szCs w:val="24"/>
          <w:lang w:val="zh-CN"/>
        </w:rPr>
        <w:t>支出0万元，完成预算0%。公务用车购置及运行维护费支出决算与2021年持平。主要原因是</w:t>
      </w:r>
      <w:r>
        <w:rPr>
          <w:rFonts w:hint="eastAsia" w:ascii="仿宋_GB2312" w:hAnsi="仿宋_GB2312" w:eastAsia="仿宋_GB2312"/>
          <w:color w:val="000000"/>
          <w:kern w:val="2"/>
          <w:sz w:val="32"/>
          <w:szCs w:val="24"/>
          <w:lang w:val="zh-CN"/>
        </w:rPr>
        <w:t>本单位</w:t>
      </w:r>
      <w:r>
        <w:rPr>
          <w:rFonts w:hint="default" w:ascii="仿宋_GB2312" w:hAnsi="仿宋_GB2312" w:eastAsia="仿宋_GB2312"/>
          <w:color w:val="000000"/>
          <w:kern w:val="2"/>
          <w:sz w:val="32"/>
          <w:szCs w:val="24"/>
          <w:lang w:val="zh-CN"/>
        </w:rPr>
        <w:t>无公务车辆，</w:t>
      </w:r>
      <w:r>
        <w:rPr>
          <w:rFonts w:hint="default" w:ascii="仿宋_GB2312" w:hAnsi="仿宋_GB2312" w:eastAsia="仿宋_GB2312"/>
          <w:color w:val="000000"/>
          <w:kern w:val="2"/>
          <w:sz w:val="32"/>
          <w:szCs w:val="24"/>
          <w:lang w:val="en-US" w:eastAsia="zh-CN"/>
        </w:rPr>
        <w:t>2022年也未购置公务车辆</w:t>
      </w:r>
      <w:r>
        <w:rPr>
          <w:rFonts w:hint="default" w:ascii="仿宋_GB2312" w:hAnsi="仿宋_GB2312" w:eastAsia="仿宋_GB2312"/>
          <w:color w:val="000000"/>
          <w:kern w:val="2"/>
          <w:sz w:val="32"/>
          <w:szCs w:val="24"/>
          <w:lang w:val="zh-CN"/>
        </w:rPr>
        <w:t>。</w:t>
      </w:r>
    </w:p>
    <w:p>
      <w:pPr>
        <w:numPr>
          <w:ilvl w:val="0"/>
          <w:numId w:val="0"/>
        </w:numPr>
        <w:spacing w:line="576" w:lineRule="exact"/>
        <w:ind w:firstLine="320" w:firstLineChars="100"/>
        <w:jc w:val="both"/>
        <w:rPr>
          <w:rFonts w:hint="default"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en-US" w:eastAsia="zh-CN"/>
        </w:rPr>
        <w:t xml:space="preserve">  </w:t>
      </w:r>
      <w:r>
        <w:rPr>
          <w:rFonts w:hint="default" w:ascii="仿宋_GB2312" w:hAnsi="仿宋_GB2312" w:eastAsia="仿宋_GB2312"/>
          <w:color w:val="000000"/>
          <w:kern w:val="2"/>
          <w:sz w:val="32"/>
          <w:szCs w:val="24"/>
          <w:lang w:val="zh-CN"/>
        </w:rPr>
        <w:t>其中：</w:t>
      </w:r>
      <w:r>
        <w:rPr>
          <w:rFonts w:hint="default" w:ascii="仿宋_GB2312" w:hAnsi="仿宋_GB2312" w:eastAsia="仿宋_GB2312"/>
          <w:b/>
          <w:color w:val="000000"/>
          <w:kern w:val="2"/>
          <w:sz w:val="32"/>
          <w:szCs w:val="24"/>
          <w:lang w:val="zh-CN"/>
        </w:rPr>
        <w:t>公务用车购置费</w:t>
      </w:r>
      <w:r>
        <w:rPr>
          <w:rFonts w:hint="default" w:ascii="仿宋_GB2312" w:hAnsi="仿宋_GB2312" w:eastAsia="仿宋_GB2312"/>
          <w:color w:val="000000"/>
          <w:kern w:val="2"/>
          <w:sz w:val="32"/>
          <w:szCs w:val="24"/>
          <w:lang w:val="zh-CN"/>
        </w:rPr>
        <w:t>支出0万元，与2021年持平。主要原因是</w:t>
      </w:r>
      <w:r>
        <w:rPr>
          <w:rFonts w:hint="eastAsia" w:ascii="仿宋_GB2312" w:hAnsi="仿宋_GB2312" w:eastAsia="仿宋_GB2312"/>
          <w:color w:val="000000"/>
          <w:kern w:val="2"/>
          <w:sz w:val="32"/>
          <w:szCs w:val="24"/>
          <w:lang w:val="zh-CN"/>
        </w:rPr>
        <w:t>本单位</w:t>
      </w:r>
      <w:r>
        <w:rPr>
          <w:rFonts w:hint="default" w:ascii="仿宋_GB2312" w:hAnsi="仿宋_GB2312" w:eastAsia="仿宋_GB2312"/>
          <w:color w:val="000000"/>
          <w:kern w:val="2"/>
          <w:sz w:val="32"/>
          <w:szCs w:val="24"/>
          <w:lang w:val="zh-CN"/>
        </w:rPr>
        <w:t>无公务车辆，</w:t>
      </w:r>
      <w:r>
        <w:rPr>
          <w:rFonts w:hint="default" w:ascii="仿宋_GB2312" w:hAnsi="仿宋_GB2312" w:eastAsia="仿宋_GB2312"/>
          <w:color w:val="000000"/>
          <w:kern w:val="2"/>
          <w:sz w:val="32"/>
          <w:szCs w:val="24"/>
          <w:lang w:val="en-US" w:eastAsia="zh-CN"/>
        </w:rPr>
        <w:t>2022年也未购置公务车辆</w:t>
      </w:r>
      <w:r>
        <w:rPr>
          <w:rFonts w:hint="default" w:ascii="仿宋_GB2312" w:hAnsi="仿宋_GB2312" w:eastAsia="仿宋_GB2312"/>
          <w:color w:val="000000"/>
          <w:kern w:val="2"/>
          <w:sz w:val="32"/>
          <w:szCs w:val="24"/>
          <w:lang w:val="zh-CN"/>
        </w:rPr>
        <w:t>。全年按规定更新购置公务用车0辆，截至2022年12月底，本</w:t>
      </w:r>
      <w:r>
        <w:rPr>
          <w:rFonts w:hint="eastAsia" w:ascii="仿宋_GB2312" w:hAnsi="仿宋_GB2312" w:eastAsia="仿宋_GB2312"/>
          <w:color w:val="000000"/>
          <w:kern w:val="2"/>
          <w:sz w:val="32"/>
          <w:szCs w:val="24"/>
          <w:lang w:val="zh-CN"/>
        </w:rPr>
        <w:t>单位</w:t>
      </w:r>
      <w:r>
        <w:rPr>
          <w:rFonts w:hint="default" w:ascii="仿宋_GB2312" w:hAnsi="仿宋_GB2312" w:eastAsia="仿宋_GB2312"/>
          <w:color w:val="000000"/>
          <w:kern w:val="2"/>
          <w:sz w:val="32"/>
          <w:szCs w:val="24"/>
          <w:lang w:val="zh-CN"/>
        </w:rPr>
        <w:t>共有公务用车0辆。</w:t>
      </w:r>
    </w:p>
    <w:p>
      <w:pPr>
        <w:numPr>
          <w:ilvl w:val="0"/>
          <w:numId w:val="0"/>
        </w:numPr>
        <w:spacing w:line="576" w:lineRule="exact"/>
        <w:ind w:firstLine="321" w:firstLineChars="100"/>
        <w:jc w:val="both"/>
        <w:rPr>
          <w:rFonts w:hint="default"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 xml:space="preserve">  </w:t>
      </w:r>
      <w:r>
        <w:rPr>
          <w:rFonts w:hint="default" w:ascii="仿宋_GB2312" w:hAnsi="仿宋_GB2312" w:eastAsia="仿宋_GB2312"/>
          <w:b/>
          <w:color w:val="000000"/>
          <w:kern w:val="2"/>
          <w:sz w:val="32"/>
          <w:szCs w:val="24"/>
          <w:lang w:val="zh-CN"/>
        </w:rPr>
        <w:t>公务用车运行维护费</w:t>
      </w:r>
      <w:r>
        <w:rPr>
          <w:rFonts w:hint="default" w:ascii="仿宋_GB2312" w:hAnsi="仿宋_GB2312" w:eastAsia="仿宋_GB2312"/>
          <w:color w:val="000000"/>
          <w:kern w:val="2"/>
          <w:sz w:val="32"/>
          <w:szCs w:val="24"/>
          <w:lang w:val="zh-CN"/>
        </w:rPr>
        <w:t>支出0万元，与2021年持平。主要原因是本</w:t>
      </w:r>
      <w:r>
        <w:rPr>
          <w:rFonts w:hint="eastAsia" w:ascii="仿宋_GB2312" w:hAnsi="仿宋_GB2312" w:eastAsia="仿宋_GB2312"/>
          <w:color w:val="000000"/>
          <w:kern w:val="2"/>
          <w:sz w:val="32"/>
          <w:szCs w:val="24"/>
          <w:lang w:val="zh-CN"/>
        </w:rPr>
        <w:t>单位</w:t>
      </w:r>
      <w:r>
        <w:rPr>
          <w:rFonts w:hint="default" w:ascii="仿宋_GB2312" w:hAnsi="仿宋_GB2312" w:eastAsia="仿宋_GB2312"/>
          <w:color w:val="000000"/>
          <w:kern w:val="2"/>
          <w:sz w:val="32"/>
          <w:szCs w:val="24"/>
          <w:lang w:val="zh-CN"/>
        </w:rPr>
        <w:t>无公务车辆。</w:t>
      </w:r>
      <w:bookmarkStart w:id="41" w:name="_Toc15396610"/>
      <w:bookmarkStart w:id="42" w:name="_Toc15377218"/>
    </w:p>
    <w:p>
      <w:pPr>
        <w:numPr>
          <w:numId w:val="0"/>
        </w:numPr>
        <w:spacing w:line="576" w:lineRule="exact"/>
        <w:jc w:val="both"/>
        <w:rPr>
          <w:rFonts w:hint="default"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 xml:space="preserve">    3.</w:t>
      </w:r>
      <w:r>
        <w:rPr>
          <w:rFonts w:hint="default" w:ascii="仿宋_GB2312" w:hAnsi="仿宋_GB2312" w:eastAsia="仿宋_GB2312"/>
          <w:b/>
          <w:color w:val="000000"/>
          <w:kern w:val="2"/>
          <w:sz w:val="32"/>
          <w:szCs w:val="24"/>
          <w:lang w:val="zh-CN"/>
        </w:rPr>
        <w:t>公务接待费</w:t>
      </w:r>
      <w:r>
        <w:rPr>
          <w:rFonts w:hint="default"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lang w:val="en-US" w:eastAsia="zh-CN"/>
        </w:rPr>
        <w:t>0</w:t>
      </w:r>
      <w:r>
        <w:rPr>
          <w:rFonts w:hint="default" w:ascii="仿宋_GB2312" w:hAnsi="仿宋_GB2312" w:eastAsia="仿宋_GB2312"/>
          <w:color w:val="000000"/>
          <w:kern w:val="2"/>
          <w:sz w:val="32"/>
          <w:szCs w:val="24"/>
          <w:lang w:val="zh-CN"/>
        </w:rPr>
        <w:t>万元，完成预算</w:t>
      </w:r>
      <w:r>
        <w:rPr>
          <w:rFonts w:hint="eastAsia" w:ascii="仿宋_GB2312" w:hAnsi="仿宋_GB2312" w:eastAsia="仿宋_GB2312"/>
          <w:color w:val="000000"/>
          <w:kern w:val="2"/>
          <w:sz w:val="32"/>
          <w:szCs w:val="24"/>
          <w:lang w:val="en-US" w:eastAsia="zh-CN"/>
        </w:rPr>
        <w:t>0</w:t>
      </w:r>
      <w:r>
        <w:rPr>
          <w:rFonts w:hint="default" w:ascii="仿宋_GB2312" w:hAnsi="仿宋_GB2312" w:eastAsia="仿宋_GB2312"/>
          <w:color w:val="000000"/>
          <w:kern w:val="2"/>
          <w:sz w:val="32"/>
          <w:szCs w:val="24"/>
          <w:lang w:val="zh-CN"/>
        </w:rPr>
        <w:t>%。公务接待费支出决算</w:t>
      </w:r>
      <w:r>
        <w:rPr>
          <w:rFonts w:hint="eastAsia" w:ascii="仿宋_GB2312" w:hAnsi="仿宋_GB2312" w:eastAsia="仿宋_GB2312"/>
          <w:color w:val="000000"/>
          <w:kern w:val="2"/>
          <w:sz w:val="32"/>
          <w:szCs w:val="24"/>
          <w:lang w:val="zh-CN"/>
        </w:rPr>
        <w:t>与</w:t>
      </w:r>
      <w:r>
        <w:rPr>
          <w:rFonts w:hint="default" w:ascii="仿宋_GB2312" w:hAnsi="仿宋_GB2312" w:eastAsia="仿宋_GB2312"/>
          <w:color w:val="000000"/>
          <w:kern w:val="2"/>
          <w:sz w:val="32"/>
          <w:szCs w:val="24"/>
          <w:lang w:val="zh-CN"/>
        </w:rPr>
        <w:t>2021年</w:t>
      </w:r>
      <w:r>
        <w:rPr>
          <w:rFonts w:hint="eastAsia" w:ascii="仿宋_GB2312" w:hAnsi="仿宋_GB2312" w:eastAsia="仿宋_GB2312"/>
          <w:color w:val="000000"/>
          <w:kern w:val="2"/>
          <w:sz w:val="32"/>
          <w:szCs w:val="24"/>
          <w:lang w:val="zh-CN"/>
        </w:rPr>
        <w:t>持平</w:t>
      </w:r>
      <w:r>
        <w:rPr>
          <w:rFonts w:hint="default" w:ascii="仿宋_GB2312" w:hAnsi="仿宋_GB2312" w:eastAsia="仿宋_GB2312"/>
          <w:color w:val="000000"/>
          <w:kern w:val="2"/>
          <w:sz w:val="32"/>
          <w:szCs w:val="24"/>
          <w:lang w:val="zh-CN"/>
        </w:rPr>
        <w:t>。</w:t>
      </w:r>
      <w:r>
        <w:rPr>
          <w:rFonts w:hint="eastAsia" w:ascii="仿宋" w:hAnsi="仿宋" w:eastAsia="仿宋"/>
          <w:color w:val="auto"/>
          <w:sz w:val="32"/>
          <w:szCs w:val="32"/>
          <w:lang w:eastAsia="zh-CN"/>
        </w:rPr>
        <w:t>主要原因是</w:t>
      </w:r>
      <w:r>
        <w:rPr>
          <w:rFonts w:hint="eastAsia" w:ascii="仿宋" w:hAnsi="仿宋" w:eastAsia="仿宋"/>
          <w:color w:val="auto"/>
          <w:sz w:val="32"/>
          <w:szCs w:val="32"/>
          <w:lang w:val="en-US" w:eastAsia="zh-CN"/>
        </w:rPr>
        <w:t>没有公务接待</w:t>
      </w:r>
      <w:r>
        <w:rPr>
          <w:rFonts w:hint="default" w:ascii="仿宋_GB2312" w:hAnsi="仿宋_GB2312" w:eastAsia="仿宋_GB2312"/>
          <w:color w:val="000000"/>
          <w:kern w:val="2"/>
          <w:sz w:val="32"/>
          <w:szCs w:val="24"/>
          <w:lang w:val="zh-CN"/>
        </w:rPr>
        <w:t>。其中：</w:t>
      </w:r>
    </w:p>
    <w:p>
      <w:pPr>
        <w:numPr>
          <w:ilvl w:val="0"/>
          <w:numId w:val="0"/>
        </w:numPr>
        <w:spacing w:line="240" w:lineRule="auto"/>
        <w:ind w:firstLine="642" w:firstLineChars="200"/>
        <w:jc w:val="both"/>
        <w:rPr>
          <w:rFonts w:hint="eastAsia" w:ascii="仿宋" w:hAnsi="仿宋" w:eastAsia="仿宋"/>
          <w:color w:val="auto"/>
          <w:sz w:val="32"/>
          <w:szCs w:val="32"/>
          <w:lang w:val="en-US" w:eastAsia="zh-CN"/>
        </w:rPr>
      </w:pPr>
      <w:r>
        <w:rPr>
          <w:rFonts w:hint="default" w:ascii="仿宋_GB2312" w:hAnsi="仿宋_GB2312" w:eastAsia="仿宋_GB2312"/>
          <w:b/>
          <w:color w:val="000000"/>
          <w:kern w:val="2"/>
          <w:sz w:val="32"/>
          <w:szCs w:val="24"/>
          <w:lang w:val="zh-CN"/>
        </w:rPr>
        <w:t>国内公务接待</w:t>
      </w:r>
      <w:r>
        <w:rPr>
          <w:rFonts w:hint="default"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lang w:val="en-US" w:eastAsia="zh-CN"/>
        </w:rPr>
        <w:t>0</w:t>
      </w:r>
      <w:r>
        <w:rPr>
          <w:rFonts w:hint="default" w:ascii="仿宋_GB2312" w:hAnsi="仿宋_GB2312" w:eastAsia="仿宋_GB2312"/>
          <w:color w:val="000000"/>
          <w:kern w:val="2"/>
          <w:sz w:val="32"/>
          <w:szCs w:val="24"/>
          <w:lang w:val="zh-CN"/>
        </w:rPr>
        <w:t>万元，</w:t>
      </w:r>
      <w:r>
        <w:rPr>
          <w:rFonts w:hint="eastAsia" w:ascii="仿宋_GB2312" w:hAnsi="仿宋_GB2312" w:eastAsia="仿宋_GB2312"/>
          <w:color w:val="000000"/>
          <w:kern w:val="2"/>
          <w:sz w:val="32"/>
          <w:szCs w:val="24"/>
          <w:lang w:val="zh-CN"/>
        </w:rPr>
        <w:t>与</w:t>
      </w:r>
      <w:r>
        <w:rPr>
          <w:rFonts w:hint="default" w:ascii="仿宋_GB2312" w:hAnsi="仿宋_GB2312" w:eastAsia="仿宋_GB2312"/>
          <w:color w:val="000000"/>
          <w:kern w:val="2"/>
          <w:sz w:val="32"/>
          <w:szCs w:val="24"/>
          <w:lang w:val="zh-CN"/>
        </w:rPr>
        <w:t>2021年</w:t>
      </w:r>
      <w:r>
        <w:rPr>
          <w:rFonts w:hint="eastAsia" w:ascii="仿宋_GB2312" w:hAnsi="仿宋_GB2312" w:eastAsia="仿宋_GB2312"/>
          <w:color w:val="000000"/>
          <w:kern w:val="2"/>
          <w:sz w:val="32"/>
          <w:szCs w:val="24"/>
          <w:lang w:val="zh-CN"/>
        </w:rPr>
        <w:t>持平</w:t>
      </w:r>
      <w:r>
        <w:rPr>
          <w:rFonts w:hint="default" w:ascii="仿宋_GB2312" w:hAnsi="仿宋_GB2312" w:eastAsia="仿宋_GB2312"/>
          <w:color w:val="000000"/>
          <w:kern w:val="2"/>
          <w:sz w:val="32"/>
          <w:szCs w:val="24"/>
          <w:lang w:val="zh-CN"/>
        </w:rPr>
        <w:t>。</w:t>
      </w:r>
      <w:r>
        <w:rPr>
          <w:rFonts w:hint="eastAsia" w:ascii="仿宋" w:hAnsi="仿宋" w:eastAsia="仿宋"/>
          <w:color w:val="auto"/>
          <w:sz w:val="32"/>
          <w:szCs w:val="32"/>
          <w:lang w:eastAsia="zh-CN"/>
        </w:rPr>
        <w:t>主要原因是</w:t>
      </w:r>
      <w:r>
        <w:rPr>
          <w:rFonts w:hint="eastAsia" w:ascii="仿宋" w:hAnsi="仿宋" w:eastAsia="仿宋"/>
          <w:color w:val="auto"/>
          <w:sz w:val="32"/>
          <w:szCs w:val="32"/>
          <w:lang w:val="en-US" w:eastAsia="zh-CN"/>
        </w:rPr>
        <w:t>没有公务接待。</w:t>
      </w:r>
    </w:p>
    <w:p>
      <w:pPr>
        <w:numPr>
          <w:ilvl w:val="0"/>
          <w:numId w:val="0"/>
        </w:numPr>
        <w:spacing w:line="240" w:lineRule="auto"/>
        <w:ind w:firstLine="642" w:firstLineChars="200"/>
        <w:jc w:val="both"/>
        <w:rPr>
          <w:rFonts w:hint="default" w:ascii="仿宋_GB2312" w:hAnsi="仿宋_GB2312" w:eastAsia="仿宋_GB2312"/>
          <w:color w:val="000000"/>
          <w:kern w:val="2"/>
          <w:sz w:val="32"/>
          <w:szCs w:val="24"/>
          <w:lang w:val="en-US"/>
        </w:rPr>
      </w:pPr>
      <w:r>
        <w:rPr>
          <w:rFonts w:hint="default" w:ascii="仿宋_GB2312" w:hAnsi="仿宋_GB2312" w:eastAsia="仿宋_GB2312"/>
          <w:b/>
          <w:color w:val="000000"/>
          <w:kern w:val="2"/>
          <w:sz w:val="32"/>
          <w:szCs w:val="24"/>
          <w:lang w:val="zh-CN"/>
        </w:rPr>
        <w:t>外事接待</w:t>
      </w:r>
      <w:r>
        <w:rPr>
          <w:rFonts w:hint="default" w:ascii="仿宋_GB2312" w:hAnsi="仿宋_GB2312" w:eastAsia="仿宋_GB2312"/>
          <w:color w:val="000000"/>
          <w:kern w:val="2"/>
          <w:sz w:val="32"/>
          <w:szCs w:val="24"/>
          <w:lang w:val="zh-CN"/>
        </w:rPr>
        <w:t>支出0万元，与2021年持平，主要原因是</w:t>
      </w:r>
      <w:r>
        <w:rPr>
          <w:rFonts w:hint="eastAsia" w:ascii="仿宋_GB2312" w:hAnsi="仿宋_GB2312" w:eastAsia="仿宋_GB2312"/>
          <w:color w:val="000000"/>
          <w:kern w:val="2"/>
          <w:sz w:val="32"/>
          <w:szCs w:val="24"/>
          <w:lang w:val="zh-CN"/>
        </w:rPr>
        <w:t>本单位</w:t>
      </w:r>
      <w:r>
        <w:rPr>
          <w:rFonts w:hint="default" w:ascii="仿宋_GB2312" w:hAnsi="仿宋_GB2312" w:eastAsia="仿宋_GB2312"/>
          <w:color w:val="000000"/>
          <w:kern w:val="2"/>
          <w:sz w:val="32"/>
          <w:szCs w:val="24"/>
          <w:lang w:val="zh-CN"/>
        </w:rPr>
        <w:t>无外事接待。外事接待0批次，0人，共计支出0万元。</w:t>
      </w:r>
    </w:p>
    <w:p>
      <w:pPr>
        <w:spacing w:line="600" w:lineRule="exact"/>
        <w:ind w:firstLine="640"/>
        <w:outlineLvl w:val="1"/>
        <w:rPr>
          <w:rStyle w:val="30"/>
          <w:rFonts w:ascii="黑体" w:hAnsi="黑体" w:eastAsia="黑体"/>
          <w:color w:val="auto"/>
        </w:rPr>
      </w:pPr>
      <w:r>
        <w:rPr>
          <w:rFonts w:hint="eastAsia" w:ascii="黑体" w:eastAsia="黑体"/>
          <w:color w:val="auto"/>
          <w:sz w:val="32"/>
          <w:szCs w:val="32"/>
          <w:lang w:eastAsia="zh-CN"/>
        </w:rPr>
        <w:t>九</w:t>
      </w:r>
      <w:r>
        <w:rPr>
          <w:rFonts w:hint="eastAsia" w:ascii="黑体" w:eastAsia="黑体"/>
          <w:color w:val="auto"/>
          <w:sz w:val="32"/>
          <w:szCs w:val="32"/>
        </w:rPr>
        <w:t>、</w:t>
      </w:r>
      <w:r>
        <w:rPr>
          <w:rStyle w:val="30"/>
          <w:rFonts w:hint="eastAsia" w:ascii="黑体" w:hAnsi="黑体" w:eastAsia="黑体"/>
          <w:b w:val="0"/>
          <w:color w:val="auto"/>
        </w:rPr>
        <w:t>政府性基金预算支出决算情况说明</w:t>
      </w:r>
      <w:bookmarkEnd w:id="41"/>
      <w:bookmarkEnd w:id="42"/>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default" w:ascii="仿宋_GB2312" w:eastAsia="仿宋_GB2312"/>
          <w:color w:val="auto"/>
          <w:sz w:val="32"/>
          <w:szCs w:val="32"/>
          <w:lang w:val="en" w:eastAsia="zh-CN"/>
        </w:rPr>
        <w:t>2</w:t>
      </w:r>
      <w:r>
        <w:rPr>
          <w:rFonts w:hint="eastAsia" w:ascii="仿宋_GB2312" w:eastAsia="仿宋_GB2312"/>
          <w:color w:val="auto"/>
          <w:sz w:val="32"/>
          <w:szCs w:val="32"/>
        </w:rPr>
        <w:t>年政府性基金预算拨款支出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0"/>
        </w:numPr>
        <w:spacing w:line="600" w:lineRule="exact"/>
        <w:outlineLvl w:val="1"/>
        <w:rPr>
          <w:rStyle w:val="30"/>
          <w:rFonts w:ascii="黑体" w:hAnsi="黑体" w:eastAsia="黑体"/>
          <w:b w:val="0"/>
          <w:color w:val="auto"/>
        </w:rPr>
      </w:pPr>
      <w:bookmarkStart w:id="43" w:name="_Toc15377219"/>
      <w:bookmarkStart w:id="44" w:name="_Toc15396611"/>
      <w:r>
        <w:rPr>
          <w:rStyle w:val="30"/>
          <w:rFonts w:hint="eastAsia" w:ascii="黑体" w:hAnsi="黑体" w:eastAsia="黑体"/>
          <w:b w:val="0"/>
          <w:color w:val="auto"/>
          <w:lang w:val="en-US" w:eastAsia="zh-CN"/>
        </w:rPr>
        <w:t xml:space="preserve">    </w:t>
      </w:r>
      <w:r>
        <w:rPr>
          <w:rStyle w:val="30"/>
          <w:rFonts w:hint="eastAsia" w:ascii="黑体" w:hAnsi="黑体" w:eastAsia="黑体"/>
          <w:b w:val="0"/>
          <w:color w:val="auto"/>
          <w:lang w:eastAsia="zh-CN"/>
        </w:rPr>
        <w:t>十、</w:t>
      </w:r>
      <w:r>
        <w:rPr>
          <w:rStyle w:val="30"/>
          <w:rFonts w:hint="eastAsia" w:ascii="黑体" w:hAnsi="黑体" w:eastAsia="黑体"/>
          <w:b w:val="0"/>
          <w:color w:val="auto"/>
        </w:rPr>
        <w:t>国有资本经营预算支出决算情况说明</w:t>
      </w:r>
      <w:bookmarkEnd w:id="43"/>
      <w:bookmarkEnd w:id="44"/>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default" w:ascii="仿宋_GB2312" w:eastAsia="仿宋_GB2312"/>
          <w:color w:val="auto"/>
          <w:sz w:val="32"/>
          <w:szCs w:val="32"/>
          <w:lang w:val="en" w:eastAsia="zh-CN"/>
        </w:rPr>
        <w:t>2</w:t>
      </w:r>
      <w:r>
        <w:rPr>
          <w:rFonts w:hint="eastAsia" w:ascii="仿宋_GB2312" w:eastAsia="仿宋_GB2312"/>
          <w:color w:val="auto"/>
          <w:sz w:val="32"/>
          <w:szCs w:val="32"/>
        </w:rPr>
        <w:t>年国有资本经营预算拨款支出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firstLineChars="200"/>
        <w:outlineLvl w:val="1"/>
        <w:rPr>
          <w:rStyle w:val="30"/>
          <w:rFonts w:ascii="黑体" w:hAnsi="黑体" w:eastAsia="黑体"/>
          <w:color w:val="auto"/>
        </w:rPr>
      </w:pPr>
      <w:bookmarkStart w:id="45" w:name="_Toc15377221"/>
      <w:bookmarkStart w:id="46" w:name="_Toc15396612"/>
      <w:r>
        <w:rPr>
          <w:rFonts w:hint="eastAsia" w:ascii="黑体" w:hAnsi="黑体" w:eastAsia="黑体"/>
          <w:color w:val="auto"/>
          <w:sz w:val="32"/>
          <w:szCs w:val="32"/>
        </w:rPr>
        <w:t>十</w:t>
      </w:r>
      <w:r>
        <w:rPr>
          <w:rFonts w:hint="eastAsia" w:ascii="黑体" w:hAnsi="黑体" w:eastAsia="黑体"/>
          <w:color w:val="auto"/>
          <w:sz w:val="32"/>
          <w:szCs w:val="32"/>
          <w:lang w:eastAsia="zh-CN"/>
        </w:rPr>
        <w:t>一</w:t>
      </w:r>
      <w:r>
        <w:rPr>
          <w:rStyle w:val="30"/>
          <w:rFonts w:hint="eastAsia" w:ascii="黑体" w:hAnsi="黑体" w:eastAsia="黑体"/>
          <w:color w:val="auto"/>
        </w:rPr>
        <w:t>、</w:t>
      </w:r>
      <w:r>
        <w:rPr>
          <w:rStyle w:val="30"/>
          <w:rFonts w:hint="eastAsia" w:ascii="黑体" w:hAnsi="黑体" w:eastAsia="黑体"/>
          <w:b w:val="0"/>
          <w:color w:val="auto"/>
        </w:rPr>
        <w:t>其他重要事项的情况说明</w:t>
      </w:r>
      <w:bookmarkEnd w:id="45"/>
      <w:bookmarkEnd w:id="46"/>
    </w:p>
    <w:p>
      <w:pPr>
        <w:spacing w:line="600" w:lineRule="exact"/>
        <w:ind w:firstLine="642" w:firstLineChars="200"/>
        <w:outlineLvl w:val="2"/>
        <w:rPr>
          <w:rFonts w:ascii="仿宋" w:hAnsi="仿宋" w:eastAsia="仿宋"/>
          <w:color w:val="auto"/>
          <w:sz w:val="32"/>
          <w:szCs w:val="32"/>
        </w:rPr>
      </w:pPr>
      <w:bookmarkStart w:id="47" w:name="_Toc15377222"/>
      <w:r>
        <w:rPr>
          <w:rFonts w:hint="eastAsia" w:ascii="仿宋" w:hAnsi="仿宋" w:eastAsia="仿宋"/>
          <w:b/>
          <w:color w:val="auto"/>
          <w:sz w:val="32"/>
          <w:szCs w:val="32"/>
        </w:rPr>
        <w:t>（一）机关运行经费支出情况</w:t>
      </w:r>
      <w:bookmarkEnd w:id="47"/>
    </w:p>
    <w:p>
      <w:pPr>
        <w:spacing w:line="600" w:lineRule="exact"/>
        <w:ind w:firstLine="640" w:firstLineChars="200"/>
        <w:rPr>
          <w:rFonts w:ascii="仿宋" w:hAnsi="仿宋" w:eastAsia="仿宋"/>
          <w:b/>
          <w:color w:val="auto"/>
          <w:sz w:val="32"/>
          <w:szCs w:val="32"/>
        </w:rPr>
      </w:pPr>
      <w:r>
        <w:rPr>
          <w:rFonts w:hint="eastAsia" w:ascii="仿宋_GB2312" w:eastAsia="仿宋_GB2312"/>
          <w:color w:val="auto"/>
          <w:sz w:val="32"/>
          <w:szCs w:val="32"/>
        </w:rPr>
        <w:t>本单位属事业单位，无机关运行经费支出。</w:t>
      </w:r>
    </w:p>
    <w:p>
      <w:pPr>
        <w:autoSpaceDE w:val="0"/>
        <w:autoSpaceDN w:val="0"/>
        <w:adjustRightInd w:val="0"/>
        <w:spacing w:line="600" w:lineRule="exact"/>
        <w:ind w:firstLine="642" w:firstLineChars="200"/>
        <w:jc w:val="left"/>
        <w:outlineLvl w:val="2"/>
        <w:rPr>
          <w:rFonts w:ascii="仿宋" w:hAnsi="仿宋" w:eastAsia="仿宋"/>
          <w:b/>
          <w:color w:val="auto"/>
          <w:sz w:val="32"/>
          <w:szCs w:val="32"/>
        </w:rPr>
      </w:pPr>
      <w:bookmarkStart w:id="48" w:name="_Toc15377223"/>
      <w:r>
        <w:rPr>
          <w:rFonts w:hint="eastAsia" w:ascii="仿宋" w:hAnsi="仿宋" w:eastAsia="仿宋"/>
          <w:b/>
          <w:color w:val="auto"/>
          <w:sz w:val="32"/>
          <w:szCs w:val="32"/>
        </w:rPr>
        <w:t>（二）政府采购支出情况</w:t>
      </w:r>
      <w:bookmarkEnd w:id="48"/>
    </w:p>
    <w:p>
      <w:pPr>
        <w:spacing w:line="576" w:lineRule="exact"/>
        <w:ind w:firstLine="640"/>
        <w:jc w:val="both"/>
        <w:rPr>
          <w:rFonts w:ascii="仿宋_GB2312" w:eastAsia="仿宋_GB2312"/>
          <w:color w:val="auto"/>
          <w:sz w:val="32"/>
          <w:szCs w:val="32"/>
        </w:rPr>
      </w:pPr>
      <w:r>
        <w:rPr>
          <w:rFonts w:hint="eastAsia" w:ascii="仿宋_GB2312" w:eastAsia="仿宋_GB2312"/>
          <w:color w:val="auto"/>
          <w:sz w:val="32"/>
          <w:szCs w:val="32"/>
          <w:lang w:val="en-US" w:eastAsia="zh-CN"/>
        </w:rPr>
        <w:t>202</w:t>
      </w:r>
      <w:r>
        <w:rPr>
          <w:rFonts w:hint="default" w:ascii="仿宋_GB2312" w:eastAsia="仿宋_GB2312"/>
          <w:color w:val="auto"/>
          <w:sz w:val="32"/>
          <w:szCs w:val="32"/>
          <w:lang w:val="en" w:eastAsia="zh-CN"/>
        </w:rPr>
        <w:t>2</w:t>
      </w:r>
      <w:r>
        <w:rPr>
          <w:rFonts w:hint="eastAsia" w:ascii="仿宋_GB2312" w:eastAsia="仿宋_GB2312"/>
          <w:color w:val="auto"/>
          <w:sz w:val="32"/>
          <w:szCs w:val="32"/>
          <w:lang w:val="en-US" w:eastAsia="zh-CN"/>
        </w:rPr>
        <w:t>年，政府采购支出总额0万元</w:t>
      </w:r>
      <w:r>
        <w:rPr>
          <w:rFonts w:hint="eastAsia" w:ascii="仿宋_GB2312" w:eastAsia="仿宋_GB2312"/>
          <w:color w:val="auto"/>
          <w:sz w:val="32"/>
          <w:szCs w:val="32"/>
          <w:lang w:val="zh-CN"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rPr>
      </w:pPr>
      <w:bookmarkStart w:id="49" w:name="_Toc15377224"/>
      <w:r>
        <w:rPr>
          <w:rFonts w:hint="eastAsia" w:ascii="仿宋" w:hAnsi="仿宋" w:eastAsia="仿宋"/>
          <w:b/>
          <w:color w:val="auto"/>
          <w:sz w:val="32"/>
          <w:szCs w:val="32"/>
        </w:rPr>
        <w:t>（三）国有资产占有使用情况</w:t>
      </w:r>
      <w:bookmarkEnd w:id="49"/>
    </w:p>
    <w:p>
      <w:pPr>
        <w:spacing w:line="576" w:lineRule="exact"/>
        <w:ind w:firstLine="640"/>
        <w:rPr>
          <w:rFonts w:hint="default" w:ascii="仿宋_GB2312" w:hAnsi="仿宋_GB2312" w:eastAsia="仿宋_GB2312"/>
          <w:color w:val="000000"/>
          <w:kern w:val="2"/>
          <w:sz w:val="32"/>
          <w:szCs w:val="24"/>
          <w:lang w:val="zh-CN"/>
        </w:rPr>
      </w:pPr>
      <w:r>
        <w:rPr>
          <w:rFonts w:hint="default" w:ascii="仿宋_GB2312" w:hAnsi="仿宋_GB2312" w:eastAsia="仿宋_GB2312"/>
          <w:color w:val="000000"/>
          <w:kern w:val="2"/>
          <w:sz w:val="32"/>
          <w:szCs w:val="24"/>
          <w:lang w:val="zh-CN"/>
        </w:rPr>
        <w:t>截至2022年12月31日，</w:t>
      </w:r>
      <w:r>
        <w:rPr>
          <w:rFonts w:hint="eastAsia" w:ascii="仿宋_GB2312" w:hAnsi="仿宋_GB2312" w:eastAsia="仿宋_GB2312"/>
          <w:color w:val="000000"/>
          <w:kern w:val="2"/>
          <w:sz w:val="32"/>
          <w:szCs w:val="24"/>
          <w:lang w:val="zh-CN"/>
        </w:rPr>
        <w:t>本单位</w:t>
      </w:r>
      <w:r>
        <w:rPr>
          <w:rFonts w:hint="default" w:ascii="仿宋_GB2312" w:hAnsi="仿宋_GB2312" w:eastAsia="仿宋_GB2312"/>
          <w:color w:val="000000"/>
          <w:kern w:val="2"/>
          <w:sz w:val="32"/>
          <w:szCs w:val="24"/>
          <w:lang w:val="zh-CN"/>
        </w:rPr>
        <w:t>共有车辆0辆，其中：副部（省）级及以上领导用车0辆、主要领导干部用车0辆、机要通信用车0辆、应急保障用车0辆、执法执勤用车0辆、特种专业技术用车0辆、离退休干部用车0辆、其他用车0辆。单价100万元（含）以上设备0台（套)。</w:t>
      </w:r>
    </w:p>
    <w:p>
      <w:pPr>
        <w:autoSpaceDE w:val="0"/>
        <w:autoSpaceDN w:val="0"/>
        <w:adjustRightInd w:val="0"/>
        <w:spacing w:line="600" w:lineRule="exact"/>
        <w:ind w:firstLine="642"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w:t>
      </w:r>
      <w:r>
        <w:rPr>
          <w:rFonts w:hint="default" w:ascii="仿宋_GB2312" w:hAnsi="仿宋_GB2312" w:eastAsia="仿宋_GB2312" w:cs="仿宋_GB2312"/>
          <w:color w:val="auto"/>
          <w:sz w:val="32"/>
          <w:szCs w:val="32"/>
          <w:lang w:val="en"/>
        </w:rPr>
        <w:t>2022</w:t>
      </w:r>
      <w:r>
        <w:rPr>
          <w:rFonts w:hint="eastAsia" w:ascii="仿宋_GB2312" w:hAnsi="仿宋_GB2312" w:eastAsia="仿宋_GB2312" w:cs="仿宋_GB2312"/>
          <w:color w:val="auto"/>
          <w:sz w:val="32"/>
          <w:szCs w:val="32"/>
          <w:lang w:val="en" w:eastAsia="zh-CN"/>
        </w:rPr>
        <w:t>年度</w:t>
      </w:r>
      <w:r>
        <w:rPr>
          <w:rFonts w:hint="eastAsia" w:ascii="仿宋_GB2312" w:hAnsi="仿宋_GB2312" w:eastAsia="仿宋_GB2312" w:cs="仿宋_GB2312"/>
          <w:color w:val="auto"/>
          <w:sz w:val="32"/>
          <w:szCs w:val="32"/>
        </w:rPr>
        <w:t>预算编制阶段，组织对</w:t>
      </w:r>
      <w:r>
        <w:rPr>
          <w:rFonts w:hint="eastAsia" w:ascii="仿宋_GB2312" w:hAnsi="仿宋_GB2312" w:eastAsia="仿宋_GB2312" w:cs="仿宋_GB2312"/>
          <w:color w:val="auto"/>
          <w:sz w:val="32"/>
          <w:szCs w:val="32"/>
          <w:lang w:val="en-US" w:eastAsia="zh-CN"/>
        </w:rPr>
        <w:t>高中考试工作</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6个项目</w:t>
      </w:r>
      <w:r>
        <w:rPr>
          <w:rFonts w:hint="eastAsia" w:ascii="仿宋_GB2312" w:hAnsi="仿宋_GB2312" w:eastAsia="仿宋_GB2312" w:cs="仿宋_GB2312"/>
          <w:color w:val="auto"/>
          <w:sz w:val="32"/>
          <w:szCs w:val="32"/>
        </w:rPr>
        <w:t>开展了预算事前绩效评估，对</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个项目全部编制了绩效目标，预算执行过程中，对</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个项目全部开展绩效监控，</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个项目开展绩效</w:t>
      </w:r>
      <w:r>
        <w:rPr>
          <w:rFonts w:hint="eastAsia" w:ascii="仿宋_GB2312" w:hAnsi="仿宋_GB2312" w:eastAsia="仿宋_GB2312" w:cs="仿宋_GB2312"/>
          <w:color w:val="auto"/>
          <w:sz w:val="32"/>
          <w:szCs w:val="32"/>
          <w:lang w:eastAsia="zh-CN"/>
        </w:rPr>
        <w:t>自评，绩效自评表详见第四部分附件</w:t>
      </w:r>
      <w:r>
        <w:rPr>
          <w:rFonts w:hint="eastAsia" w:ascii="仿宋_GB2312" w:hAnsi="仿宋_GB2312" w:eastAsia="仿宋_GB2312" w:cs="仿宋_GB2312"/>
          <w:color w:val="auto"/>
          <w:sz w:val="32"/>
          <w:szCs w:val="32"/>
        </w:rPr>
        <w:t>。</w:t>
      </w:r>
      <w:bookmarkStart w:id="50" w:name="_Toc15377225"/>
      <w:bookmarkStart w:id="51" w:name="_Toc15396613"/>
    </w:p>
    <w:p>
      <w:pPr>
        <w:pStyle w:val="2"/>
        <w:rPr>
          <w:rFonts w:hint="eastAsia"/>
          <w:lang w:val="en-US" w:eastAsia="zh-CN"/>
        </w:rPr>
      </w:pPr>
    </w:p>
    <w:p>
      <w:pPr>
        <w:widowControl/>
        <w:jc w:val="left"/>
        <w:rPr>
          <w:rFonts w:ascii="宋体"/>
          <w:b/>
          <w:color w:val="auto"/>
          <w:sz w:val="44"/>
          <w:szCs w:val="44"/>
        </w:rPr>
      </w:pPr>
      <w:r>
        <w:rPr>
          <w:rFonts w:hint="eastAsia" w:ascii="黑体" w:hAnsi="黑体" w:eastAsia="黑体"/>
          <w:color w:val="auto"/>
          <w:sz w:val="44"/>
          <w:szCs w:val="44"/>
          <w:lang w:val="en-US" w:eastAsia="zh-CN"/>
        </w:rPr>
        <w:t xml:space="preserve">          </w:t>
      </w:r>
      <w:r>
        <w:rPr>
          <w:rFonts w:hint="eastAsia" w:ascii="黑体" w:hAnsi="黑体" w:eastAsia="黑体"/>
          <w:color w:val="auto"/>
          <w:sz w:val="44"/>
          <w:szCs w:val="44"/>
          <w:lang w:eastAsia="zh-CN"/>
        </w:rPr>
        <w:t>第三部分</w:t>
      </w:r>
      <w:r>
        <w:rPr>
          <w:rFonts w:hint="eastAsia" w:ascii="黑体" w:hAnsi="黑体" w:eastAsia="黑体"/>
          <w:color w:val="auto"/>
          <w:sz w:val="44"/>
          <w:szCs w:val="44"/>
          <w:lang w:val="en-US" w:eastAsia="zh-CN"/>
        </w:rPr>
        <w:t xml:space="preserve"> </w:t>
      </w:r>
      <w:r>
        <w:rPr>
          <w:rFonts w:hint="eastAsia" w:ascii="黑体" w:hAnsi="黑体" w:eastAsia="黑体"/>
          <w:color w:val="auto"/>
          <w:sz w:val="44"/>
          <w:szCs w:val="44"/>
        </w:rPr>
        <w:t>名</w:t>
      </w:r>
      <w:r>
        <w:rPr>
          <w:rStyle w:val="29"/>
          <w:rFonts w:hint="eastAsia" w:ascii="黑体" w:hAnsi="黑体" w:eastAsia="黑体"/>
          <w:b w:val="0"/>
          <w:color w:val="auto"/>
        </w:rPr>
        <w:t>词解释</w:t>
      </w:r>
      <w:bookmarkEnd w:id="50"/>
      <w:bookmarkEnd w:id="51"/>
    </w:p>
    <w:p>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19"/>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19"/>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1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19"/>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年末结转和结余：指单位按有关规定结转到下年或以后年度继续使用的资金。</w:t>
      </w:r>
    </w:p>
    <w:p>
      <w:pPr>
        <w:pStyle w:val="1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8.一般公共服务支出（类）组织事务（款）其他事务支出（项）：反应除上述项目外其他用于中国共产党组织部分的事务支出。</w:t>
      </w:r>
    </w:p>
    <w:p>
      <w:pPr>
        <w:pStyle w:val="1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9.教育支出（类）教育管理事务（款）一般行政管理事务（项）: 反应行政单位（包括实行公务员管理的事业单位）未单独设置项级科目的其他项目支出。</w:t>
      </w:r>
    </w:p>
    <w:p>
      <w:pPr>
        <w:pStyle w:val="1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10.教育支出（类）教育管理事务（款）其他教育管理事务支出（项）:反应除上述项目以外其他用于教育管理事务方面的支出。</w:t>
      </w:r>
    </w:p>
    <w:p>
      <w:pPr>
        <w:pStyle w:val="1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11.教育支出（类）普通教育（款）学前教育（项）: 反应各部门举办的学前教育支出。</w:t>
      </w:r>
    </w:p>
    <w:p>
      <w:pPr>
        <w:pStyle w:val="1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12.教育支出（类）其他教育支出（款）其他教育支出（项）:   反应除上述项目以外其他用于普通教育方面的支出。</w:t>
      </w:r>
    </w:p>
    <w:p>
      <w:pPr>
        <w:pStyle w:val="1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13.社会保障和就业支出（类）行政事业单位养老支出（款）机关事业单位养老保险缴费支出（项）: </w:t>
      </w:r>
      <w:r>
        <w:rPr>
          <w:rFonts w:hint="default" w:ascii="仿宋_GB2312" w:eastAsia="仿宋_GB2312"/>
          <w:color w:val="auto"/>
          <w:sz w:val="32"/>
          <w:szCs w:val="32"/>
          <w:lang w:val="en-US" w:eastAsia="zh-CN"/>
        </w:rPr>
        <w:t>反映机关事业单位实施养老保险制度由单位缴纳的基本养老保险费支出。</w:t>
      </w:r>
    </w:p>
    <w:p>
      <w:pPr>
        <w:pStyle w:val="1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14.社会保障和就业支出（类）社会福利（款）其他社会福利支出（项）: 反应用于社会福利的支出。</w:t>
      </w:r>
    </w:p>
    <w:p>
      <w:pPr>
        <w:pStyle w:val="1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15.卫生健康支出（类）行政事业单位医疗（款）事业单位医疗（项）:指反映</w:t>
      </w:r>
      <w:r>
        <w:rPr>
          <w:rFonts w:hint="default" w:ascii="仿宋_GB2312" w:eastAsia="仿宋_GB2312"/>
          <w:color w:val="auto"/>
          <w:sz w:val="32"/>
          <w:szCs w:val="32"/>
          <w:lang w:val="en-US" w:eastAsia="zh-CN"/>
        </w:rPr>
        <w:t>财政</w:t>
      </w:r>
      <w:r>
        <w:rPr>
          <w:rFonts w:hint="default" w:ascii="仿宋_GB2312" w:eastAsia="仿宋_GB2312"/>
          <w:color w:val="auto"/>
          <w:sz w:val="32"/>
          <w:szCs w:val="32"/>
          <w:lang w:val="en" w:eastAsia="zh-CN"/>
        </w:rPr>
        <w:t>部门</w:t>
      </w:r>
      <w:r>
        <w:rPr>
          <w:rFonts w:hint="default" w:ascii="仿宋_GB2312" w:eastAsia="仿宋_GB2312"/>
          <w:color w:val="auto"/>
          <w:sz w:val="32"/>
          <w:szCs w:val="32"/>
          <w:lang w:val="en-US" w:eastAsia="zh-CN"/>
        </w:rPr>
        <w:t>安排的</w:t>
      </w:r>
      <w:r>
        <w:rPr>
          <w:rFonts w:hint="eastAsia" w:ascii="仿宋_GB2312" w:eastAsia="仿宋_GB2312"/>
          <w:color w:val="auto"/>
          <w:sz w:val="32"/>
          <w:szCs w:val="32"/>
          <w:lang w:val="en-US" w:eastAsia="zh-CN"/>
        </w:rPr>
        <w:t>行政单</w:t>
      </w:r>
      <w:r>
        <w:rPr>
          <w:rFonts w:hint="eastAsia" w:ascii="仿宋_GB2312" w:eastAsia="仿宋_GB2312"/>
          <w:color w:val="auto"/>
          <w:sz w:val="32"/>
          <w:szCs w:val="32"/>
          <w:lang w:eastAsia="zh-CN"/>
        </w:rPr>
        <w:t>位基本医疗保险缴费经费。</w:t>
      </w:r>
    </w:p>
    <w:p>
      <w:pPr>
        <w:pStyle w:val="19"/>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16.卫生健康支出（类）行政事业单位医疗（款）公务员医疗补助（项）:</w:t>
      </w:r>
      <w:r>
        <w:rPr>
          <w:rFonts w:hint="default" w:ascii="仿宋_GB2312" w:eastAsia="仿宋_GB2312"/>
          <w:color w:val="auto"/>
          <w:sz w:val="32"/>
          <w:szCs w:val="32"/>
          <w:lang w:val="en-US" w:eastAsia="zh-CN"/>
        </w:rPr>
        <w:t>指反映财政</w:t>
      </w:r>
      <w:r>
        <w:rPr>
          <w:rFonts w:hint="default" w:ascii="仿宋_GB2312" w:eastAsia="仿宋_GB2312"/>
          <w:color w:val="auto"/>
          <w:sz w:val="32"/>
          <w:szCs w:val="32"/>
          <w:lang w:val="en" w:eastAsia="zh-CN"/>
        </w:rPr>
        <w:t>部门</w:t>
      </w:r>
      <w:r>
        <w:rPr>
          <w:rFonts w:hint="default" w:ascii="仿宋_GB2312" w:eastAsia="仿宋_GB2312"/>
          <w:color w:val="auto"/>
          <w:sz w:val="32"/>
          <w:szCs w:val="32"/>
          <w:lang w:val="en-US" w:eastAsia="zh-CN"/>
        </w:rPr>
        <w:t>安排的公务员医疗补助经费。</w:t>
      </w:r>
    </w:p>
    <w:p>
      <w:pPr>
        <w:pStyle w:val="1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.基本支出：指为保障机构正常运转、完成日常工作任务而发生的人员支出和公用支出。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pStyle w:val="19"/>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eastAsia="仿宋_GB2312"/>
          <w:color w:val="auto"/>
          <w:sz w:val="32"/>
          <w:szCs w:val="32"/>
          <w:lang w:eastAsia="zh-CN"/>
        </w:rPr>
        <w:t>。</w:t>
      </w: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ind w:firstLine="640" w:firstLineChars="200"/>
        <w:rPr>
          <w:rFonts w:hint="eastAsia" w:ascii="仿宋_GB2312" w:eastAsia="仿宋_GB2312"/>
          <w:color w:val="auto"/>
          <w:sz w:val="32"/>
          <w:szCs w:val="32"/>
          <w:lang w:eastAsia="zh-CN"/>
        </w:rPr>
      </w:pPr>
    </w:p>
    <w:p>
      <w:pPr>
        <w:pStyle w:val="19"/>
        <w:spacing w:line="560" w:lineRule="exact"/>
        <w:rPr>
          <w:rFonts w:hint="eastAsia" w:ascii="仿宋_GB2312" w:eastAsia="仿宋_GB2312"/>
          <w:color w:val="auto"/>
          <w:sz w:val="32"/>
          <w:szCs w:val="32"/>
          <w:lang w:eastAsia="zh-CN"/>
        </w:rPr>
      </w:pPr>
    </w:p>
    <w:p>
      <w:pPr>
        <w:spacing w:line="600" w:lineRule="exact"/>
        <w:jc w:val="center"/>
        <w:outlineLvl w:val="0"/>
        <w:rPr>
          <w:rStyle w:val="29"/>
          <w:rFonts w:hint="eastAsia" w:ascii="黑体" w:hAnsi="黑体" w:eastAsia="黑体"/>
          <w:b w:val="0"/>
          <w:color w:val="auto"/>
        </w:rPr>
      </w:pPr>
      <w:bookmarkStart w:id="52" w:name="_Toc15396614"/>
      <w:bookmarkStart w:id="53" w:name="_Toc15377226"/>
      <w:r>
        <w:rPr>
          <w:rFonts w:hint="eastAsia" w:ascii="黑体" w:hAnsi="黑体" w:eastAsia="黑体"/>
          <w:color w:val="auto"/>
          <w:sz w:val="44"/>
          <w:szCs w:val="44"/>
        </w:rPr>
        <w:t>第</w:t>
      </w:r>
      <w:r>
        <w:rPr>
          <w:rStyle w:val="29"/>
          <w:rFonts w:hint="eastAsia" w:ascii="黑体" w:hAnsi="黑体" w:eastAsia="黑体"/>
          <w:b w:val="0"/>
          <w:color w:val="auto"/>
        </w:rPr>
        <w:t>四部分 附件</w:t>
      </w:r>
      <w:bookmarkEnd w:id="52"/>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8"/>
        <w:gridCol w:w="861"/>
        <w:gridCol w:w="621"/>
        <w:gridCol w:w="783"/>
        <w:gridCol w:w="8"/>
        <w:gridCol w:w="13"/>
        <w:gridCol w:w="375"/>
        <w:gridCol w:w="9"/>
        <w:gridCol w:w="12"/>
        <w:gridCol w:w="645"/>
        <w:gridCol w:w="6"/>
        <w:gridCol w:w="15"/>
        <w:gridCol w:w="375"/>
        <w:gridCol w:w="17"/>
        <w:gridCol w:w="19"/>
        <w:gridCol w:w="825"/>
        <w:gridCol w:w="19"/>
        <w:gridCol w:w="30"/>
        <w:gridCol w:w="449"/>
        <w:gridCol w:w="13"/>
        <w:gridCol w:w="24"/>
        <w:gridCol w:w="486"/>
        <w:gridCol w:w="4"/>
        <w:gridCol w:w="4"/>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4"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bookmarkStart w:id="54" w:name="_Toc873667258_WPSOffice_Level2"/>
            <w:r>
              <w:rPr>
                <w:rFonts w:hint="default"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6"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auto"/>
                <w:kern w:val="0"/>
                <w:sz w:val="18"/>
                <w:szCs w:val="18"/>
                <w:u w:val="none"/>
                <w:lang w:val="en-US" w:eastAsia="zh-CN" w:bidi="ar"/>
              </w:rPr>
              <w:t>51160022T000000342141-广安市高中考试工作经费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2"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16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广安市教育和体育局部门</w:t>
            </w:r>
          </w:p>
        </w:tc>
        <w:tc>
          <w:tcPr>
            <w:tcW w:w="407"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实施单位 （盖章）</w:t>
            </w:r>
          </w:p>
        </w:tc>
        <w:tc>
          <w:tcPr>
            <w:tcW w:w="155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16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08"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完成我市每年的高中教学质量监测工作，为我市的教育教学问诊把脉</w:t>
            </w:r>
          </w:p>
        </w:tc>
        <w:tc>
          <w:tcPr>
            <w:tcW w:w="19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3"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顺利开展高一、高二期末考试，高三一诊、二诊考试等相关质量检测工作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1"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66.50</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73.89%</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color w:val="000000"/>
                <w:sz w:val="18"/>
                <w:szCs w:val="18"/>
                <w:u w:val="none"/>
              </w:rPr>
            </w:pPr>
            <w:r>
              <w:rPr>
                <w:rFonts w:hint="default" w:ascii="simhei" w:hAnsi="simhei" w:eastAsia="simhei" w:cs="simhei"/>
                <w:i/>
                <w:color w:val="000000"/>
                <w:kern w:val="0"/>
                <w:sz w:val="18"/>
                <w:szCs w:val="18"/>
                <w:u w:val="none"/>
                <w:lang w:val="en-US" w:eastAsia="zh-CN" w:bidi="ar"/>
              </w:rPr>
              <w:t>受疫情影响，小部分工作发生滞后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66.50</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73.89%</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2"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试卷、试题</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3万余高中毕业生</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人/户</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30000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家</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30000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34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顺利完成我市2022年的高中教学质量监测工作，开展了高一、高二期末考试，高三一诊、二诊考试等相关质量检测，为我市的教育教学问诊把脉。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2"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因受疫情影响，是使小部分工作发生了滞后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3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将科学制定预算编制，加大预算执行力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6" w:hRule="atLeast"/>
        </w:trPr>
        <w:tc>
          <w:tcPr>
            <w:tcW w:w="241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项目负责人：肖延安</w:t>
            </w:r>
          </w:p>
        </w:tc>
        <w:tc>
          <w:tcPr>
            <w:tcW w:w="2583"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财务负责人：赵燕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805" w:type="pct"/>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37" w:type="pct"/>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374" w:type="pct"/>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12" w:type="pct"/>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86"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434"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84"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407"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31"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52" w:type="pct"/>
            <w:gridSpan w:val="5"/>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072" w:type="pct"/>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4"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6"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51160022T000000342167-教育科研工作经费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2"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16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广安市教育和体育局部门</w:t>
            </w:r>
          </w:p>
        </w:tc>
        <w:tc>
          <w:tcPr>
            <w:tcW w:w="407"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实施单位 （盖章）</w:t>
            </w:r>
          </w:p>
        </w:tc>
        <w:tc>
          <w:tcPr>
            <w:tcW w:w="155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16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08"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教育科研工作为我市各学段、各类学校的教育提高指导培训并进行应用推广。</w:t>
            </w:r>
          </w:p>
        </w:tc>
        <w:tc>
          <w:tcPr>
            <w:tcW w:w="19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3"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顺利开展了个学段、各类学校的教育提高指导及培训，进行了优秀科研成果的应用和推广。因受疫情影响，大多活动采用线上培训和评比。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1"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0.66</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color w:val="000000"/>
                <w:sz w:val="18"/>
                <w:szCs w:val="18"/>
                <w:u w:val="none"/>
              </w:rPr>
            </w:pPr>
            <w:r>
              <w:rPr>
                <w:rFonts w:hint="default" w:ascii="simhei" w:hAnsi="simhei" w:eastAsia="simhei" w:cs="simhei"/>
                <w:i/>
                <w:color w:val="000000"/>
                <w:kern w:val="0"/>
                <w:sz w:val="18"/>
                <w:szCs w:val="18"/>
                <w:u w:val="none"/>
                <w:lang w:val="en-US" w:eastAsia="zh-CN" w:bidi="ar"/>
              </w:rPr>
              <w:t>因受疫情影响，大多活动采用线上培训和评比，线下活动开展较少，所以预算值行率较低。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0.66</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2"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1-3年</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3</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让教师满意</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5</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学校</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所</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120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34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顺利开展了个学段、各类学校的教育提高指导及培训，进行了优秀科研成果的应用和推广。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2"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因受疫情影响，大多活动采用线上培训和评比，线下活动开展较少，所以预算值行率较低。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增加线下活动的开展，提升教育科研效果。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6" w:hRule="atLeast"/>
        </w:trPr>
        <w:tc>
          <w:tcPr>
            <w:tcW w:w="241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项目负责人：杨秀成</w:t>
            </w:r>
          </w:p>
        </w:tc>
        <w:tc>
          <w:tcPr>
            <w:tcW w:w="2583"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财务负责人：赵燕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4"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6"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auto"/>
                <w:kern w:val="0"/>
                <w:sz w:val="18"/>
                <w:szCs w:val="18"/>
                <w:u w:val="none"/>
                <w:lang w:val="en-US" w:eastAsia="zh-CN" w:bidi="ar"/>
              </w:rPr>
              <w:t>51160022T000006535464-学前教育经费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2"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16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广安市教育和体育局部门</w:t>
            </w:r>
          </w:p>
        </w:tc>
        <w:tc>
          <w:tcPr>
            <w:tcW w:w="407"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实施单位 （盖章）</w:t>
            </w:r>
          </w:p>
        </w:tc>
        <w:tc>
          <w:tcPr>
            <w:tcW w:w="155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16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08"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9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再版中班1.5万册，大班3.9万册    幼儿用书   </w:t>
            </w:r>
          </w:p>
        </w:tc>
        <w:tc>
          <w:tcPr>
            <w:tcW w:w="19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3"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《童梦中国，爱在广安》中班、大班幼儿用书再版。中班1.5万册，大班3.9万册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1"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15.35</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15.35</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color w:val="000000"/>
                <w:sz w:val="18"/>
                <w:szCs w:val="18"/>
                <w:u w:val="none"/>
              </w:rPr>
            </w:pPr>
            <w:r>
              <w:rPr>
                <w:rFonts w:hint="default" w:ascii="simhei" w:hAnsi="simhei" w:eastAsia="simhei" w:cs="simhei"/>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15.35</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15.35</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8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2"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高质量完成</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按时完成</w:t>
            </w:r>
          </w:p>
        </w:tc>
        <w:tc>
          <w:tcPr>
            <w:tcW w:w="1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w:t>
            </w:r>
          </w:p>
        </w:tc>
        <w:tc>
          <w:tcPr>
            <w:tcW w:w="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万册</w:t>
            </w:r>
          </w:p>
        </w:tc>
        <w:tc>
          <w:tcPr>
            <w:tcW w:w="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34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圆满完成《童梦中国，爱在广安》中班、大班幼儿用书再版。中班1.5万册，大班3.9万册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2"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241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项目负责人：肖春红</w:t>
            </w:r>
          </w:p>
        </w:tc>
        <w:tc>
          <w:tcPr>
            <w:tcW w:w="2583"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财务负责人：赵燕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4"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6"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auto"/>
                <w:kern w:val="0"/>
                <w:sz w:val="18"/>
                <w:szCs w:val="18"/>
                <w:u w:val="none"/>
                <w:lang w:val="en-US" w:eastAsia="zh-CN" w:bidi="ar"/>
              </w:rPr>
              <w:t>51160022T000006885257-特级教师奖励金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2"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170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广安市教育和体育局部门</w:t>
            </w:r>
          </w:p>
        </w:tc>
        <w:tc>
          <w:tcPr>
            <w:tcW w:w="408"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实施单位 （盖章）</w:t>
            </w:r>
          </w:p>
        </w:tc>
        <w:tc>
          <w:tcPr>
            <w:tcW w:w="154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170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08"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0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w:t>
            </w:r>
          </w:p>
        </w:tc>
        <w:tc>
          <w:tcPr>
            <w:tcW w:w="19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3"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1"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07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color w:val="000000"/>
                <w:sz w:val="18"/>
                <w:szCs w:val="18"/>
                <w:u w:val="none"/>
              </w:rPr>
            </w:pPr>
            <w:r>
              <w:rPr>
                <w:rFonts w:hint="default" w:ascii="simhei" w:hAnsi="simhei" w:eastAsia="simhei" w:cs="simhei"/>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2"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足额发放</w:t>
            </w:r>
          </w:p>
        </w:tc>
        <w:tc>
          <w:tcPr>
            <w:tcW w:w="1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3453"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按时发放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2"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242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项目负责人：汤梓婧</w:t>
            </w:r>
          </w:p>
        </w:tc>
        <w:tc>
          <w:tcPr>
            <w:tcW w:w="257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财务负责人：赵燕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805" w:type="pct"/>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37" w:type="pct"/>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374" w:type="pct"/>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516" w:type="pct"/>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87"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432"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88"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408"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29"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241" w:type="pct"/>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c>
          <w:tcPr>
            <w:tcW w:w="1076" w:type="pct"/>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4"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6"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auto"/>
                <w:kern w:val="0"/>
                <w:sz w:val="18"/>
                <w:szCs w:val="18"/>
                <w:u w:val="none"/>
                <w:lang w:val="en-US" w:eastAsia="zh-CN" w:bidi="ar"/>
              </w:rPr>
              <w:t>51160022T000006931223-千名英才存行活动工作经费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2"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170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广安市教育和体育局部门</w:t>
            </w:r>
          </w:p>
        </w:tc>
        <w:tc>
          <w:tcPr>
            <w:tcW w:w="408"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实施单位 （盖章）</w:t>
            </w:r>
          </w:p>
        </w:tc>
        <w:tc>
          <w:tcPr>
            <w:tcW w:w="154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170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08"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0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开展了相关活动</w:t>
            </w:r>
          </w:p>
        </w:tc>
        <w:tc>
          <w:tcPr>
            <w:tcW w:w="19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开展了部分活动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3"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到部分学校开展了相关活动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1"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0.11</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18.63%</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07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color w:val="000000"/>
                <w:sz w:val="18"/>
                <w:szCs w:val="18"/>
                <w:u w:val="none"/>
              </w:rPr>
            </w:pPr>
            <w:r>
              <w:rPr>
                <w:rFonts w:hint="default" w:ascii="simhei" w:hAnsi="simhei" w:eastAsia="simhei" w:cs="simhei"/>
                <w:i/>
                <w:color w:val="000000"/>
                <w:kern w:val="0"/>
                <w:sz w:val="18"/>
                <w:szCs w:val="18"/>
                <w:u w:val="none"/>
                <w:lang w:val="en-US" w:eastAsia="zh-CN" w:bidi="ar"/>
              </w:rPr>
              <w:t>因受疫情影响，活动开展较少。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0.11</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18.63%</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8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2"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学校满意</w:t>
            </w:r>
          </w:p>
        </w:tc>
        <w:tc>
          <w:tcPr>
            <w:tcW w:w="1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4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3453"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到部分学校开展了相关活动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2"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因受疫情影响，活动开展较少。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加大工作推进力度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242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项目负责人：杨秀成</w:t>
            </w:r>
          </w:p>
        </w:tc>
        <w:tc>
          <w:tcPr>
            <w:tcW w:w="257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财务负责人：赵燕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4"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6"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auto"/>
                <w:kern w:val="0"/>
                <w:sz w:val="18"/>
                <w:szCs w:val="18"/>
                <w:u w:val="none"/>
                <w:lang w:val="en-US" w:eastAsia="zh-CN" w:bidi="ar"/>
              </w:rPr>
              <w:t>51160022T000007121609-机关事业单位一次性退休补贴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2" w:hRule="atLeast"/>
        </w:trPr>
        <w:tc>
          <w:tcPr>
            <w:tcW w:w="13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170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广安市教育和体育局部门</w:t>
            </w:r>
          </w:p>
        </w:tc>
        <w:tc>
          <w:tcPr>
            <w:tcW w:w="413"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实施单位 （盖章）</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广安市教育科学研究所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170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08"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0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圆满完成</w:t>
            </w:r>
          </w:p>
        </w:tc>
        <w:tc>
          <w:tcPr>
            <w:tcW w:w="194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3"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365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圆满完成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1"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81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4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w:t>
            </w:r>
          </w:p>
        </w:tc>
        <w:tc>
          <w:tcPr>
            <w:tcW w:w="81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w:t>
            </w:r>
          </w:p>
        </w:tc>
        <w:tc>
          <w:tcPr>
            <w:tcW w:w="4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08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color w:val="000000"/>
                <w:sz w:val="18"/>
                <w:szCs w:val="18"/>
                <w:u w:val="none"/>
              </w:rPr>
            </w:pPr>
            <w:r>
              <w:rPr>
                <w:rFonts w:hint="default" w:ascii="simhei" w:hAnsi="simhei" w:eastAsia="simhei" w:cs="simhei"/>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w:t>
            </w:r>
          </w:p>
        </w:tc>
        <w:tc>
          <w:tcPr>
            <w:tcW w:w="81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w:t>
            </w:r>
          </w:p>
        </w:tc>
        <w:tc>
          <w:tcPr>
            <w:tcW w:w="4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7"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1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2"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1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81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4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c>
          <w:tcPr>
            <w:tcW w:w="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2" w:hRule="atLeast"/>
        </w:trPr>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4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4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9" w:hRule="atLeast"/>
        </w:trPr>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w:t>
            </w:r>
          </w:p>
        </w:tc>
        <w:tc>
          <w:tcPr>
            <w:tcW w:w="1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4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3465"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2"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3" w:hRule="atLeast"/>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194"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6" w:hRule="atLeast"/>
        </w:trPr>
        <w:tc>
          <w:tcPr>
            <w:tcW w:w="24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项目负责人：汤梓婧</w:t>
            </w:r>
          </w:p>
        </w:tc>
        <w:tc>
          <w:tcPr>
            <w:tcW w:w="256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lang w:val="en-US" w:eastAsia="zh-CN" w:bidi="ar"/>
              </w:rPr>
              <w:t>财务负责人：赵燕</w:t>
            </w:r>
          </w:p>
        </w:tc>
      </w:tr>
    </w:tbl>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88"/>
        <w:gridCol w:w="912"/>
        <w:gridCol w:w="760"/>
        <w:gridCol w:w="1021"/>
        <w:gridCol w:w="396"/>
        <w:gridCol w:w="707"/>
        <w:gridCol w:w="396"/>
        <w:gridCol w:w="771"/>
        <w:gridCol w:w="486"/>
        <w:gridCol w:w="396"/>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286" w:hRule="atLeast"/>
        </w:trPr>
        <w:tc>
          <w:tcPr>
            <w:tcW w:w="146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项目名称</w:t>
            </w:r>
          </w:p>
        </w:tc>
        <w:tc>
          <w:tcPr>
            <w:tcW w:w="3534"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51160022T000005554506-2021年广安市名师名校长工作室补助经费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512" w:hRule="atLeast"/>
        </w:trPr>
        <w:tc>
          <w:tcPr>
            <w:tcW w:w="146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主管部门</w:t>
            </w:r>
          </w:p>
        </w:tc>
        <w:tc>
          <w:tcPr>
            <w:tcW w:w="195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广安市教育和体育局部门</w:t>
            </w:r>
          </w:p>
        </w:tc>
        <w:tc>
          <w:tcPr>
            <w:tcW w:w="397" w:type="pct"/>
            <w:tcBorders>
              <w:top w:val="nil"/>
              <w:left w:val="nil"/>
              <w:bottom w:val="nil"/>
              <w:right w:val="nil"/>
            </w:tcBorders>
            <w:shd w:val="clear"/>
            <w:vAlign w:val="center"/>
          </w:tcPr>
          <w:p>
            <w:pPr>
              <w:keepNext w:val="0"/>
              <w:keepLines w:val="0"/>
              <w:widowControl/>
              <w:suppressLineNumbers w:val="0"/>
              <w:jc w:val="left"/>
              <w:textAlignment w:val="center"/>
              <w:rPr>
                <w:rFonts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bdr w:val="none" w:color="auto" w:sz="0" w:space="0"/>
                <w:lang w:val="en-US" w:eastAsia="zh-CN" w:bidi="ar"/>
              </w:rPr>
              <w:t>实施单位 （盖章）</w:t>
            </w:r>
          </w:p>
        </w:tc>
        <w:tc>
          <w:tcPr>
            <w:tcW w:w="118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广安市教育科学研究所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286" w:hRule="atLeast"/>
        </w:trPr>
        <w:tc>
          <w:tcPr>
            <w:tcW w:w="9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项目基本情况</w:t>
            </w:r>
          </w:p>
        </w:tc>
        <w:tc>
          <w:tcPr>
            <w:tcW w:w="5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1.项目年度目标完成情况</w:t>
            </w:r>
          </w:p>
        </w:tc>
        <w:tc>
          <w:tcPr>
            <w:tcW w:w="195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项目年度目标</w:t>
            </w:r>
          </w:p>
        </w:tc>
        <w:tc>
          <w:tcPr>
            <w:tcW w:w="157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708" w:hRule="atLeast"/>
        </w:trPr>
        <w:tc>
          <w:tcPr>
            <w:tcW w:w="902"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95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开展了名师工作室学员及成员的教育科研培训，提升了教育科研能力水平，辐射一批教师</w:t>
            </w:r>
          </w:p>
        </w:tc>
        <w:tc>
          <w:tcPr>
            <w:tcW w:w="1578"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bdr w:val="none" w:color="auto" w:sz="0" w:space="0"/>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693" w:hRule="atLeast"/>
        </w:trPr>
        <w:tc>
          <w:tcPr>
            <w:tcW w:w="902"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2.项目实施内容及过程概述</w:t>
            </w:r>
          </w:p>
        </w:tc>
        <w:tc>
          <w:tcPr>
            <w:tcW w:w="3534"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开展了名师工作室学员及成员的教育科研培训，提升了教育科研能力水平，辐射一批教师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61" w:hRule="atLeast"/>
        </w:trPr>
        <w:tc>
          <w:tcPr>
            <w:tcW w:w="9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预算执行情况（10分）</w:t>
            </w:r>
          </w:p>
        </w:tc>
        <w:tc>
          <w:tcPr>
            <w:tcW w:w="5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年度预算数（万元）</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年初预算</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调整后预算数</w:t>
            </w:r>
          </w:p>
        </w:tc>
        <w:tc>
          <w:tcPr>
            <w:tcW w:w="85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预算执行数</w:t>
            </w:r>
          </w:p>
        </w:tc>
        <w:tc>
          <w:tcPr>
            <w:tcW w:w="3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预算执行率</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87" w:hRule="atLeast"/>
        </w:trPr>
        <w:tc>
          <w:tcPr>
            <w:tcW w:w="9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总额</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7.00</w:t>
            </w:r>
          </w:p>
        </w:tc>
        <w:tc>
          <w:tcPr>
            <w:tcW w:w="85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2.32</w:t>
            </w:r>
          </w:p>
        </w:tc>
        <w:tc>
          <w:tcPr>
            <w:tcW w:w="3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33.14%</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4</w:t>
            </w:r>
          </w:p>
        </w:tc>
        <w:tc>
          <w:tcPr>
            <w:tcW w:w="7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imhei" w:hAnsi="simhei" w:eastAsia="simhei" w:cs="simhei"/>
                <w:i/>
                <w:color w:val="000000"/>
                <w:sz w:val="18"/>
                <w:szCs w:val="18"/>
                <w:u w:val="none"/>
              </w:rPr>
            </w:pPr>
            <w:r>
              <w:rPr>
                <w:rFonts w:hint="default" w:ascii="simhei" w:hAnsi="simhei" w:eastAsia="simhei" w:cs="simhei"/>
                <w:i/>
                <w:color w:val="000000"/>
                <w:kern w:val="0"/>
                <w:sz w:val="18"/>
                <w:szCs w:val="18"/>
                <w:u w:val="none"/>
                <w:bdr w:val="none" w:color="auto" w:sz="0" w:space="0"/>
                <w:lang w:val="en-US" w:eastAsia="zh-CN" w:bidi="ar"/>
              </w:rPr>
              <w:t>因受疫情影响，活动开展较少，大多活动采用线上培训和，线下活动开展较少，所以预算值行率较低。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32" w:hRule="atLeast"/>
        </w:trPr>
        <w:tc>
          <w:tcPr>
            <w:tcW w:w="9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其中：财政资金</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7.00</w:t>
            </w:r>
          </w:p>
        </w:tc>
        <w:tc>
          <w:tcPr>
            <w:tcW w:w="85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2.32</w:t>
            </w:r>
          </w:p>
        </w:tc>
        <w:tc>
          <w:tcPr>
            <w:tcW w:w="3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33.14%</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47" w:hRule="atLeast"/>
        </w:trPr>
        <w:tc>
          <w:tcPr>
            <w:tcW w:w="9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财政专户管理资金</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85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3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02" w:hRule="atLeast"/>
        </w:trPr>
        <w:tc>
          <w:tcPr>
            <w:tcW w:w="9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单位资金</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85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3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79" w:hRule="atLeast"/>
        </w:trPr>
        <w:tc>
          <w:tcPr>
            <w:tcW w:w="9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其他资金</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color w:val="000000"/>
                <w:sz w:val="16"/>
                <w:szCs w:val="16"/>
                <w:u w:val="none"/>
              </w:rPr>
            </w:pP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854"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39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2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725"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52" w:hRule="atLeast"/>
        </w:trPr>
        <w:tc>
          <w:tcPr>
            <w:tcW w:w="9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绩效指标（90分）</w:t>
            </w:r>
          </w:p>
        </w:tc>
        <w:tc>
          <w:tcPr>
            <w:tcW w:w="5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一级指标</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二级指标</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三级指标</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度量单位</w:t>
            </w:r>
          </w:p>
        </w:tc>
        <w:tc>
          <w:tcPr>
            <w:tcW w:w="3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完成值</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得分</w:t>
            </w: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339" w:hRule="atLeast"/>
        </w:trPr>
        <w:tc>
          <w:tcPr>
            <w:tcW w:w="9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满意度指标</w:t>
            </w:r>
          </w:p>
        </w:tc>
        <w:tc>
          <w:tcPr>
            <w:tcW w:w="4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学员及成员满意</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学校满意</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50</w:t>
            </w:r>
          </w:p>
        </w:tc>
        <w:tc>
          <w:tcPr>
            <w:tcW w:w="2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人</w:t>
            </w:r>
          </w:p>
        </w:tc>
        <w:tc>
          <w:tcPr>
            <w:tcW w:w="39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bdr w:val="none" w:color="auto" w:sz="0" w:space="0"/>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90</w:t>
            </w: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286" w:hRule="atLeast"/>
        </w:trPr>
        <w:tc>
          <w:tcPr>
            <w:tcW w:w="381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合计</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94</w:t>
            </w: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603" w:hRule="atLeast"/>
        </w:trPr>
        <w:tc>
          <w:tcPr>
            <w:tcW w:w="9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评价结论</w:t>
            </w:r>
          </w:p>
        </w:tc>
        <w:tc>
          <w:tcPr>
            <w:tcW w:w="4097"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bdr w:val="none" w:color="auto" w:sz="0" w:space="0"/>
                <w:lang w:val="en-US" w:eastAsia="zh-CN" w:bidi="ar"/>
              </w:rPr>
              <w:t>开展了名师工作室学员及成员的教育科研培训，提升了教育科研能力水平，辐射一批教师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572" w:hRule="atLeast"/>
        </w:trPr>
        <w:tc>
          <w:tcPr>
            <w:tcW w:w="9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存在问题</w:t>
            </w:r>
          </w:p>
        </w:tc>
        <w:tc>
          <w:tcPr>
            <w:tcW w:w="4097"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bdr w:val="none" w:color="auto" w:sz="0" w:space="0"/>
                <w:lang w:val="en-US" w:eastAsia="zh-CN" w:bidi="ar"/>
              </w:rPr>
              <w:t>因受疫情影响，活动开展较少，大多活动采用线上培训和，线下活动开展较少，所以预算值行率较低。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633" w:hRule="atLeast"/>
        </w:trPr>
        <w:tc>
          <w:tcPr>
            <w:tcW w:w="9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改进措施</w:t>
            </w:r>
          </w:p>
        </w:tc>
        <w:tc>
          <w:tcPr>
            <w:tcW w:w="4097"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bdr w:val="none" w:color="auto" w:sz="0" w:space="0"/>
                <w:lang w:val="en-US" w:eastAsia="zh-CN" w:bidi="ar"/>
              </w:rPr>
              <w:t>加大工作室学员及成员的培训与能力提升，多开展些线下活动。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286" w:hRule="atLeast"/>
        </w:trPr>
        <w:tc>
          <w:tcPr>
            <w:tcW w:w="2771"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bdr w:val="none" w:color="auto" w:sz="0" w:space="0"/>
                <w:lang w:val="en-US" w:eastAsia="zh-CN" w:bidi="ar"/>
              </w:rPr>
              <w:t>项目负责人：肖延安</w:t>
            </w:r>
          </w:p>
        </w:tc>
        <w:tc>
          <w:tcPr>
            <w:tcW w:w="2228"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bdr w:val="none" w:color="auto" w:sz="0" w:space="0"/>
                <w:lang w:val="en-US" w:eastAsia="zh-CN" w:bidi="ar"/>
              </w:rPr>
              <w:t>财务负责人：赵燕</w:t>
            </w:r>
          </w:p>
        </w:tc>
      </w:tr>
    </w:tbl>
    <w:p>
      <w:pPr>
        <w:pStyle w:val="2"/>
        <w:rPr>
          <w:rFonts w:hint="eastAsia"/>
          <w:lang w:val="en-US"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1073"/>
        <w:gridCol w:w="905"/>
        <w:gridCol w:w="1200"/>
        <w:gridCol w:w="396"/>
        <w:gridCol w:w="848"/>
        <w:gridCol w:w="396"/>
        <w:gridCol w:w="681"/>
        <w:gridCol w:w="531"/>
        <w:gridCol w:w="531"/>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default" w:ascii="黑体" w:hAnsi="宋体" w:eastAsia="黑体" w:cs="黑体"/>
                <w:b/>
                <w:i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96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项目名称</w:t>
            </w:r>
          </w:p>
        </w:tc>
        <w:tc>
          <w:tcPr>
            <w:tcW w:w="4032"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51160022R000005589323-年度绩效目标奖（事业）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主管部门</w:t>
            </w:r>
          </w:p>
        </w:tc>
        <w:tc>
          <w:tcPr>
            <w:tcW w:w="239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广安市教育和体育局部门</w:t>
            </w:r>
          </w:p>
        </w:tc>
        <w:tc>
          <w:tcPr>
            <w:tcW w:w="386" w:type="pct"/>
            <w:tcBorders>
              <w:top w:val="nil"/>
              <w:left w:val="nil"/>
              <w:bottom w:val="nil"/>
              <w:right w:val="nil"/>
            </w:tcBorders>
            <w:shd w:val="clear"/>
            <w:vAlign w:val="center"/>
          </w:tcPr>
          <w:p>
            <w:pPr>
              <w:keepNext w:val="0"/>
              <w:keepLines w:val="0"/>
              <w:widowControl/>
              <w:suppressLineNumbers w:val="0"/>
              <w:jc w:val="left"/>
              <w:textAlignment w:val="center"/>
              <w:rPr>
                <w:rFonts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bdr w:val="none" w:color="auto" w:sz="0" w:space="0"/>
                <w:lang w:val="en-US" w:eastAsia="zh-CN" w:bidi="ar"/>
              </w:rPr>
              <w:t>实施单位 （盖章）</w:t>
            </w:r>
          </w:p>
        </w:tc>
        <w:tc>
          <w:tcPr>
            <w:tcW w:w="1255"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广安市教育科学研究所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项目基本情况</w:t>
            </w:r>
          </w:p>
        </w:tc>
        <w:tc>
          <w:tcPr>
            <w:tcW w:w="7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1.项目年度目标完成情况</w:t>
            </w:r>
          </w:p>
        </w:tc>
        <w:tc>
          <w:tcPr>
            <w:tcW w:w="239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项目年度目标</w:t>
            </w:r>
          </w:p>
        </w:tc>
        <w:tc>
          <w:tcPr>
            <w:tcW w:w="1641"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9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严格执行相关政策，保障工资及时发放、足额发放，预算编制科学合理，减少结余资金</w:t>
            </w:r>
          </w:p>
        </w:tc>
        <w:tc>
          <w:tcPr>
            <w:tcW w:w="1641"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eastAsia" w:ascii="simhei" w:hAnsi="simhei" w:eastAsia="simhei" w:cs="simhei"/>
                <w:i w:val="0"/>
                <w:color w:val="000000"/>
                <w:kern w:val="0"/>
                <w:sz w:val="18"/>
                <w:szCs w:val="18"/>
                <w:u w:val="none"/>
                <w:bdr w:val="none" w:color="auto" w:sz="0" w:space="0"/>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2.项目实施内容及过程概述</w:t>
            </w:r>
          </w:p>
        </w:tc>
        <w:tc>
          <w:tcPr>
            <w:tcW w:w="4032" w:type="pct"/>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预算执行情况（10分）</w:t>
            </w: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调整后预算数</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预算执行率</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bdr w:val="none" w:color="auto" w:sz="0" w:space="0"/>
                <w:lang w:val="en-US" w:eastAsia="zh-CN" w:bidi="ar"/>
              </w:rPr>
              <w:t>35.21</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35.21</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r>
              <w:rPr>
                <w:rFonts w:ascii="宋体" w:hAnsi="宋体" w:eastAsia="宋体" w:cs="宋体"/>
                <w:i w:val="0"/>
                <w:color w:val="000000"/>
                <w:kern w:val="0"/>
                <w:sz w:val="18"/>
                <w:szCs w:val="18"/>
                <w:u w:val="none"/>
                <w:bdr w:val="none" w:color="auto" w:sz="0" w:space="0"/>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9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imhei" w:hAnsi="simhei" w:eastAsia="simhei" w:cs="simhei"/>
                <w:i/>
                <w:color w:val="000000"/>
                <w:sz w:val="18"/>
                <w:szCs w:val="18"/>
                <w:u w:val="none"/>
              </w:rPr>
            </w:pPr>
            <w:r>
              <w:rPr>
                <w:rFonts w:hint="default" w:ascii="simhei" w:hAnsi="simhei" w:eastAsia="simhei" w:cs="simhei"/>
                <w:i/>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35.21</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35.21</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r>
              <w:rPr>
                <w:rFonts w:ascii="宋体" w:hAnsi="宋体" w:eastAsia="宋体" w:cs="宋体"/>
                <w:i w:val="0"/>
                <w:color w:val="000000"/>
                <w:kern w:val="0"/>
                <w:sz w:val="18"/>
                <w:szCs w:val="18"/>
                <w:u w:val="none"/>
                <w:bdr w:val="none" w:color="auto" w:sz="0" w:space="0"/>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财政专户管理资金</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simhei" w:hAnsi="simhei" w:eastAsia="simhei" w:cs="simhei"/>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绩效指标（90分）</w:t>
            </w: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指标性质</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完成值</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产出指标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时效指标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按时发放率</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经济效益指标</w:t>
            </w:r>
          </w:p>
        </w:tc>
        <w:tc>
          <w:tcPr>
            <w:tcW w:w="8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结余率（计算方法为：结余数/预算数）</w:t>
            </w:r>
          </w:p>
        </w:tc>
        <w:tc>
          <w:tcPr>
            <w:tcW w:w="18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22.5</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22.5</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44"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合计</w:t>
            </w:r>
          </w:p>
        </w:tc>
        <w:tc>
          <w:tcPr>
            <w:tcW w:w="1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90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bdr w:val="none" w:color="auto" w:sz="0" w:space="0"/>
                <w:lang w:val="en-US" w:eastAsia="zh-CN" w:bidi="ar"/>
              </w:rPr>
              <w:t>按要求完成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9"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bdr w:val="none" w:color="auto" w:sz="0" w:space="0"/>
                <w:lang w:val="en-US" w:eastAsia="zh-CN" w:bidi="ar"/>
              </w:rPr>
              <w:t>项目负责人：</w:t>
            </w:r>
            <w:r>
              <w:rPr>
                <w:rFonts w:hint="eastAsia" w:ascii="simhei" w:hAnsi="simhei" w:eastAsia="simhei" w:cs="simhei"/>
                <w:i w:val="0"/>
                <w:color w:val="000000"/>
                <w:kern w:val="0"/>
                <w:sz w:val="18"/>
                <w:szCs w:val="18"/>
                <w:u w:val="none"/>
                <w:bdr w:val="none" w:color="auto" w:sz="0" w:space="0"/>
                <w:lang w:val="en-US" w:eastAsia="zh-CN" w:bidi="ar"/>
              </w:rPr>
              <w:t>赵燕</w:t>
            </w:r>
          </w:p>
        </w:tc>
        <w:tc>
          <w:tcPr>
            <w:tcW w:w="2420"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simhei" w:hAnsi="simhei" w:eastAsia="simhei" w:cs="simhei"/>
                <w:i w:val="0"/>
                <w:color w:val="000000"/>
                <w:sz w:val="18"/>
                <w:szCs w:val="18"/>
                <w:u w:val="none"/>
              </w:rPr>
            </w:pPr>
            <w:r>
              <w:rPr>
                <w:rFonts w:hint="default" w:ascii="simhei" w:hAnsi="simhei" w:eastAsia="simhei" w:cs="simhei"/>
                <w:i w:val="0"/>
                <w:color w:val="000000"/>
                <w:kern w:val="0"/>
                <w:sz w:val="18"/>
                <w:szCs w:val="18"/>
                <w:u w:val="none"/>
                <w:bdr w:val="none" w:color="auto" w:sz="0" w:space="0"/>
                <w:lang w:val="en-US" w:eastAsia="zh-CN" w:bidi="ar"/>
              </w:rPr>
              <w:t>财务负责人：</w:t>
            </w:r>
            <w:r>
              <w:rPr>
                <w:rFonts w:hint="eastAsia" w:ascii="simhei" w:hAnsi="simhei" w:eastAsia="simhei" w:cs="simhei"/>
                <w:i w:val="0"/>
                <w:color w:val="000000"/>
                <w:kern w:val="0"/>
                <w:sz w:val="18"/>
                <w:szCs w:val="18"/>
                <w:u w:val="none"/>
                <w:bdr w:val="none" w:color="auto" w:sz="0" w:space="0"/>
                <w:lang w:val="en-US" w:eastAsia="zh-CN" w:bidi="ar"/>
              </w:rPr>
              <w:t>杨秀成</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bookmarkEnd w:id="54"/>
    <w:p>
      <w:pPr>
        <w:spacing w:line="600" w:lineRule="exact"/>
        <w:jc w:val="center"/>
        <w:outlineLvl w:val="0"/>
        <w:rPr>
          <w:rStyle w:val="29"/>
          <w:rFonts w:ascii="黑体" w:hAnsi="黑体" w:eastAsia="黑体"/>
          <w:b w:val="0"/>
          <w:color w:val="auto"/>
        </w:rPr>
      </w:pPr>
      <w:bookmarkStart w:id="55" w:name="_Toc15396618"/>
      <w:r>
        <w:rPr>
          <w:rFonts w:hint="eastAsia" w:ascii="黑体" w:hAnsi="黑体" w:eastAsia="黑体"/>
          <w:color w:val="auto"/>
          <w:sz w:val="44"/>
          <w:szCs w:val="44"/>
        </w:rPr>
        <w:t>第</w:t>
      </w:r>
      <w:r>
        <w:rPr>
          <w:rStyle w:val="29"/>
          <w:rFonts w:hint="eastAsia" w:ascii="黑体" w:hAnsi="黑体" w:eastAsia="黑体"/>
          <w:b w:val="0"/>
          <w:color w:val="auto"/>
        </w:rPr>
        <w:t>五部分 附表</w:t>
      </w:r>
      <w:bookmarkEnd w:id="53"/>
      <w:bookmarkEnd w:id="55"/>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一、收入支出决算总表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二、收入决算表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三、支出决算表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四、财政拨款收入支出决算总表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五、财政拨款支出决算明细表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六、一般公共预算财政拨款支出决算表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七、一般公共预算财政拨款支出决算明细表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八、一般公共预算财政拨款基本支出决算</w:t>
      </w:r>
      <w:r>
        <w:rPr>
          <w:rFonts w:hint="eastAsia" w:ascii="方正仿宋_GBK" w:hAnsi="方正仿宋_GBK" w:eastAsia="方正仿宋_GBK" w:cs="方正仿宋_GBK"/>
          <w:color w:val="auto"/>
          <w:sz w:val="32"/>
          <w:szCs w:val="32"/>
          <w:lang w:eastAsia="zh-CN"/>
        </w:rPr>
        <w:t>明细</w:t>
      </w:r>
      <w:r>
        <w:rPr>
          <w:rFonts w:hint="eastAsia" w:ascii="方正仿宋_GBK" w:hAnsi="方正仿宋_GBK" w:eastAsia="方正仿宋_GBK" w:cs="方正仿宋_GBK"/>
          <w:color w:val="auto"/>
          <w:sz w:val="32"/>
          <w:szCs w:val="32"/>
        </w:rPr>
        <w:t>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九、一般公共预算财政拨款项目支出决算表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十、政府性基金预算财政拨款收入支出决算表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、国有资本经营预算财政拨款收入支出决算表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、国有资本经营预算财政拨款支出决算表</w:t>
      </w:r>
    </w:p>
    <w:p>
      <w:pPr>
        <w:pStyle w:val="12"/>
        <w:widowControl w:val="0"/>
        <w:wordWrap/>
        <w:adjustRightInd w:val="0"/>
        <w:snapToGrid w:val="0"/>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、财政拨款“三公”经费支出决算表</w:t>
      </w:r>
    </w:p>
    <w:p>
      <w:pPr>
        <w:rPr>
          <w:rFonts w:ascii="仿宋" w:hAnsi="仿宋" w:eastAsia="仿宋"/>
          <w:color w:val="auto"/>
        </w:rPr>
      </w:pPr>
    </w:p>
    <w:sectPr>
      <w:footerReference r:id="rId6" w:type="default"/>
      <w:pgSz w:w="11906" w:h="16838"/>
      <w:pgMar w:top="1327" w:right="1800" w:bottom="1327"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Calibri">
    <w:altName w:val="DejaVu Sans"/>
    <w:panose1 w:val="020F0502020204030204"/>
    <w:charset w:val="86"/>
    <w:family w:val="auto"/>
    <w:pitch w:val="default"/>
    <w:sig w:usb0="00000000" w:usb1="00000000" w:usb2="00000000" w:usb3="00000000" w:csb0="00000000" w:csb1="00000000"/>
  </w:font>
  <w:font w:name="simhei">
    <w:altName w:val="汉仪仿宋S"/>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SIP)">
    <w:panose1 w:val="03000509000000000000"/>
    <w:charset w:val="86"/>
    <w:family w:val="auto"/>
    <w:pitch w:val="default"/>
    <w:sig w:usb0="00000003" w:usb1="0A0E0800" w:usb2="00000006" w:usb3="00000000" w:csb0="00040001" w:csb1="00000000"/>
  </w:font>
  <w:font w:name="黑体">
    <w:altName w:val="方正黑体_GBK"/>
    <w:panose1 w:val="00000000000000000000"/>
    <w:charset w:val="00"/>
    <w:family w:val="auto"/>
    <w:pitch w:val="default"/>
    <w:sig w:usb0="00000000" w:usb1="00000000" w:usb2="00000000" w:usb3="00000000" w:csb0="00000000" w:csb1="00000000"/>
  </w:font>
  <w:font w:name="榛戜綋">
    <w:altName w:val="汉仪新人文宋简"/>
    <w:panose1 w:val="00000000000000000000"/>
    <w:charset w:val="00"/>
    <w:family w:val="auto"/>
    <w:pitch w:val="default"/>
    <w:sig w:usb0="00000000" w:usb1="00000000" w:usb2="00000000" w:usb3="00000000" w:csb0="00040001" w:csb1="00000000"/>
  </w:font>
  <w:font w:name="寰蒋闆呴粦">
    <w:altName w:val="汉仪新人文宋简"/>
    <w:panose1 w:val="00000000000000000000"/>
    <w:charset w:val="00"/>
    <w:family w:val="auto"/>
    <w:pitch w:val="default"/>
    <w:sig w:usb0="00000000" w:usb1="00000000" w:usb2="00000000" w:usb3="00000000" w:csb0="00040001"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BO764GrAQAARAMAAA4AAAAAAAAAAQAgAAAANQEAAGRycy9lMm9Eb2MueG1sUEsF&#10;BgAAAAAGAAYAWQEAAFI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bjkfhqwEAAEQDAAAOAAAAZHJz&#10;L2Uyb0RvYy54bWytUktu2zAQ3QfoHQjua8oOEB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tuG4qActzii4/dvxx+/jj9fyGW2pw+x&#10;xldP4RHGLGKYtQ4KbP6iCjIUSw9nS+WQiMDifLlYLit0XuDdlCAOe/09QEz30luSg4YCzqxYyfef&#10;Yjo9nZ7kbs7faWOwzmvj/iogZq6wzPjEMUdp2Awj8Y1vD6i2x3E31OE+UmIeHLqZN2MKYAo2U7AL&#10;oLcdUkuwy+PgiH6zS8ij0MtNTshjbxxVETiuVd6FP/Py6nX5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JuOR+GrAQAARAMAAA4AAAAAAAAAAQAgAAAANQEAAGRycy9lMm9Eb2MueG1sUEsF&#10;BgAAAAAGAAYAWQEAAFI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BBFF35BB"/>
    <w:multiLevelType w:val="singleLevel"/>
    <w:tmpl w:val="BBFF35BB"/>
    <w:lvl w:ilvl="0" w:tentative="0">
      <w:start w:val="1"/>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MGY4YjM3Y2JhM2U0NTBkNDE2YzNmMmE4ZmU1OTYifQ=="/>
  </w:docVars>
  <w:rsids>
    <w:rsidRoot w:val="00172A27"/>
    <w:rsid w:val="000222C6"/>
    <w:rsid w:val="0002549F"/>
    <w:rsid w:val="000468DB"/>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56EA953"/>
    <w:rsid w:val="05E443B4"/>
    <w:rsid w:val="07955F54"/>
    <w:rsid w:val="08C41A34"/>
    <w:rsid w:val="0A2032A3"/>
    <w:rsid w:val="0CBC7286"/>
    <w:rsid w:val="0E5F5896"/>
    <w:rsid w:val="107D39D7"/>
    <w:rsid w:val="10C055FF"/>
    <w:rsid w:val="118107EC"/>
    <w:rsid w:val="123F7DCF"/>
    <w:rsid w:val="12A61B51"/>
    <w:rsid w:val="13EF545A"/>
    <w:rsid w:val="16186659"/>
    <w:rsid w:val="162C5ACF"/>
    <w:rsid w:val="166C3852"/>
    <w:rsid w:val="16BB723D"/>
    <w:rsid w:val="17BD0631"/>
    <w:rsid w:val="17EE0EE4"/>
    <w:rsid w:val="18323DA1"/>
    <w:rsid w:val="18661A4E"/>
    <w:rsid w:val="1940002A"/>
    <w:rsid w:val="1D155CEE"/>
    <w:rsid w:val="1E6B3903"/>
    <w:rsid w:val="1EE74DB5"/>
    <w:rsid w:val="1EFF008D"/>
    <w:rsid w:val="1F731E8E"/>
    <w:rsid w:val="1F74A88B"/>
    <w:rsid w:val="205F5489"/>
    <w:rsid w:val="23F79718"/>
    <w:rsid w:val="240371BF"/>
    <w:rsid w:val="25056353"/>
    <w:rsid w:val="266A2486"/>
    <w:rsid w:val="281A4B14"/>
    <w:rsid w:val="29FD04D3"/>
    <w:rsid w:val="2EBA30AE"/>
    <w:rsid w:val="30D2624F"/>
    <w:rsid w:val="3140523C"/>
    <w:rsid w:val="319F7F4E"/>
    <w:rsid w:val="31FFF536"/>
    <w:rsid w:val="33AD6AF5"/>
    <w:rsid w:val="3402176E"/>
    <w:rsid w:val="34AB0D82"/>
    <w:rsid w:val="35871A53"/>
    <w:rsid w:val="363C533B"/>
    <w:rsid w:val="36DB24AB"/>
    <w:rsid w:val="37BFB903"/>
    <w:rsid w:val="37D74E0B"/>
    <w:rsid w:val="37E16283"/>
    <w:rsid w:val="385F2B96"/>
    <w:rsid w:val="39FF479F"/>
    <w:rsid w:val="3A537552"/>
    <w:rsid w:val="3AD7CEE7"/>
    <w:rsid w:val="3B662219"/>
    <w:rsid w:val="3B7BFC5A"/>
    <w:rsid w:val="3BDB02FD"/>
    <w:rsid w:val="3D065BAF"/>
    <w:rsid w:val="3D2F43EF"/>
    <w:rsid w:val="3D32672C"/>
    <w:rsid w:val="3D54370A"/>
    <w:rsid w:val="3DE9035F"/>
    <w:rsid w:val="3DFC64B7"/>
    <w:rsid w:val="3E379ADF"/>
    <w:rsid w:val="3E4E751B"/>
    <w:rsid w:val="3ECDFA1C"/>
    <w:rsid w:val="3EF86020"/>
    <w:rsid w:val="3EFB41F2"/>
    <w:rsid w:val="3F7F6B0E"/>
    <w:rsid w:val="3FDE48F3"/>
    <w:rsid w:val="3FEE56DF"/>
    <w:rsid w:val="3FF360F1"/>
    <w:rsid w:val="428962B1"/>
    <w:rsid w:val="43DA69B2"/>
    <w:rsid w:val="477314E4"/>
    <w:rsid w:val="47F9E72E"/>
    <w:rsid w:val="49FA6EBD"/>
    <w:rsid w:val="4AAFCD59"/>
    <w:rsid w:val="4CBF3298"/>
    <w:rsid w:val="4DD54480"/>
    <w:rsid w:val="4E5309D0"/>
    <w:rsid w:val="4EB73286"/>
    <w:rsid w:val="4ECE2238"/>
    <w:rsid w:val="54153A38"/>
    <w:rsid w:val="58041B04"/>
    <w:rsid w:val="5C7D61F5"/>
    <w:rsid w:val="5C970468"/>
    <w:rsid w:val="5CAD4237"/>
    <w:rsid w:val="5DFD8C74"/>
    <w:rsid w:val="5E7E3646"/>
    <w:rsid w:val="5EF6DC57"/>
    <w:rsid w:val="5F1C64F5"/>
    <w:rsid w:val="5F26048C"/>
    <w:rsid w:val="5F4F5B8C"/>
    <w:rsid w:val="5F94AE5E"/>
    <w:rsid w:val="5F974867"/>
    <w:rsid w:val="5FEF6E00"/>
    <w:rsid w:val="5FFB9DFA"/>
    <w:rsid w:val="6082739B"/>
    <w:rsid w:val="6264408F"/>
    <w:rsid w:val="62EA1B4D"/>
    <w:rsid w:val="62F90968"/>
    <w:rsid w:val="63788713"/>
    <w:rsid w:val="63BF1CB5"/>
    <w:rsid w:val="63FB86D2"/>
    <w:rsid w:val="6569CD22"/>
    <w:rsid w:val="67542B88"/>
    <w:rsid w:val="68EB6AA2"/>
    <w:rsid w:val="6A3C20F2"/>
    <w:rsid w:val="6A7807E7"/>
    <w:rsid w:val="6ACBFFF3"/>
    <w:rsid w:val="6B5F095A"/>
    <w:rsid w:val="6BB3708D"/>
    <w:rsid w:val="6BEF39BF"/>
    <w:rsid w:val="6BFE6D94"/>
    <w:rsid w:val="6C4A05C8"/>
    <w:rsid w:val="6D59301C"/>
    <w:rsid w:val="6EDF74AE"/>
    <w:rsid w:val="6EEFA5CC"/>
    <w:rsid w:val="6EFDEE04"/>
    <w:rsid w:val="6EFFF73F"/>
    <w:rsid w:val="6F5B9252"/>
    <w:rsid w:val="6F7B3D74"/>
    <w:rsid w:val="6F7F1105"/>
    <w:rsid w:val="6F97ED68"/>
    <w:rsid w:val="6FF709D1"/>
    <w:rsid w:val="6FF731BA"/>
    <w:rsid w:val="6FFF7D2B"/>
    <w:rsid w:val="725B4E64"/>
    <w:rsid w:val="72734D90"/>
    <w:rsid w:val="7359F5D7"/>
    <w:rsid w:val="73DEAA37"/>
    <w:rsid w:val="73DF007C"/>
    <w:rsid w:val="73EFBAF6"/>
    <w:rsid w:val="73F79238"/>
    <w:rsid w:val="73FFFFAA"/>
    <w:rsid w:val="74784282"/>
    <w:rsid w:val="756EE2DA"/>
    <w:rsid w:val="75921C17"/>
    <w:rsid w:val="75FB9459"/>
    <w:rsid w:val="7675C2FA"/>
    <w:rsid w:val="76FD317B"/>
    <w:rsid w:val="77715D7A"/>
    <w:rsid w:val="77FD1FD1"/>
    <w:rsid w:val="7AEC944A"/>
    <w:rsid w:val="7AFBEF4B"/>
    <w:rsid w:val="7B8F31A4"/>
    <w:rsid w:val="7BBDD040"/>
    <w:rsid w:val="7BDF7CED"/>
    <w:rsid w:val="7C370B9C"/>
    <w:rsid w:val="7C7E16F5"/>
    <w:rsid w:val="7CCB094F"/>
    <w:rsid w:val="7CFD8E5B"/>
    <w:rsid w:val="7CFFDC51"/>
    <w:rsid w:val="7D0A34EE"/>
    <w:rsid w:val="7D9CDF94"/>
    <w:rsid w:val="7DC10082"/>
    <w:rsid w:val="7DEAFF6A"/>
    <w:rsid w:val="7DFEE4EE"/>
    <w:rsid w:val="7DFFF9ED"/>
    <w:rsid w:val="7E645F30"/>
    <w:rsid w:val="7ECB6EAD"/>
    <w:rsid w:val="7EEBDB11"/>
    <w:rsid w:val="7EFD7A78"/>
    <w:rsid w:val="7EFFF18F"/>
    <w:rsid w:val="7F0E892B"/>
    <w:rsid w:val="7F2DA04B"/>
    <w:rsid w:val="7F5E28DB"/>
    <w:rsid w:val="7FBE3E2E"/>
    <w:rsid w:val="7FC95251"/>
    <w:rsid w:val="7FCCC2C4"/>
    <w:rsid w:val="7FCF1F29"/>
    <w:rsid w:val="7FD798BF"/>
    <w:rsid w:val="7FD79BC9"/>
    <w:rsid w:val="7FF1588A"/>
    <w:rsid w:val="7FF68762"/>
    <w:rsid w:val="7FF8CCFB"/>
    <w:rsid w:val="7FFD37AE"/>
    <w:rsid w:val="7FFF0B8F"/>
    <w:rsid w:val="89EB260C"/>
    <w:rsid w:val="975F0931"/>
    <w:rsid w:val="99EC63EA"/>
    <w:rsid w:val="9D7EA77A"/>
    <w:rsid w:val="9FE1784C"/>
    <w:rsid w:val="9FE70E5C"/>
    <w:rsid w:val="A3FD51C0"/>
    <w:rsid w:val="AA9BADB4"/>
    <w:rsid w:val="ABDE4479"/>
    <w:rsid w:val="AE34AF62"/>
    <w:rsid w:val="AFFA7835"/>
    <w:rsid w:val="AFFDC704"/>
    <w:rsid w:val="B1E7FD90"/>
    <w:rsid w:val="B3F57501"/>
    <w:rsid w:val="B5FE155F"/>
    <w:rsid w:val="B7B7DD38"/>
    <w:rsid w:val="BA69DAF5"/>
    <w:rsid w:val="BA7B23C6"/>
    <w:rsid w:val="BAEBF355"/>
    <w:rsid w:val="BBF7F0FE"/>
    <w:rsid w:val="BD6CD58D"/>
    <w:rsid w:val="BD77CE53"/>
    <w:rsid w:val="BDEED953"/>
    <w:rsid w:val="BF1B5A1A"/>
    <w:rsid w:val="BFAC9949"/>
    <w:rsid w:val="BFB331BB"/>
    <w:rsid w:val="BFFBEE1C"/>
    <w:rsid w:val="BFFFB40F"/>
    <w:rsid w:val="C4DBD4D7"/>
    <w:rsid w:val="CBEFB420"/>
    <w:rsid w:val="CD95872F"/>
    <w:rsid w:val="D5DB6123"/>
    <w:rsid w:val="D6DD9D82"/>
    <w:rsid w:val="D7F9F675"/>
    <w:rsid w:val="DB2B73A1"/>
    <w:rsid w:val="DBDE5EDE"/>
    <w:rsid w:val="DBF73CFA"/>
    <w:rsid w:val="DBFD0392"/>
    <w:rsid w:val="DCEEEF66"/>
    <w:rsid w:val="DD379C5F"/>
    <w:rsid w:val="DFF64089"/>
    <w:rsid w:val="DFFDD4AA"/>
    <w:rsid w:val="E1BFFC11"/>
    <w:rsid w:val="E4FD48DC"/>
    <w:rsid w:val="E5F4CA8D"/>
    <w:rsid w:val="E6EF45F5"/>
    <w:rsid w:val="E6FFBB93"/>
    <w:rsid w:val="EB7E0082"/>
    <w:rsid w:val="EBE70939"/>
    <w:rsid w:val="EBEC403C"/>
    <w:rsid w:val="EBEF8941"/>
    <w:rsid w:val="ECA7F846"/>
    <w:rsid w:val="EEF37F8A"/>
    <w:rsid w:val="EEFBD180"/>
    <w:rsid w:val="EF3F20D6"/>
    <w:rsid w:val="EF7F6B99"/>
    <w:rsid w:val="EF7F7A97"/>
    <w:rsid w:val="EFE19ECD"/>
    <w:rsid w:val="EFEE93AB"/>
    <w:rsid w:val="EFF54625"/>
    <w:rsid w:val="F1E93EE8"/>
    <w:rsid w:val="F2FF5C50"/>
    <w:rsid w:val="F56601AA"/>
    <w:rsid w:val="F5E758F8"/>
    <w:rsid w:val="F679A08A"/>
    <w:rsid w:val="F6EB8B61"/>
    <w:rsid w:val="F71F2447"/>
    <w:rsid w:val="F78FE2DE"/>
    <w:rsid w:val="F7BB28CE"/>
    <w:rsid w:val="F7BF3E9F"/>
    <w:rsid w:val="F93D5D58"/>
    <w:rsid w:val="F9E6A9E3"/>
    <w:rsid w:val="F9F3AA35"/>
    <w:rsid w:val="F9FE7BAA"/>
    <w:rsid w:val="FAC64EB8"/>
    <w:rsid w:val="FADBEBC8"/>
    <w:rsid w:val="FB57D692"/>
    <w:rsid w:val="FB6E90AF"/>
    <w:rsid w:val="FB7B075B"/>
    <w:rsid w:val="FB7CF76A"/>
    <w:rsid w:val="FBDFF3D2"/>
    <w:rsid w:val="FC7D619E"/>
    <w:rsid w:val="FCBD9E35"/>
    <w:rsid w:val="FCDF0FB0"/>
    <w:rsid w:val="FD358C87"/>
    <w:rsid w:val="FD4F46B0"/>
    <w:rsid w:val="FD71F26C"/>
    <w:rsid w:val="FD7D80BE"/>
    <w:rsid w:val="FDA73DE7"/>
    <w:rsid w:val="FDF51230"/>
    <w:rsid w:val="FDF797E4"/>
    <w:rsid w:val="FEB1190F"/>
    <w:rsid w:val="FEDBACFC"/>
    <w:rsid w:val="FEFDD479"/>
    <w:rsid w:val="FF6C0878"/>
    <w:rsid w:val="FFA6D923"/>
    <w:rsid w:val="FFAF4A8F"/>
    <w:rsid w:val="FFBB58BA"/>
    <w:rsid w:val="FFEBB2C4"/>
    <w:rsid w:val="FFF5CE57"/>
    <w:rsid w:val="FFF612E0"/>
    <w:rsid w:val="FFFEE9B8"/>
    <w:rsid w:val="FFFF1D86"/>
    <w:rsid w:val="FFFFCC3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paragraph" w:customStyle="1" w:styleId="16">
    <w:name w:val=" Char"/>
    <w:basedOn w:val="1"/>
    <w:link w:val="15"/>
    <w:qFormat/>
    <w:uiPriority w:val="0"/>
    <w:pPr>
      <w:spacing w:line="360" w:lineRule="auto"/>
      <w:ind w:firstLine="551" w:firstLineChars="196"/>
    </w:pPr>
  </w:style>
  <w:style w:type="character" w:styleId="17">
    <w:name w:val="Strong"/>
    <w:basedOn w:val="15"/>
    <w:qFormat/>
    <w:uiPriority w:val="99"/>
    <w:rPr>
      <w:b/>
    </w:rPr>
  </w:style>
  <w:style w:type="character" w:styleId="18">
    <w:name w:val="Hyperlink"/>
    <w:basedOn w:val="15"/>
    <w:unhideWhenUsed/>
    <w:qFormat/>
    <w:uiPriority w:val="99"/>
    <w:rPr>
      <w:color w:val="0000FF"/>
      <w:u w:val="single"/>
    </w:r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0">
    <w:name w:val="List Paragraph"/>
    <w:basedOn w:val="1"/>
    <w:qFormat/>
    <w:uiPriority w:val="34"/>
    <w:pPr>
      <w:ind w:firstLine="420" w:firstLineChars="200"/>
    </w:pPr>
  </w:style>
  <w:style w:type="paragraph" w:customStyle="1" w:styleId="21">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2">
    <w:name w:val="TOC 标题2"/>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3">
    <w:name w:val="Header Char"/>
    <w:basedOn w:val="15"/>
    <w:semiHidden/>
    <w:qFormat/>
    <w:uiPriority w:val="99"/>
    <w:rPr>
      <w:rFonts w:ascii="Times New Roman" w:hAnsi="Times New Roman"/>
      <w:sz w:val="18"/>
      <w:szCs w:val="18"/>
    </w:rPr>
  </w:style>
  <w:style w:type="character" w:customStyle="1" w:styleId="24">
    <w:name w:val="页眉 Char"/>
    <w:link w:val="10"/>
    <w:semiHidden/>
    <w:qFormat/>
    <w:locked/>
    <w:uiPriority w:val="99"/>
    <w:rPr>
      <w:sz w:val="18"/>
    </w:rPr>
  </w:style>
  <w:style w:type="character" w:customStyle="1" w:styleId="25">
    <w:name w:val="Footer Char"/>
    <w:basedOn w:val="15"/>
    <w:semiHidden/>
    <w:qFormat/>
    <w:uiPriority w:val="99"/>
    <w:rPr>
      <w:rFonts w:ascii="Times New Roman" w:hAnsi="Times New Roman"/>
      <w:sz w:val="18"/>
      <w:szCs w:val="18"/>
    </w:rPr>
  </w:style>
  <w:style w:type="character" w:customStyle="1" w:styleId="26">
    <w:name w:val="页脚 Char"/>
    <w:link w:val="9"/>
    <w:qFormat/>
    <w:locked/>
    <w:uiPriority w:val="99"/>
    <w:rPr>
      <w:sz w:val="18"/>
    </w:rPr>
  </w:style>
  <w:style w:type="character" w:customStyle="1" w:styleId="27">
    <w:name w:val="Body Text Char"/>
    <w:basedOn w:val="15"/>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character" w:customStyle="1" w:styleId="29">
    <w:name w:val="标题 1 Char"/>
    <w:basedOn w:val="15"/>
    <w:link w:val="3"/>
    <w:qFormat/>
    <w:uiPriority w:val="9"/>
    <w:rPr>
      <w:rFonts w:ascii="Times New Roman" w:hAnsi="Times New Roman"/>
      <w:b/>
      <w:bCs/>
      <w:kern w:val="44"/>
      <w:sz w:val="44"/>
      <w:szCs w:val="44"/>
    </w:rPr>
  </w:style>
  <w:style w:type="character" w:customStyle="1" w:styleId="30">
    <w:name w:val="标题 2 Char"/>
    <w:basedOn w:val="15"/>
    <w:link w:val="4"/>
    <w:qFormat/>
    <w:uiPriority w:val="9"/>
    <w:rPr>
      <w:rFonts w:ascii="Cambria" w:hAnsi="Cambria" w:eastAsia="宋体" w:cs="黑体"/>
      <w:b/>
      <w:bCs/>
      <w:kern w:val="2"/>
      <w:sz w:val="32"/>
      <w:szCs w:val="32"/>
    </w:rPr>
  </w:style>
  <w:style w:type="character" w:customStyle="1" w:styleId="31">
    <w:name w:val="批注框文本 Char"/>
    <w:basedOn w:val="15"/>
    <w:link w:val="8"/>
    <w:semiHidden/>
    <w:qFormat/>
    <w:uiPriority w:val="99"/>
    <w:rPr>
      <w:rFonts w:ascii="Times New Roman" w:hAnsi="Times New Roman"/>
      <w:kern w:val="2"/>
      <w:sz w:val="18"/>
      <w:szCs w:val="18"/>
    </w:rPr>
  </w:style>
  <w:style w:type="character" w:customStyle="1" w:styleId="32">
    <w:name w:val="标题 3 Char"/>
    <w:basedOn w:val="15"/>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kylin/&#26700;&#38754;/2018&#20915;&#31639;&#20844;&#24320;&#22270;&#34920;(&#27169;&#26495;)+(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ome/kylin/&#26700;&#38754;/2018&#20915;&#31639;&#20844;&#24320;&#22270;&#34920;(&#27169;&#26495;)+(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home/kylin/&#26700;&#38754;/2018&#20915;&#31639;&#20844;&#24320;&#22270;&#34920;(&#27169;&#26495;)+(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home/kylin/&#26700;&#38754;/2018&#20915;&#31639;&#20844;&#24320;&#22270;&#34920;(&#27169;&#26495;)+(1).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home/kylin/&#26700;&#38754;/2018&#20915;&#31639;&#20844;&#24320;&#22270;&#34920;(&#27169;&#26495;)+(1).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ome/kylin/&#26700;&#38754;/2018&#20915;&#31639;&#20844;&#24320;&#22270;&#34920;(&#27169;&#26495;)+(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0" i="0" u="none" strike="noStrike" kern="1200" baseline="0">
                <a:solidFill>
                  <a:srgbClr val="000000">
                    <a:alpha val="100000"/>
                  </a:srgbClr>
                </a:solidFill>
                <a:latin typeface="宋体" charset="-122"/>
                <a:ea typeface="宋体" charset="-122"/>
                <a:cs typeface="宋体" charset="-122"/>
              </a:defRPr>
            </a:pPr>
            <a:r>
              <a:rPr lang="zh-CN" altLang="en-US" sz="1200" b="0" i="0" u="none" strike="noStrike" baseline="0">
                <a:solidFill>
                  <a:srgbClr val="000000"/>
                </a:solidFill>
                <a:latin typeface="宋体" charset="-122"/>
                <a:ea typeface="宋体" charset="-122"/>
                <a:cs typeface="宋体"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1.</a:t>
            </a:r>
            <a:r>
              <a:rPr lang="zh-CN" altLang="en-US" sz="1200" b="0" i="0" u="none" strike="noStrike" baseline="0">
                <a:solidFill>
                  <a:srgbClr val="000000"/>
                </a:solidFill>
                <a:latin typeface="宋体" charset="-122"/>
                <a:ea typeface="宋体" charset="-122"/>
                <a:cs typeface="宋体" charset="-122"/>
              </a:rPr>
              <a:t>收、支决算总计变动情况图</a:t>
            </a:r>
            <a:endParaRPr lang="zh-CN" altLang="en-US"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barChart>
        <c:barDir val="col"/>
        <c:grouping val="clustered"/>
        <c:varyColors val="false"/>
        <c:ser>
          <c:idx val="0"/>
          <c:order val="0"/>
          <c:tx>
            <c:strRef>
              <c:f>'[2018决算公开图表(模板)+(1).xls]决算公开图表'!$A$5</c:f>
              <c:strCache>
                <c:ptCount val="1"/>
                <c:pt idx="0">
                  <c:v>2022年</c:v>
                </c:pt>
              </c:strCache>
            </c:strRef>
          </c:tx>
          <c:invertIfNegative val="false"/>
          <c:dLbls>
            <c:delete val="true"/>
          </c:dLbls>
          <c:cat>
            <c:strRef>
              <c:f>'[2018决算公开图表(模板)+(1).xls]决算公开图表'!$B$4:$C$4</c:f>
              <c:strCache>
                <c:ptCount val="2"/>
                <c:pt idx="0">
                  <c:v>收入</c:v>
                </c:pt>
                <c:pt idx="1">
                  <c:v>支出</c:v>
                </c:pt>
              </c:strCache>
            </c:strRef>
          </c:cat>
          <c:val>
            <c:numRef>
              <c:f>'[2018决算公开图表(模板)+(1).xls]决算公开图表'!$B$5:$C$5</c:f>
              <c:numCache>
                <c:formatCode>General</c:formatCode>
                <c:ptCount val="2"/>
                <c:pt idx="0">
                  <c:v>343</c:v>
                </c:pt>
                <c:pt idx="1">
                  <c:v>343.22</c:v>
                </c:pt>
              </c:numCache>
            </c:numRef>
          </c:val>
        </c:ser>
        <c:ser>
          <c:idx val="1"/>
          <c:order val="1"/>
          <c:tx>
            <c:strRef>
              <c:f>'[2018决算公开图表(模板)+(1).xls]决算公开图表'!$A$6</c:f>
              <c:strCache>
                <c:ptCount val="1"/>
                <c:pt idx="0">
                  <c:v>2021年</c:v>
                </c:pt>
              </c:strCache>
            </c:strRef>
          </c:tx>
          <c:invertIfNegative val="false"/>
          <c:dLbls>
            <c:delete val="true"/>
          </c:dLbls>
          <c:cat>
            <c:strRef>
              <c:f>'[2018决算公开图表(模板)+(1).xls]决算公开图表'!$B$4:$C$4</c:f>
              <c:strCache>
                <c:ptCount val="2"/>
                <c:pt idx="0">
                  <c:v>收入</c:v>
                </c:pt>
                <c:pt idx="1">
                  <c:v>支出</c:v>
                </c:pt>
              </c:strCache>
            </c:strRef>
          </c:cat>
          <c:val>
            <c:numRef>
              <c:f>'[2018决算公开图表(模板)+(1).xls]决算公开图表'!$B$6:$C$6</c:f>
              <c:numCache>
                <c:formatCode>General</c:formatCode>
                <c:ptCount val="2"/>
                <c:pt idx="0">
                  <c:v>242.2</c:v>
                </c:pt>
                <c:pt idx="1">
                  <c:v>300.54</c:v>
                </c:pt>
              </c:numCache>
            </c:numRef>
          </c:val>
        </c:ser>
        <c:dLbls>
          <c:showLegendKey val="false"/>
          <c:showVal val="false"/>
          <c:showCatName val="false"/>
          <c:showSerName val="false"/>
          <c:showPercent val="false"/>
          <c:showBubbleSize val="false"/>
        </c:dLbls>
        <c:gapWidth val="150"/>
        <c:overlap val="0"/>
        <c:axId val="239141997"/>
        <c:axId val="363170438"/>
      </c:barChart>
      <c:catAx>
        <c:axId val="239141997"/>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63170438"/>
        <c:crosses val="autoZero"/>
        <c:auto val="true"/>
        <c:lblAlgn val="ctr"/>
        <c:lblOffset val="100"/>
        <c:noMultiLvlLbl val="false"/>
      </c:catAx>
      <c:valAx>
        <c:axId val="363170438"/>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39141997"/>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solidFill>
      <a:sysClr val="window" lastClr="FFFFFF"/>
    </a:solidFill>
    <a:ln w="6350" cap="flat" cmpd="sng" algn="ctr">
      <a:solidFill>
        <a:schemeClr val="accent1"/>
      </a:solidFill>
      <a:prstDash val="solid"/>
      <a:round/>
    </a:ln>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00" b="0" i="0" u="none" strike="noStrike" kern="1200" baseline="0">
                <a:solidFill>
                  <a:srgbClr val="000000">
                    <a:alpha val="100000"/>
                  </a:srgbClr>
                </a:solidFill>
                <a:latin typeface="宋体" charset="-122"/>
                <a:ea typeface="宋体" charset="-122"/>
                <a:cs typeface="宋体" charset="-122"/>
              </a:defRPr>
            </a:pPr>
            <a:r>
              <a:rPr sz="1400" b="0" i="0" u="none" strike="noStrike" baseline="0">
                <a:solidFill>
                  <a:srgbClr val="333333"/>
                </a:solidFill>
                <a:latin typeface="宋体" charset="-122"/>
                <a:ea typeface="宋体" charset="-122"/>
                <a:cs typeface="宋体" charset="-122"/>
              </a:rPr>
              <a:t>图</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0" i="0" u="none" strike="noStrike" baseline="0">
                <a:solidFill>
                  <a:srgbClr val="333333"/>
                </a:solidFill>
                <a:latin typeface="宋体" charset="-122"/>
                <a:ea typeface="宋体" charset="-122"/>
                <a:cs typeface="宋体" charset="-122"/>
              </a:rPr>
              <a:t>收入决算结构图</a:t>
            </a:r>
            <a:endParaRPr sz="1200" b="0" i="0" u="none" strike="noStrike" baseline="0">
              <a:solidFill>
                <a:srgbClr val="000000"/>
              </a:solidFill>
              <a:latin typeface="宋体" charset="-122"/>
              <a:ea typeface="宋体" charset="-122"/>
              <a:cs typeface="宋体" charset="-122"/>
            </a:endParaRPr>
          </a:p>
        </c:rich>
      </c:tx>
      <c:layout/>
      <c:overlay val="false"/>
      <c:spPr>
        <a:noFill/>
        <a:ln w="3175">
          <a:noFill/>
        </a:ln>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Pt>
            <c:idx val="5"/>
            <c:bubble3D val="false"/>
            <c:explosion val="0"/>
            <c:spPr>
              <a:solidFill>
                <a:schemeClr val="accent6"/>
              </a:solidFill>
              <a:ln w="19050">
                <a:solidFill>
                  <a:schemeClr val="lt1"/>
                </a:solidFill>
              </a:ln>
              <a:effectLst/>
            </c:spPr>
          </c:dPt>
          <c:dPt>
            <c:idx val="6"/>
            <c:bubble3D val="false"/>
            <c:explosion val="0"/>
            <c:spPr>
              <a:solidFill>
                <a:schemeClr val="accent1">
                  <a:lumMod val="60000"/>
                </a:schemeClr>
              </a:solidFill>
              <a:ln w="19050">
                <a:solidFill>
                  <a:schemeClr val="lt1"/>
                </a:solidFill>
              </a:ln>
              <a:effectLst/>
            </c:spPr>
          </c:dPt>
          <c:dLbls>
            <c:numFmt formatCode="General" sourceLinked="true"/>
            <c:spPr>
              <a:noFill/>
              <a:ln w="3175">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'[2018决算公开图表(模板)+(1).xls]决算公开图表'!$A$14:$A$20</c:f>
              <c:strCache>
                <c:ptCount val="7"/>
                <c:pt idx="0">
                  <c:v>一般公共预算财政拨款收入</c:v>
                </c:pt>
                <c:pt idx="1">
                  <c:v>政府性基金预算财政拨款</c:v>
                </c:pt>
                <c:pt idx="2">
                  <c:v>国有资本经营预算财政拨款收入</c:v>
                </c:pt>
                <c:pt idx="3">
                  <c:v>事业收入</c:v>
                </c:pt>
                <c:pt idx="4">
                  <c:v>经营收入</c:v>
                </c:pt>
                <c:pt idx="5">
                  <c:v>附属单位上缴收入</c:v>
                </c:pt>
                <c:pt idx="6">
                  <c:v>其他收入</c:v>
                </c:pt>
              </c:strCache>
            </c:strRef>
          </c:cat>
          <c:val>
            <c:numRef>
              <c:f>'[2018决算公开图表(模板)+(1).xls]决算公开图表'!$B$14:$B$20</c:f>
              <c:numCache>
                <c:formatCode>#,##0.00</c:formatCode>
                <c:ptCount val="7"/>
                <c:pt idx="0">
                  <c:v>343.22</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r"/>
      <c:layout>
        <c:manualLayout>
          <c:xMode val="edge"/>
          <c:yMode val="edge"/>
          <c:x val="0.588008096766326"/>
          <c:y val="0.221594891259746"/>
          <c:w val="0.38775"/>
          <c:h val="0.77225"/>
        </c:manualLayout>
      </c:layout>
      <c:overlay val="false"/>
      <c:txPr>
        <a:bodyPr rot="0" spcFirstLastPara="0" vertOverflow="ellipsis" vert="horz" wrap="square" anchor="ctr" anchorCtr="true"/>
        <a:lstStyle/>
        <a:p>
          <a:pPr>
            <a:defRPr lang="zh-CN" sz="920" b="0" i="0" u="none" strike="noStrike" kern="1200" baseline="0">
              <a:solidFill>
                <a:srgbClr val="000000"/>
              </a:solidFill>
              <a:latin typeface="宋体"/>
              <a:ea typeface="宋体"/>
              <a:cs typeface="宋体"/>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00" b="0" i="0" u="none" strike="noStrike" kern="1200" baseline="0">
                <a:solidFill>
                  <a:srgbClr val="000000">
                    <a:alpha val="100000"/>
                  </a:srgbClr>
                </a:solidFill>
                <a:latin typeface="宋体" charset="-122"/>
                <a:ea typeface="宋体" charset="-122"/>
                <a:cs typeface="宋体" charset="-122"/>
              </a:defRPr>
            </a:pPr>
            <a:r>
              <a:rPr sz="1400" b="0" i="0" u="none" strike="noStrike" baseline="0">
                <a:solidFill>
                  <a:srgbClr val="333333"/>
                </a:solidFill>
                <a:latin typeface="宋体" charset="-122"/>
                <a:ea typeface="宋体" charset="-122"/>
                <a:cs typeface="宋体" charset="-122"/>
              </a:rPr>
              <a:t>图3</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charset="-122"/>
                <a:ea typeface="宋体" charset="-122"/>
                <a:cs typeface="宋体" charset="-122"/>
              </a:rPr>
              <a:t>支出决算结构图</a:t>
            </a:r>
            <a:endParaRPr sz="1200" b="0" i="0" u="none" strike="noStrike" baseline="0">
              <a:solidFill>
                <a:srgbClr val="000000"/>
              </a:solidFill>
              <a:latin typeface="宋体" charset="-122"/>
              <a:ea typeface="宋体" charset="-122"/>
              <a:cs typeface="宋体" charset="-122"/>
            </a:endParaRPr>
          </a:p>
        </c:rich>
      </c:tx>
      <c:layout/>
      <c:overlay val="false"/>
      <c:spPr>
        <a:noFill/>
        <a:ln w="3175">
          <a:noFill/>
        </a:ln>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dPt>
          <c:dPt>
            <c:idx val="3"/>
            <c:bubble3D val="false"/>
            <c:explosion val="0"/>
          </c:dPt>
          <c:dPt>
            <c:idx val="4"/>
            <c:bubble3D val="false"/>
            <c:explosion val="0"/>
          </c:dPt>
          <c:dLbls>
            <c:numFmt formatCode="General" sourceLinked="true"/>
            <c:spPr>
              <a:noFill/>
              <a:ln w="3175">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'[2018决算公开图表(模板)+(1).xls]决算公开图表'!$A$24:$A$28</c:f>
              <c:strCache>
                <c:ptCount val="5"/>
                <c:pt idx="0">
                  <c:v>基本支出</c:v>
                </c:pt>
                <c:pt idx="1">
                  <c:v>项目支出</c:v>
                </c:pt>
                <c:pt idx="2">
                  <c:v>上缴上级支出</c:v>
                </c:pt>
                <c:pt idx="3">
                  <c:v>经营支出</c:v>
                </c:pt>
                <c:pt idx="4">
                  <c:v>对附属单位补助支出</c:v>
                </c:pt>
              </c:strCache>
            </c:strRef>
          </c:cat>
          <c:val>
            <c:numRef>
              <c:f>'[2018决算公开图表(模板)+(1).xls]决算公开图表'!$B$24:$B$28</c:f>
              <c:numCache>
                <c:formatCode>#,##0.00</c:formatCode>
                <c:ptCount val="5"/>
                <c:pt idx="0">
                  <c:v>218.87</c:v>
                </c:pt>
                <c:pt idx="1">
                  <c:v>124.35</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b"/>
      <c:layout>
        <c:manualLayout>
          <c:xMode val="edge"/>
          <c:yMode val="edge"/>
          <c:x val="0.0618336886993603"/>
          <c:y val="0.900712198209266"/>
          <c:w val="0.878465714173788"/>
          <c:h val="0.0638301595279314"/>
        </c:manualLayout>
      </c:layout>
      <c:overlay val="false"/>
      <c:spPr>
        <a:noFill/>
        <a:ln w="3175">
          <a:noFill/>
        </a:ln>
      </c:spPr>
      <c:txPr>
        <a:bodyPr rot="0" spcFirstLastPara="0" vertOverflow="ellipsis" vert="horz" wrap="square" anchor="ctr" anchorCtr="true"/>
        <a:lstStyle/>
        <a:p>
          <a:pPr>
            <a:defRPr lang="zh-CN" sz="825" b="0" i="0" u="none" strike="noStrike" kern="1200" baseline="0">
              <a:solidFill>
                <a:srgbClr val="333333"/>
              </a:solidFill>
              <a:latin typeface="宋体"/>
              <a:ea typeface="宋体"/>
              <a:cs typeface="宋体"/>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0" i="0" u="none" strike="noStrike" kern="1200" baseline="0">
                <a:solidFill>
                  <a:srgbClr val="000000">
                    <a:alpha val="100000"/>
                  </a:srgbClr>
                </a:solidFill>
                <a:latin typeface="宋体" charset="-122"/>
                <a:ea typeface="宋体" charset="-122"/>
                <a:cs typeface="宋体" charset="-122"/>
              </a:defRPr>
            </a:pPr>
            <a:r>
              <a:rPr lang="zh-CN" altLang="en-US" sz="1200" b="0" i="0" u="none" strike="noStrike" baseline="0">
                <a:solidFill>
                  <a:srgbClr val="000000"/>
                </a:solidFill>
                <a:latin typeface="宋体" charset="-122"/>
                <a:ea typeface="宋体" charset="-122"/>
                <a:cs typeface="宋体"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4.</a:t>
            </a:r>
            <a:r>
              <a:rPr lang="zh-CN" altLang="en-US" sz="1200" b="0" i="0" u="none" strike="noStrike" baseline="0">
                <a:solidFill>
                  <a:srgbClr val="000000"/>
                </a:solidFill>
                <a:latin typeface="宋体" charset="-122"/>
                <a:ea typeface="宋体" charset="-122"/>
                <a:cs typeface="宋体" charset="-122"/>
              </a:rPr>
              <a:t>财政拨款收、支决算总计变动情况</a:t>
            </a:r>
            <a:endParaRPr lang="zh-CN" altLang="en-US"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barChart>
        <c:barDir val="col"/>
        <c:grouping val="clustered"/>
        <c:varyColors val="false"/>
        <c:ser>
          <c:idx val="0"/>
          <c:order val="0"/>
          <c:tx>
            <c:strRef>
              <c:f>'[2018决算公开图表(模板)+(1).xls]决算公开图表'!$A$33</c:f>
              <c:strCache>
                <c:ptCount val="1"/>
                <c:pt idx="0">
                  <c:v>2022年</c:v>
                </c:pt>
              </c:strCache>
            </c:strRef>
          </c:tx>
          <c:invertIfNegative val="false"/>
          <c:dLbls>
            <c:delete val="true"/>
          </c:dLbls>
          <c:cat>
            <c:strRef>
              <c:f>'[2018决算公开图表(模板)+(1).xls]决算公开图表'!$B$32:$C$32</c:f>
              <c:strCache>
                <c:ptCount val="2"/>
                <c:pt idx="0">
                  <c:v>收入</c:v>
                </c:pt>
                <c:pt idx="1">
                  <c:v>支出</c:v>
                </c:pt>
              </c:strCache>
            </c:strRef>
          </c:cat>
          <c:val>
            <c:numRef>
              <c:f>'[2018决算公开图表(模板)+(1).xls]决算公开图表'!$B$33:$C$33</c:f>
              <c:numCache>
                <c:formatCode>General</c:formatCode>
                <c:ptCount val="2"/>
                <c:pt idx="0">
                  <c:v>343.22</c:v>
                </c:pt>
                <c:pt idx="1">
                  <c:v>343.22</c:v>
                </c:pt>
              </c:numCache>
            </c:numRef>
          </c:val>
        </c:ser>
        <c:ser>
          <c:idx val="1"/>
          <c:order val="1"/>
          <c:tx>
            <c:strRef>
              <c:f>'[2018决算公开图表(模板)+(1).xls]决算公开图表'!$A$34</c:f>
              <c:strCache>
                <c:ptCount val="1"/>
                <c:pt idx="0">
                  <c:v>2021年</c:v>
                </c:pt>
              </c:strCache>
            </c:strRef>
          </c:tx>
          <c:invertIfNegative val="false"/>
          <c:dLbls>
            <c:delete val="true"/>
          </c:dLbls>
          <c:cat>
            <c:strRef>
              <c:f>'[2018决算公开图表(模板)+(1).xls]决算公开图表'!$B$32:$C$32</c:f>
              <c:strCache>
                <c:ptCount val="2"/>
                <c:pt idx="0">
                  <c:v>收入</c:v>
                </c:pt>
                <c:pt idx="1">
                  <c:v>支出</c:v>
                </c:pt>
              </c:strCache>
            </c:strRef>
          </c:cat>
          <c:val>
            <c:numRef>
              <c:f>'[2018决算公开图表(模板)+(1).xls]决算公开图表'!$B$34:$C$34</c:f>
              <c:numCache>
                <c:formatCode>General</c:formatCode>
                <c:ptCount val="2"/>
                <c:pt idx="0">
                  <c:v>242.2</c:v>
                </c:pt>
                <c:pt idx="1">
                  <c:v>300.54</c:v>
                </c:pt>
              </c:numCache>
            </c:numRef>
          </c:val>
        </c:ser>
        <c:dLbls>
          <c:showLegendKey val="false"/>
          <c:showVal val="false"/>
          <c:showCatName val="false"/>
          <c:showSerName val="false"/>
          <c:showPercent val="false"/>
          <c:showBubbleSize val="false"/>
        </c:dLbls>
        <c:gapWidth val="150"/>
        <c:overlap val="0"/>
        <c:axId val="330554186"/>
        <c:axId val="201472918"/>
      </c:barChart>
      <c:catAx>
        <c:axId val="330554186"/>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01472918"/>
        <c:crosses val="autoZero"/>
        <c:auto val="true"/>
        <c:lblAlgn val="ctr"/>
        <c:lblOffset val="100"/>
        <c:noMultiLvlLbl val="false"/>
      </c:catAx>
      <c:valAx>
        <c:axId val="201472918"/>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055418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wrap="square"/>
    <a:lstStyle/>
    <a:p>
      <a:pPr>
        <a:defRPr lang="zh-CN"/>
      </a:pPr>
    </a:p>
  </c:txPr>
  <c:externalData r:id="rId1">
    <c:autoUpdate val="false"/>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200" b="0" i="0" u="none" strike="noStrike" kern="1200" baseline="0">
                <a:solidFill>
                  <a:srgbClr val="000000">
                    <a:alpha val="100000"/>
                  </a:srgbClr>
                </a:solidFill>
                <a:latin typeface="宋体" charset="-122"/>
                <a:ea typeface="宋体" charset="-122"/>
                <a:cs typeface="宋体" charset="-122"/>
              </a:defRPr>
            </a:pPr>
            <a:r>
              <a:t>图5.一般公共预算财政拨款支出决算变动情况</a:t>
            </a:r>
            <a:endParaRPr sz="1200" b="0" i="0" u="none" strike="noStrike" baseline="0">
              <a:solidFill>
                <a:srgbClr val="000000">
                  <a:alpha val="100000"/>
                </a:srgbClr>
              </a:solidFill>
              <a:latin typeface="宋体" charset="-122"/>
              <a:ea typeface="宋体" charset="-122"/>
              <a:cs typeface="宋体" charset="-122"/>
            </a:endParaRPr>
          </a:p>
        </c:rich>
      </c:tx>
      <c:layout>
        <c:manualLayout>
          <c:xMode val="edge"/>
          <c:yMode val="edge"/>
          <c:x val="0.138030365251963"/>
          <c:y val="0.0315422377758336"/>
        </c:manualLayout>
      </c:layout>
      <c:overlay val="false"/>
      <c:spPr>
        <a:noFill/>
        <a:ln w="3175">
          <a:noFill/>
        </a:ln>
      </c:spPr>
    </c:title>
    <c:autoTitleDeleted val="false"/>
    <c:plotArea>
      <c:layout/>
      <c:barChart>
        <c:barDir val="col"/>
        <c:grouping val="clustered"/>
        <c:varyColors val="false"/>
        <c:ser>
          <c:idx val="0"/>
          <c:order val="0"/>
          <c:spPr>
            <a:solidFill>
              <a:srgbClr val="5B9BD5">
                <a:alpha val="100000"/>
              </a:srgbClr>
            </a:solidFill>
            <a:ln w="3175">
              <a:noFill/>
            </a:ln>
          </c:spPr>
          <c:invertIfNegative val="false"/>
          <c:dLbls>
            <c:delete val="true"/>
          </c:dLbls>
          <c:cat>
            <c:strRef>
              <c:f>'[2018决算公开图表(模板)+(1).xls]决算公开图表'!$A$40:$A$41</c:f>
              <c:strCache>
                <c:ptCount val="2"/>
                <c:pt idx="0">
                  <c:v>2022年</c:v>
                </c:pt>
                <c:pt idx="1">
                  <c:v>2021年</c:v>
                </c:pt>
              </c:strCache>
            </c:strRef>
          </c:cat>
          <c:val>
            <c:numRef>
              <c:f>'[2018决算公开图表(模板)+(1).xls]决算公开图表'!$B$40:$B$41</c:f>
              <c:numCache>
                <c:formatCode>General</c:formatCode>
                <c:ptCount val="2"/>
                <c:pt idx="0">
                  <c:v>343.22</c:v>
                </c:pt>
                <c:pt idx="1">
                  <c:v>300.54</c:v>
                </c:pt>
              </c:numCache>
            </c:numRef>
          </c:val>
        </c:ser>
        <c:dLbls>
          <c:showLegendKey val="false"/>
          <c:showVal val="false"/>
          <c:showCatName val="false"/>
          <c:showSerName val="false"/>
          <c:showPercent val="false"/>
          <c:showBubbleSize val="false"/>
        </c:dLbls>
        <c:gapWidth val="219"/>
        <c:overlap val="-27"/>
        <c:axId val="290025673"/>
        <c:axId val="964070968"/>
      </c:barChart>
      <c:catAx>
        <c:axId val="290025673"/>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crossAx val="964070968"/>
        <c:crosses val="autoZero"/>
        <c:auto val="true"/>
        <c:lblAlgn val="ctr"/>
        <c:lblOffset val="100"/>
        <c:noMultiLvlLbl val="false"/>
      </c:catAx>
      <c:valAx>
        <c:axId val="96407096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ln w="3175" cap="flat" cmpd="sng" algn="ctr">
            <a:noFill/>
            <a:prstDash val="solid"/>
            <a:round/>
          </a:ln>
        </c:spPr>
        <c:txPr>
          <a:bodyPr rot="0" spcFirstLastPara="0" vertOverflow="ellipsis" vert="horz" wrap="square" anchor="ctr" anchorCtr="true"/>
          <a:lstStyle/>
          <a:p>
            <a:pPr>
              <a:defRPr lang="zh-CN" sz="900" b="0" i="0" u="none" strike="noStrike" kern="1200" baseline="0">
                <a:solidFill>
                  <a:srgbClr val="333333">
                    <a:alpha val="100000"/>
                  </a:srgbClr>
                </a:solidFill>
                <a:latin typeface="宋体" charset="-122"/>
                <a:ea typeface="宋体" charset="-122"/>
                <a:cs typeface="宋体" charset="-122"/>
              </a:defRPr>
            </a:pPr>
          </a:p>
        </c:txPr>
        <c:crossAx val="290025673"/>
        <c:crosses val="autoZero"/>
        <c:crossBetween val="between"/>
      </c:valAx>
      <c:spPr>
        <a:noFill/>
        <a:ln w="3175">
          <a:noFill/>
        </a:ln>
      </c:spPr>
    </c:plotArea>
    <c:plotVisOnly val="true"/>
    <c:dispBlanksAs val="gap"/>
    <c:showDLblsOverMax val="false"/>
  </c:chart>
  <c:spPr>
    <a:ln w="9525" cap="flat" cmpd="sng" algn="ctr">
      <a:solidFill>
        <a:schemeClr val="tx1"/>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r>
              <a:rPr lang="zh-CN" altLang="en-US" sz="1200" b="0" i="0" u="none" strike="noStrike" baseline="0">
                <a:solidFill>
                  <a:srgbClr val="000000"/>
                </a:solidFill>
                <a:latin typeface="宋体" charset="-122"/>
                <a:ea typeface="宋体" charset="-122"/>
                <a:cs typeface="宋体" charset="-122"/>
              </a:rPr>
              <a:t>图</a:t>
            </a:r>
            <a:r>
              <a:rPr lang="en-US" altLang="zh-CN" sz="1200" b="0" i="0" u="none" strike="noStrike" baseline="0">
                <a:solidFill>
                  <a:srgbClr val="000000"/>
                </a:solidFill>
                <a:latin typeface="宋体" pitchFamily="2" charset="0"/>
                <a:ea typeface="宋体" pitchFamily="2" charset="0"/>
                <a:cs typeface="宋体" pitchFamily="2" charset="0"/>
              </a:rPr>
              <a:t>6.</a:t>
            </a:r>
            <a:r>
              <a:rPr lang="zh-CN" altLang="en-US" sz="1200" b="0" i="0" u="none" strike="noStrike" baseline="0">
                <a:solidFill>
                  <a:srgbClr val="000000"/>
                </a:solidFill>
                <a:latin typeface="宋体" charset="-122"/>
                <a:ea typeface="宋体" charset="-122"/>
                <a:cs typeface="宋体" charset="-122"/>
              </a:rPr>
              <a:t>一般公共预算财政拨款支出决算结构</a:t>
            </a:r>
            <a:endParaRPr lang="zh-CN" altLang="en-US" sz="1200" b="0" i="0" u="none" strike="noStrike" baseline="0">
              <a:solidFill>
                <a:srgbClr val="000000"/>
              </a:solidFill>
              <a:latin typeface="宋体" charset="-122"/>
              <a:ea typeface="宋体" charset="-122"/>
              <a:cs typeface="宋体" charset="-122"/>
            </a:endParaRPr>
          </a:p>
        </c:rich>
      </c:tx>
      <c:layout>
        <c:manualLayout>
          <c:xMode val="edge"/>
          <c:yMode val="edge"/>
          <c:x val="0.197606861253285"/>
          <c:y val="0.00738007380073801"/>
        </c:manualLayout>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Lbls>
            <c:dLbl>
              <c:idx val="1"/>
              <c:layout>
                <c:manualLayout>
                  <c:x val="-0.12051630350672"/>
                  <c:y val="0.0773948853068561"/>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152482921373572"/>
                  <c:y val="0.0746925298488931"/>
                </c:manualLayout>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alpha val="100000"/>
                      </a:srgbClr>
                    </a:solidFill>
                    <a:latin typeface="宋体" charset="-122"/>
                    <a:ea typeface="宋体" charset="-122"/>
                    <a:cs typeface="宋体" charset="-122"/>
                  </a:defRPr>
                </a:pPr>
              </a:p>
            </c:txPr>
            <c:dLblPos val="inEnd"/>
            <c:showLegendKey val="fals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cat>
            <c:strRef>
              <c:f>'[2018决算公开图表(模板)+(1).xls]决算公开图表'!$A$47:$A$51</c:f>
              <c:strCache>
                <c:ptCount val="5"/>
                <c:pt idx="0">
                  <c:v>教育支出</c:v>
                </c:pt>
                <c:pt idx="1">
                  <c:v>社会保障和就业支出</c:v>
                </c:pt>
                <c:pt idx="2">
                  <c:v>卫生健康支出</c:v>
                </c:pt>
                <c:pt idx="3">
                  <c:v>一般公共服务支出</c:v>
                </c:pt>
              </c:strCache>
            </c:strRef>
          </c:cat>
          <c:val>
            <c:numRef>
              <c:f>'[2018决算公开图表(模板)+(1).xls]决算公开图表'!$B$47:$B$51</c:f>
              <c:numCache>
                <c:formatCode>#,##0.00</c:formatCode>
                <c:ptCount val="5"/>
                <c:pt idx="0">
                  <c:v>309.13</c:v>
                </c:pt>
                <c:pt idx="1">
                  <c:v>22.73</c:v>
                </c:pt>
                <c:pt idx="2">
                  <c:v>11.25</c:v>
                </c:pt>
                <c:pt idx="3">
                  <c:v>0.11</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plotVisOnly val="true"/>
    <c:dispBlanksAs val="gap"/>
    <c:showDLblsOverMax val="false"/>
  </c:chart>
  <c:spPr>
    <a:solidFill>
      <a:schemeClr val="bg1"/>
    </a:solidFill>
    <a:ln w="9525" cap="flat" cmpd="sng" algn="ctr">
      <a:solidFill>
        <a:schemeClr val="tx1"/>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userShapes r:id="rId2"/>
</c:chartSpace>
</file>

<file path=word/drawings/drawing1.xml><?xml version="1.0" encoding="utf-8"?>
<c:userShapes xmlns:c="http://schemas.openxmlformats.org/drawingml/2006/chart">
  <cdr:relSizeAnchor xmlns:cdr="http://schemas.openxmlformats.org/drawingml/2006/chartDrawing">
    <cdr:from>
      <cdr:x>0.77631</cdr:x>
      <cdr:y>0.12269</cdr:y>
    </cdr:from>
    <cdr:to>
      <cdr:x>0.94524</cdr:x>
      <cdr:y>0.184</cdr:y>
    </cdr:to>
    <cdr:sp>
      <cdr:nvSpPr>
        <cdr:cNvPr id="2" name="矩形 1"/>
        <cdr:cNvSpPr/>
      </cdr:nvSpPr>
      <cdr:spPr xmlns:a="http://schemas.openxmlformats.org/drawingml/2006/main">
        <a:xfrm xmlns:a="http://schemas.openxmlformats.org/drawingml/2006/main">
          <a:off x="3830768" y="379724"/>
          <a:ext cx="833599" cy="189754"/>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1000" b="0" i="0" u="none" strike="noStrike" baseline="0">
              <a:solidFill>
                <a:srgbClr val="000000"/>
              </a:solidFill>
              <a:latin typeface="宋体"/>
              <a:ea typeface="宋体"/>
            </a:rPr>
            <a:t>单位：万元</a:t>
          </a:r>
          <a:endParaRPr lang="zh-CN" altLang="en-US" sz="1000" b="0" i="0" u="none" strike="noStrike" baseline="0">
            <a:solidFill>
              <a:srgbClr val="000000"/>
            </a:solidFill>
            <a:latin typeface="宋体"/>
            <a:ea typeface="宋体"/>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0.76196</cdr:x>
      <cdr:y>0.17274</cdr:y>
    </cdr:from>
    <cdr:to>
      <cdr:x>0.92746</cdr:x>
      <cdr:y>0.30519</cdr:y>
    </cdr:to>
    <cdr:sp>
      <cdr:nvSpPr>
        <cdr:cNvPr id="2" name="矩形 1"/>
        <cdr:cNvSpPr/>
      </cdr:nvSpPr>
      <cdr:spPr xmlns:a="http://schemas.openxmlformats.org/drawingml/2006/main">
        <a:xfrm xmlns:a="http://schemas.openxmlformats.org/drawingml/2006/main">
          <a:off x="3497713" y="445670"/>
          <a:ext cx="759714" cy="341722"/>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900" b="0" i="0" u="none" strike="noStrike" baseline="0">
              <a:solidFill>
                <a:srgbClr val="000000"/>
              </a:solidFill>
              <a:latin typeface="宋体"/>
              <a:ea typeface="宋体"/>
            </a:rPr>
            <a:t>单位：万元</a:t>
          </a:r>
          <a:endParaRPr lang="zh-CN" altLang="en-US" sz="900" b="0" i="0" u="none" strike="noStrike" baseline="0">
            <a:solidFill>
              <a:srgbClr val="000000"/>
            </a:solidFill>
            <a:latin typeface="宋体"/>
            <a:ea typeface="宋体"/>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0.76352</cdr:x>
      <cdr:y>0.152</cdr:y>
    </cdr:from>
    <cdr:to>
      <cdr:x>0.95119</cdr:x>
      <cdr:y>0.22266</cdr:y>
    </cdr:to>
    <cdr:sp>
      <cdr:nvSpPr>
        <cdr:cNvPr id="2" name="矩形 1"/>
        <cdr:cNvSpPr/>
      </cdr:nvSpPr>
      <cdr:spPr xmlns:a="http://schemas.openxmlformats.org/drawingml/2006/main">
        <a:xfrm xmlns:a="http://schemas.openxmlformats.org/drawingml/2006/main">
          <a:off x="3410331" y="408376"/>
          <a:ext cx="838245" cy="189841"/>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1000" b="0" i="0" u="none" strike="noStrike" baseline="0">
              <a:solidFill>
                <a:srgbClr val="000000"/>
              </a:solidFill>
              <a:latin typeface="宋体"/>
              <a:ea typeface="宋体"/>
            </a:rPr>
            <a:t>单位：万元</a:t>
          </a:r>
          <a:endParaRPr lang="zh-CN" altLang="en-US" sz="1000" b="0" i="0" u="none" strike="noStrike" baseline="0">
            <a:solidFill>
              <a:srgbClr val="000000"/>
            </a:solidFill>
            <a:latin typeface="宋体"/>
            <a:ea typeface="宋体"/>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0.78069</cdr:x>
      <cdr:y>0.19977</cdr:y>
    </cdr:from>
    <cdr:to>
      <cdr:x>0.98681</cdr:x>
      <cdr:y>0.31881</cdr:y>
    </cdr:to>
    <cdr:sp>
      <cdr:nvSpPr>
        <cdr:cNvPr id="2" name="矩形 1"/>
        <cdr:cNvSpPr/>
      </cdr:nvSpPr>
      <cdr:spPr xmlns:a="http://schemas.openxmlformats.org/drawingml/2006/main">
        <a:xfrm xmlns:a="http://schemas.openxmlformats.org/drawingml/2006/main">
          <a:off x="2817776" y="534436"/>
          <a:ext cx="743957" cy="318462"/>
        </a:xfrm>
        <a:prstGeom xmlns:a="http://schemas.openxmlformats.org/drawingml/2006/main" prst="rect">
          <a:avLst/>
        </a:prstGeom>
        <a:noFill/>
        <a:ln>
          <a:noFill/>
        </a:ln>
      </cdr:spPr>
      <cdr:txBody xmlns:a="http://schemas.openxmlformats.org/drawingml/2006/main">
        <a:bodyPr vert="horz" wrap="square" lIns="27432" tIns="18288" rIns="0" bIns="0" anchor="t" anchorCtr="false" upright="true">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a:ea typeface="宋体"/>
            </a:rPr>
            <a:t>单位：万元</a:t>
          </a:r>
          <a:endParaRPr lang="zh-CN" altLang="en-US" sz="900" b="0" i="0" u="none" strike="noStrike" baseline="0">
            <a:solidFill>
              <a:srgbClr val="000000"/>
            </a:solidFill>
            <a:latin typeface="宋体"/>
            <a:ea typeface="宋体"/>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0.77855</cdr:x>
      <cdr:y>0.15659</cdr:y>
    </cdr:from>
    <cdr:to>
      <cdr:x>0.97745</cdr:x>
      <cdr:y>0.24864</cdr:y>
    </cdr:to>
    <cdr:sp>
      <cdr:nvSpPr>
        <cdr:cNvPr id="2" name="矩形 1"/>
        <cdr:cNvSpPr/>
      </cdr:nvSpPr>
      <cdr:spPr xmlns:a="http://schemas.openxmlformats.org/drawingml/2006/main">
        <a:xfrm xmlns:a="http://schemas.openxmlformats.org/drawingml/2006/main">
          <a:off x="3270319" y="322268"/>
          <a:ext cx="835484" cy="189442"/>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false" upright="true">
          <a:normAutofit/>
        </a:bodyPr>
        <a:lstStyle/>
        <a:p>
          <a:pPr algn="l" rtl="0">
            <a:defRPr sz="1000"/>
          </a:pPr>
          <a:r>
            <a:rPr lang="zh-CN" altLang="en-US" sz="900" b="0" i="0" u="none" strike="noStrike" baseline="0">
              <a:solidFill>
                <a:srgbClr val="000000"/>
              </a:solidFill>
              <a:latin typeface="宋体"/>
              <a:ea typeface="宋体"/>
            </a:rPr>
            <a:t>单位：万元</a:t>
          </a:r>
          <a:endParaRPr lang="zh-CN" altLang="en-US" sz="900" b="0" i="0" u="none" strike="noStrike" baseline="0">
            <a:solidFill>
              <a:srgbClr val="000000"/>
            </a:solidFill>
            <a:latin typeface="宋体"/>
            <a:ea typeface="宋体"/>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7365</Words>
  <Characters>8687</Characters>
  <Lines>61</Lines>
  <Paragraphs>17</Paragraphs>
  <TotalTime>5</TotalTime>
  <ScaleCrop>false</ScaleCrop>
  <LinksUpToDate>false</LinksUpToDate>
  <CharactersWithSpaces>8771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2020-08-18T01:49:00Z</dcterms:created>
  <dc:creator>曹颖</dc:creator>
  <cp:lastModifiedBy>kylin</cp:lastModifiedBy>
  <cp:lastPrinted>2022-08-18T15:22:00Z</cp:lastPrinted>
  <dcterms:modified xsi:type="dcterms:W3CDTF">2023-09-18T11:26:31Z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06168A3204394A9899C24BC78EAC996A</vt:lpwstr>
  </property>
</Properties>
</file>