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000000"/>
          <w:sz w:val="72"/>
          <w:szCs w:val="72"/>
        </w:rPr>
      </w:pPr>
      <w:bookmarkStart w:id="0" w:name="_Toc15306267"/>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p>
    <w:bookmarkEnd w:id="0"/>
    <w:p>
      <w:pPr>
        <w:adjustRightInd w:val="0"/>
        <w:snapToGrid w:val="0"/>
        <w:spacing w:line="360" w:lineRule="auto"/>
        <w:jc w:val="center"/>
        <w:outlineLvl w:val="0"/>
        <w:rPr>
          <w:rFonts w:hint="eastAsia" w:eastAsia="方正小标宋简体" w:cs="Times New Roman"/>
          <w:color w:val="000000"/>
          <w:sz w:val="72"/>
          <w:szCs w:val="72"/>
          <w:lang w:eastAsia="zh-CN"/>
        </w:rPr>
      </w:pPr>
      <w:bookmarkStart w:id="1" w:name="_Toc15377426"/>
      <w:bookmarkStart w:id="2" w:name="_Toc15396476"/>
      <w:bookmarkStart w:id="3" w:name="_Toc15306268"/>
      <w:bookmarkStart w:id="4" w:name="_Toc15377194"/>
      <w:bookmarkStart w:id="5" w:name="_Toc15396598"/>
      <w:bookmarkStart w:id="6" w:name="_Toc15378442"/>
      <w:r>
        <w:rPr>
          <w:rFonts w:hint="eastAsia" w:eastAsia="方正小标宋简体" w:cs="Times New Roman"/>
          <w:color w:val="000000"/>
          <w:sz w:val="72"/>
          <w:szCs w:val="72"/>
          <w:lang w:eastAsia="zh-CN"/>
        </w:rPr>
        <w:t>广安市教育考试院</w:t>
      </w: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7" w:name="_Toc15378441"/>
      <w:bookmarkStart w:id="8" w:name="_Toc15396475"/>
      <w:bookmarkStart w:id="9" w:name="_Toc15377193"/>
      <w:bookmarkStart w:id="10" w:name="_Toc15377425"/>
      <w:bookmarkStart w:id="11" w:name="_Toc15396597"/>
      <w:r>
        <w:rPr>
          <w:rFonts w:hint="default" w:ascii="Times New Roman" w:hAnsi="Times New Roman" w:eastAsia="黑体" w:cs="Times New Roman"/>
          <w:color w:val="000000"/>
          <w:sz w:val="72"/>
          <w:szCs w:val="72"/>
        </w:rPr>
        <w:t>202</w:t>
      </w:r>
      <w:r>
        <w:rPr>
          <w:rFonts w:hint="default" w:ascii="Times New Roman" w:hAnsi="Times New Roman" w:eastAsia="黑体" w:cs="Times New Roman"/>
          <w:color w:val="000000"/>
          <w:sz w:val="72"/>
          <w:szCs w:val="72"/>
          <w:lang w:val="en-US" w:eastAsia="zh-CN"/>
        </w:rPr>
        <w:t>2</w:t>
      </w:r>
      <w:r>
        <w:rPr>
          <w:rFonts w:hint="default" w:ascii="Times New Roman" w:hAnsi="Times New Roman" w:eastAsia="方正小标宋简体" w:cs="Times New Roman"/>
          <w:color w:val="000000"/>
          <w:sz w:val="72"/>
          <w:szCs w:val="72"/>
        </w:rPr>
        <w:t>年度</w:t>
      </w:r>
      <w:bookmarkEnd w:id="7"/>
      <w:bookmarkEnd w:id="8"/>
      <w:bookmarkEnd w:id="9"/>
      <w:bookmarkEnd w:id="10"/>
      <w:bookmarkEnd w:id="11"/>
      <w:r>
        <w:rPr>
          <w:rFonts w:hint="eastAsia" w:eastAsia="方正小标宋简体" w:cs="Times New Roman"/>
          <w:color w:val="000000"/>
          <w:sz w:val="72"/>
          <w:szCs w:val="72"/>
          <w:lang w:eastAsia="zh-CN"/>
        </w:rPr>
        <w:t>单位</w:t>
      </w:r>
      <w:r>
        <w:rPr>
          <w:rFonts w:hint="default" w:ascii="Times New Roman" w:hAnsi="Times New Roman" w:eastAsia="方正小标宋简体" w:cs="Times New Roman"/>
          <w:color w:val="000000"/>
          <w:sz w:val="72"/>
          <w:szCs w:val="72"/>
        </w:rPr>
        <w:t>决算</w:t>
      </w:r>
      <w:bookmarkEnd w:id="1"/>
      <w:bookmarkEnd w:id="2"/>
      <w:bookmarkEnd w:id="3"/>
      <w:bookmarkEnd w:id="4"/>
      <w:bookmarkEnd w:id="5"/>
      <w:bookmarkEnd w:id="6"/>
      <w:r>
        <w:rPr>
          <w:rFonts w:hint="default" w:ascii="Times New Roman" w:hAnsi="Times New Roman" w:eastAsia="方正小标宋简体" w:cs="Times New Roman"/>
          <w:color w:val="000000"/>
          <w:sz w:val="72"/>
          <w:szCs w:val="72"/>
        </w:rPr>
        <w:t>编制说明</w:t>
      </w:r>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pPr>
        <w:widowControl/>
        <w:jc w:val="center"/>
        <w:rPr>
          <w:rFonts w:hint="default" w:ascii="Times New Roman" w:hAnsi="Times New Roman" w:eastAsia="黑体" w:cs="Times New Roman"/>
          <w:sz w:val="28"/>
          <w:szCs w:val="28"/>
        </w:rPr>
      </w:pPr>
    </w:p>
    <w:p>
      <w:pPr>
        <w:pStyle w:val="10"/>
        <w:rPr>
          <w:rFonts w:hint="default" w:ascii="Times New Roman" w:hAnsi="Times New Roman" w:cs="Times New Roman"/>
          <w:highlight w:val="none"/>
        </w:rPr>
      </w:pPr>
      <w:r>
        <w:rPr>
          <w:rFonts w:hint="default" w:ascii="Times New Roman" w:hAnsi="Times New Roman" w:cs="Times New Roman"/>
          <w:highlight w:val="none"/>
        </w:rPr>
        <w:t>公开时间：202</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9</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19</w:t>
      </w:r>
      <w:bookmarkStart w:id="68" w:name="_GoBack"/>
      <w:bookmarkEnd w:id="68"/>
      <w:r>
        <w:rPr>
          <w:rFonts w:hint="default" w:ascii="Times New Roman" w:hAnsi="Times New Roman" w:cs="Times New Roman"/>
          <w:highlight w:val="none"/>
        </w:rPr>
        <w:t>日</w:t>
      </w:r>
    </w:p>
    <w:p>
      <w:pPr>
        <w:rPr>
          <w:rFonts w:hint="default" w:ascii="Times New Roman" w:hAnsi="Times New Roman" w:cs="Times New Roman"/>
          <w:highlight w:val="none"/>
        </w:rPr>
      </w:pPr>
    </w:p>
    <w:p>
      <w:pPr>
        <w:pStyle w:val="10"/>
        <w:keepNext w:val="0"/>
        <w:keepLines w:val="0"/>
        <w:pageBreakBefore w:val="0"/>
        <w:widowControl w:val="0"/>
        <w:kinsoku/>
        <w:wordWrap/>
        <w:overflowPunct/>
        <w:topLinePunct w:val="0"/>
        <w:autoSpaceDE/>
        <w:autoSpaceDN/>
        <w:bidi w:val="0"/>
        <w:adjustRightInd w:val="0"/>
        <w:snapToGrid w:val="0"/>
        <w:spacing w:before="0" w:line="440" w:lineRule="exact"/>
        <w:ind w:left="0" w:leftChars="0" w:right="0" w:rightChars="0" w:firstLine="0" w:firstLineChars="0"/>
        <w:jc w:val="left"/>
        <w:textAlignment w:val="auto"/>
        <w:outlineLvl w:val="9"/>
        <w:rPr>
          <w:rFonts w:hint="default" w:ascii="Times New Roman" w:hAnsi="Times New Roman" w:cs="Times New Roman"/>
          <w:sz w:val="24"/>
          <w:szCs w:val="24"/>
          <w:highlight w:val="none"/>
          <w:lang w:val="en-US"/>
        </w:rPr>
      </w:pPr>
      <w:r>
        <w:rPr>
          <w:rFonts w:hint="default" w:ascii="Times New Roman" w:hAnsi="Times New Roman" w:cs="Times New Roman"/>
          <w:sz w:val="24"/>
          <w:highlight w:val="none"/>
        </w:rPr>
        <w:t xml:space="preserve">第一部分 </w:t>
      </w:r>
      <w:r>
        <w:rPr>
          <w:rFonts w:hint="default" w:ascii="Times New Roman" w:hAnsi="Times New Roman" w:cs="Times New Roman"/>
          <w:sz w:val="24"/>
          <w:highlight w:val="none"/>
          <w:lang w:eastAsia="zh-CN"/>
        </w:rPr>
        <w:t>单位</w:t>
      </w:r>
      <w:r>
        <w:rPr>
          <w:rFonts w:hint="default" w:ascii="Times New Roman" w:hAnsi="Times New Roman" w:cs="Times New Roman"/>
          <w:sz w:val="24"/>
          <w:highlight w:val="none"/>
        </w:rPr>
        <w:t>概况</w:t>
      </w:r>
      <w:r>
        <w:rPr>
          <w:rFonts w:hint="eastAsia" w:ascii="Times New Roman" w:hAnsi="Times New Roman" w:cs="Times New Roman"/>
          <w:sz w:val="24"/>
          <w:highlight w:val="none"/>
          <w:lang w:val="en-US" w:eastAsia="zh-CN"/>
        </w:rPr>
        <w:tab/>
      </w:r>
      <w:r>
        <w:rPr>
          <w:rFonts w:hint="eastAsia" w:ascii="Times New Roman" w:hAnsi="Times New Roman" w:cs="Times New Roman"/>
          <w:sz w:val="24"/>
          <w:highlight w:val="none"/>
          <w:lang w:val="en-US" w:eastAsia="zh-CN"/>
        </w:rPr>
        <w:t>1</w:t>
      </w:r>
    </w:p>
    <w:p>
      <w:pPr>
        <w:pStyle w:val="11"/>
        <w:adjustRightInd w:val="0"/>
        <w:snapToGrid w:val="0"/>
        <w:spacing w:line="440" w:lineRule="exact"/>
        <w:jc w:val="left"/>
        <w:rPr>
          <w:rFonts w:hint="default" w:ascii="Times New Roman" w:hAnsi="Times New Roman" w:cs="Times New Roman"/>
          <w:color w:val="auto"/>
          <w:sz w:val="24"/>
          <w:highlight w:val="none"/>
          <w:lang w:val="en-US"/>
        </w:rPr>
      </w:pPr>
      <w:r>
        <w:rPr>
          <w:rFonts w:hint="default" w:ascii="Times New Roman" w:hAnsi="Times New Roman" w:cs="Times New Roman"/>
          <w:color w:val="auto"/>
          <w:sz w:val="24"/>
          <w:highlight w:val="none"/>
        </w:rPr>
        <w:t>一、基本职能</w:t>
      </w:r>
      <w:r>
        <w:rPr>
          <w:rFonts w:hint="eastAsia" w:cs="Times New Roman"/>
          <w:color w:val="auto"/>
          <w:sz w:val="24"/>
          <w:highlight w:val="none"/>
          <w:lang w:eastAsia="zh-CN"/>
        </w:rPr>
        <w:t>及主要工作</w:t>
      </w:r>
      <w:r>
        <w:rPr>
          <w:rFonts w:hint="eastAsia" w:cs="Times New Roman"/>
          <w:color w:val="auto"/>
          <w:sz w:val="24"/>
          <w:highlight w:val="none"/>
          <w:lang w:val="en-US" w:eastAsia="zh-CN"/>
        </w:rPr>
        <w:tab/>
      </w:r>
      <w:r>
        <w:rPr>
          <w:rFonts w:hint="eastAsia" w:cs="Times New Roman"/>
          <w:color w:val="auto"/>
          <w:sz w:val="24"/>
          <w:highlight w:val="none"/>
          <w:lang w:val="en-US" w:eastAsia="zh-CN"/>
        </w:rPr>
        <w:t>1</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color w:val="auto"/>
          <w:sz w:val="24"/>
          <w:highlight w:val="none"/>
          <w:lang w:eastAsia="zh-CN"/>
        </w:rPr>
        <w:t>二、</w:t>
      </w:r>
      <w:r>
        <w:rPr>
          <w:rFonts w:hint="eastAsia" w:cs="Times New Roman"/>
          <w:color w:val="auto"/>
          <w:sz w:val="24"/>
          <w:highlight w:val="none"/>
          <w:lang w:eastAsia="zh-CN"/>
        </w:rPr>
        <w:t>机构设置</w:t>
      </w:r>
      <w:r>
        <w:rPr>
          <w:rFonts w:hint="eastAsia" w:cs="Times New Roman"/>
          <w:sz w:val="24"/>
          <w:lang w:val="en-US" w:eastAsia="zh-CN"/>
        </w:rPr>
        <w:tab/>
      </w:r>
      <w:r>
        <w:rPr>
          <w:rFonts w:hint="eastAsia" w:cs="Times New Roman"/>
          <w:sz w:val="24"/>
          <w:lang w:val="en-US" w:eastAsia="zh-CN"/>
        </w:rPr>
        <w:t>2</w:t>
      </w:r>
    </w:p>
    <w:p>
      <w:pPr>
        <w:pStyle w:val="10"/>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第二部分</w:t>
      </w:r>
      <w:r>
        <w:rPr>
          <w:rFonts w:hint="default" w:ascii="Times New Roman" w:hAnsi="Times New Roman" w:cs="Times New Roman"/>
          <w:sz w:val="24"/>
          <w:lang w:val="en-US" w:eastAsia="zh-CN"/>
        </w:rPr>
        <w:t xml:space="preserve"> </w:t>
      </w:r>
      <w:r>
        <w:rPr>
          <w:rFonts w:hint="default" w:ascii="Times New Roman" w:hAnsi="Times New Roman" w:eastAsia="宋体" w:cs="Times New Roman"/>
          <w:kern w:val="2"/>
          <w:sz w:val="24"/>
          <w:szCs w:val="24"/>
          <w:lang w:val="en-US" w:eastAsia="zh-CN" w:bidi="ar-SA"/>
        </w:rPr>
        <w:t>2022年度部门决算情况说明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3</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eastAsia" w:cs="Times New Roman"/>
          <w:sz w:val="24"/>
          <w:lang w:val="en-US" w:eastAsia="zh-CN"/>
        </w:rPr>
        <w:tab/>
      </w:r>
      <w:r>
        <w:rPr>
          <w:rFonts w:hint="eastAsia" w:cs="Times New Roman"/>
          <w:sz w:val="24"/>
          <w:lang w:val="en-US" w:eastAsia="zh-CN"/>
        </w:rPr>
        <w:t>3</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eastAsia" w:cs="Times New Roman"/>
          <w:sz w:val="24"/>
          <w:lang w:val="en-US" w:eastAsia="zh-CN"/>
        </w:rPr>
        <w:tab/>
      </w:r>
      <w:r>
        <w:rPr>
          <w:rFonts w:hint="eastAsia" w:cs="Times New Roman"/>
          <w:sz w:val="24"/>
          <w:lang w:val="en-US" w:eastAsia="zh-CN"/>
        </w:rPr>
        <w:t>3</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eastAsia" w:cs="Times New Roman"/>
          <w:sz w:val="24"/>
          <w:lang w:val="en-US" w:eastAsia="zh-CN"/>
        </w:rPr>
        <w:tab/>
      </w:r>
      <w:r>
        <w:rPr>
          <w:rFonts w:hint="eastAsia" w:cs="Times New Roman"/>
          <w:sz w:val="24"/>
          <w:lang w:val="en-US" w:eastAsia="zh-CN"/>
        </w:rPr>
        <w:t>4</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eastAsia" w:cs="Times New Roman"/>
          <w:sz w:val="24"/>
          <w:lang w:val="en-US" w:eastAsia="zh-CN"/>
        </w:rPr>
        <w:tab/>
      </w:r>
      <w:r>
        <w:rPr>
          <w:rFonts w:hint="eastAsia" w:cs="Times New Roman"/>
          <w:sz w:val="24"/>
          <w:lang w:val="en-US" w:eastAsia="zh-CN"/>
        </w:rPr>
        <w:t>4</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eastAsia" w:cs="Times New Roman"/>
          <w:sz w:val="24"/>
          <w:lang w:val="en-US" w:eastAsia="zh-CN"/>
        </w:rPr>
        <w:tab/>
      </w:r>
      <w:r>
        <w:rPr>
          <w:rFonts w:hint="eastAsia" w:cs="Times New Roman"/>
          <w:sz w:val="24"/>
          <w:lang w:val="en-US" w:eastAsia="zh-CN"/>
        </w:rPr>
        <w:t>5</w:t>
      </w:r>
    </w:p>
    <w:p>
      <w:pPr>
        <w:pStyle w:val="11"/>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六、一般公共预算财政拨款基本支出决算情况说明</w:t>
      </w:r>
      <w:r>
        <w:rPr>
          <w:rFonts w:hint="eastAsia" w:cs="Times New Roman"/>
          <w:sz w:val="24"/>
          <w:lang w:val="en-US" w:eastAsia="zh-CN"/>
        </w:rPr>
        <w:tab/>
      </w:r>
      <w:r>
        <w:rPr>
          <w:rFonts w:hint="eastAsia" w:cs="Times New Roman"/>
          <w:sz w:val="24"/>
          <w:lang w:val="en-US" w:eastAsia="zh-CN"/>
        </w:rPr>
        <w:t>7</w:t>
      </w:r>
    </w:p>
    <w:p>
      <w:pPr>
        <w:pStyle w:val="11"/>
        <w:adjustRightInd w:val="0"/>
        <w:snapToGrid w:val="0"/>
        <w:spacing w:line="440" w:lineRule="exact"/>
        <w:jc w:val="left"/>
        <w:rPr>
          <w:rFonts w:hint="default" w:ascii="Times New Roman" w:hAnsi="Times New Roman" w:cs="Times New Roman"/>
          <w:lang w:val="en-US"/>
        </w:rPr>
      </w:pPr>
      <w:r>
        <w:rPr>
          <w:rFonts w:hint="default" w:ascii="Times New Roman" w:hAnsi="Times New Roman" w:cs="Times New Roman"/>
          <w:sz w:val="24"/>
          <w:lang w:eastAsia="zh-CN"/>
        </w:rPr>
        <w:t>七</w:t>
      </w:r>
      <w:r>
        <w:rPr>
          <w:rFonts w:hint="default" w:ascii="Times New Roman" w:hAnsi="Times New Roman" w:cs="Times New Roman"/>
          <w:sz w:val="24"/>
        </w:rPr>
        <w:t>、一般公共预算财政拨款</w:t>
      </w:r>
      <w:r>
        <w:rPr>
          <w:rFonts w:hint="default" w:ascii="Times New Roman" w:hAnsi="Times New Roman" w:cs="Times New Roman"/>
          <w:sz w:val="24"/>
          <w:lang w:eastAsia="zh-CN"/>
        </w:rPr>
        <w:t>项目</w:t>
      </w:r>
      <w:r>
        <w:rPr>
          <w:rFonts w:hint="default" w:ascii="Times New Roman" w:hAnsi="Times New Roman" w:cs="Times New Roman"/>
          <w:sz w:val="24"/>
        </w:rPr>
        <w:t>支出决算情况说明</w:t>
      </w:r>
      <w:r>
        <w:rPr>
          <w:rFonts w:hint="eastAsia" w:cs="Times New Roman"/>
          <w:sz w:val="24"/>
          <w:lang w:val="en-US" w:eastAsia="zh-CN"/>
        </w:rPr>
        <w:tab/>
      </w:r>
      <w:r>
        <w:rPr>
          <w:rFonts w:hint="eastAsia" w:cs="Times New Roman"/>
          <w:sz w:val="24"/>
          <w:lang w:val="en-US" w:eastAsia="zh-CN"/>
        </w:rPr>
        <w:t>7</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八</w:t>
      </w:r>
      <w:r>
        <w:rPr>
          <w:rFonts w:hint="default" w:ascii="Times New Roman" w:hAnsi="Times New Roman" w:cs="Times New Roman"/>
          <w:sz w:val="24"/>
        </w:rPr>
        <w:t>、财政拨款“三公”经费支出决算情况说明</w:t>
      </w:r>
      <w:r>
        <w:rPr>
          <w:rFonts w:hint="eastAsia" w:cs="Times New Roman"/>
          <w:sz w:val="24"/>
          <w:lang w:val="en-US" w:eastAsia="zh-CN"/>
        </w:rPr>
        <w:tab/>
      </w:r>
      <w:r>
        <w:rPr>
          <w:rFonts w:hint="eastAsia" w:cs="Times New Roman"/>
          <w:sz w:val="24"/>
          <w:lang w:val="en-US" w:eastAsia="zh-CN"/>
        </w:rPr>
        <w:t>8</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九</w:t>
      </w:r>
      <w:r>
        <w:rPr>
          <w:rFonts w:hint="default" w:ascii="Times New Roman" w:hAnsi="Times New Roman" w:cs="Times New Roman"/>
          <w:sz w:val="24"/>
        </w:rPr>
        <w:t>、政府性基金预算支出决算情况说明</w:t>
      </w:r>
      <w:r>
        <w:rPr>
          <w:rFonts w:hint="eastAsia" w:cs="Times New Roman"/>
          <w:sz w:val="24"/>
          <w:lang w:val="en-US" w:eastAsia="zh-CN"/>
        </w:rPr>
        <w:tab/>
      </w:r>
      <w:r>
        <w:rPr>
          <w:rFonts w:hint="eastAsia" w:cs="Times New Roman"/>
          <w:sz w:val="24"/>
          <w:lang w:val="en-US" w:eastAsia="zh-CN"/>
        </w:rPr>
        <w:t>10</w:t>
      </w:r>
    </w:p>
    <w:p>
      <w:pPr>
        <w:pStyle w:val="11"/>
        <w:keepNext w:val="0"/>
        <w:keepLines w:val="0"/>
        <w:pageBreakBefore w:val="0"/>
        <w:widowControl w:val="0"/>
        <w:kinsoku/>
        <w:wordWrap/>
        <w:overflowPunct/>
        <w:topLinePunct w:val="0"/>
        <w:autoSpaceDE/>
        <w:autoSpaceDN/>
        <w:bidi w:val="0"/>
        <w:adjustRightInd w:val="0"/>
        <w:snapToGrid w:val="0"/>
        <w:spacing w:line="440" w:lineRule="exact"/>
        <w:ind w:left="420" w:leftChars="0"/>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lang w:eastAsia="zh-CN"/>
        </w:rPr>
        <w:t>十</w:t>
      </w:r>
      <w:r>
        <w:rPr>
          <w:rFonts w:hint="default" w:ascii="Times New Roman" w:hAnsi="Times New Roman" w:eastAsia="仿宋" w:cs="Times New Roman"/>
          <w:sz w:val="24"/>
        </w:rPr>
        <w:t>、</w:t>
      </w:r>
      <w:r>
        <w:rPr>
          <w:rFonts w:hint="default" w:ascii="Times New Roman" w:hAnsi="Times New Roman" w:cs="Times New Roman"/>
          <w:sz w:val="24"/>
        </w:rPr>
        <w:t xml:space="preserve"> 国有资本经营预算支出决算情况说明</w:t>
      </w:r>
      <w:r>
        <w:rPr>
          <w:rFonts w:hint="eastAsia" w:cs="Times New Roman"/>
          <w:sz w:val="24"/>
          <w:lang w:val="en-US" w:eastAsia="zh-CN"/>
        </w:rPr>
        <w:tab/>
      </w:r>
      <w:r>
        <w:rPr>
          <w:rFonts w:hint="eastAsia" w:cs="Times New Roman"/>
          <w:sz w:val="24"/>
          <w:lang w:val="en-US" w:eastAsia="zh-CN"/>
        </w:rPr>
        <w:t>10</w:t>
      </w:r>
    </w:p>
    <w:p>
      <w:pPr>
        <w:keepNext w:val="0"/>
        <w:keepLines w:val="0"/>
        <w:pageBreakBefore w:val="0"/>
        <w:widowControl w:val="0"/>
        <w:tabs>
          <w:tab w:val="right" w:leader="dot" w:pos="8295"/>
        </w:tabs>
        <w:kinsoku/>
        <w:wordWrap/>
        <w:overflowPunct/>
        <w:topLinePunct w:val="0"/>
        <w:autoSpaceDE/>
        <w:autoSpaceDN/>
        <w:bidi w:val="0"/>
        <w:adjustRightInd w:val="0"/>
        <w:snapToGrid w:val="0"/>
        <w:spacing w:line="440" w:lineRule="exact"/>
        <w:ind w:left="0" w:leftChars="0" w:right="0" w:rightChars="0" w:firstLine="420" w:firstLineChars="175"/>
        <w:jc w:val="left"/>
        <w:textAlignment w:val="auto"/>
        <w:outlineLvl w:val="9"/>
        <w:rPr>
          <w:rFonts w:hint="default" w:ascii="Times New Roman" w:hAnsi="Times New Roman" w:cs="Times New Roman"/>
          <w:sz w:val="24"/>
        </w:rPr>
      </w:pPr>
      <w:r>
        <w:rPr>
          <w:rStyle w:val="16"/>
          <w:rFonts w:hint="default" w:ascii="Times New Roman" w:hAnsi="Times New Roman" w:eastAsia="仿宋" w:cs="Times New Roman"/>
          <w:color w:val="000000" w:themeColor="text1"/>
          <w:sz w:val="24"/>
          <w:u w:val="none"/>
          <w:lang w:eastAsia="zh-CN"/>
          <w14:textFill>
            <w14:solidFill>
              <w14:schemeClr w14:val="tx1"/>
            </w14:solidFill>
          </w14:textFill>
        </w:rPr>
        <w:t>十一</w:t>
      </w:r>
      <w:r>
        <w:rPr>
          <w:rStyle w:val="16"/>
          <w:rFonts w:hint="default" w:ascii="Times New Roman" w:hAnsi="Times New Roman" w:eastAsia="仿宋" w:cs="Times New Roman"/>
          <w:color w:val="000000" w:themeColor="text1"/>
          <w:sz w:val="24"/>
          <w:u w:val="none"/>
          <w14:textFill>
            <w14:solidFill>
              <w14:schemeClr w14:val="tx1"/>
            </w14:solidFill>
          </w14:textFill>
        </w:rPr>
        <w:t>、</w:t>
      </w:r>
      <w:r>
        <w:rPr>
          <w:rFonts w:hint="default" w:ascii="Times New Roman" w:hAnsi="Times New Roman" w:cs="Times New Roman"/>
          <w:sz w:val="24"/>
        </w:rPr>
        <w:t>其他重要事项的情况说明</w:t>
      </w:r>
      <w:r>
        <w:rPr>
          <w:rFonts w:hint="eastAsia" w:cs="Times New Roman"/>
          <w:sz w:val="24"/>
          <w:lang w:val="en-US" w:eastAsia="zh-CN"/>
        </w:rPr>
        <w:tab/>
      </w:r>
      <w:r>
        <w:rPr>
          <w:rFonts w:hint="eastAsia" w:cs="Times New Roman"/>
          <w:sz w:val="24"/>
          <w:lang w:val="en-US" w:eastAsia="zh-CN"/>
        </w:rPr>
        <w:t>10</w:t>
      </w:r>
    </w:p>
    <w:p>
      <w:pPr>
        <w:keepNext w:val="0"/>
        <w:keepLines w:val="0"/>
        <w:pageBreakBefore w:val="0"/>
        <w:widowControl w:val="0"/>
        <w:tabs>
          <w:tab w:val="right" w:leader="dot" w:pos="8295"/>
          <w:tab w:val="left" w:leader="dot" w:pos="8358"/>
        </w:tabs>
        <w:kinsoku/>
        <w:wordWrap/>
        <w:overflowPunct/>
        <w:topLinePunct w:val="0"/>
        <w:autoSpaceDE/>
        <w:autoSpaceDN/>
        <w:bidi w:val="0"/>
        <w:adjustRightInd w:val="0"/>
        <w:snapToGrid w:val="0"/>
        <w:spacing w:line="440" w:lineRule="exact"/>
        <w:ind w:left="0" w:leftChars="0" w:right="0" w:rightChars="0" w:firstLine="420" w:firstLineChars="175"/>
        <w:jc w:val="left"/>
        <w:textAlignment w:val="auto"/>
        <w:outlineLvl w:val="9"/>
        <w:rPr>
          <w:rFonts w:hint="default" w:ascii="Times New Roman" w:hAnsi="Times New Roman" w:cs="Times New Roman"/>
          <w:sz w:val="24"/>
          <w:szCs w:val="24"/>
          <w:lang w:val="en-US"/>
        </w:rPr>
      </w:pPr>
      <w:r>
        <w:rPr>
          <w:rFonts w:hint="default" w:ascii="Times New Roman" w:hAnsi="Times New Roman" w:cs="Times New Roman"/>
          <w:sz w:val="24"/>
        </w:rPr>
        <w:t>第三部分 名词解释</w:t>
      </w:r>
      <w:r>
        <w:rPr>
          <w:rFonts w:hint="eastAsia" w:cs="Times New Roman"/>
          <w:sz w:val="24"/>
          <w:lang w:val="en-US" w:eastAsia="zh-CN"/>
        </w:rPr>
        <w:tab/>
      </w:r>
      <w:r>
        <w:rPr>
          <w:rFonts w:hint="eastAsia" w:cs="Times New Roman"/>
          <w:sz w:val="24"/>
          <w:lang w:val="en-US" w:eastAsia="zh-CN"/>
        </w:rPr>
        <w:t>12</w:t>
      </w:r>
    </w:p>
    <w:p>
      <w:pPr>
        <w:pStyle w:val="10"/>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before="0" w:line="440" w:lineRule="exact"/>
        <w:jc w:val="left"/>
        <w:textAlignment w:val="auto"/>
        <w:rPr>
          <w:rFonts w:hint="default" w:ascii="Times New Roman" w:hAnsi="Times New Roman" w:cs="Times New Roman"/>
          <w:sz w:val="24"/>
          <w:szCs w:val="24"/>
          <w:lang w:val="en-US"/>
        </w:rPr>
      </w:pPr>
      <w:r>
        <w:rPr>
          <w:rFonts w:hint="default" w:ascii="Times New Roman" w:hAnsi="Times New Roman" w:cs="Times New Roman"/>
          <w:sz w:val="24"/>
        </w:rPr>
        <w:t>第四部分 附件</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14</w:t>
      </w:r>
    </w:p>
    <w:p>
      <w:pPr>
        <w:pStyle w:val="10"/>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before="0" w:line="440"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rPr>
        <w:t>第五部分 附表</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17</w:t>
      </w:r>
    </w:p>
    <w:p>
      <w:pPr>
        <w:pStyle w:val="10"/>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before="0" w:line="440" w:lineRule="exact"/>
        <w:jc w:val="left"/>
        <w:textAlignment w:val="auto"/>
        <w:rPr>
          <w:rFonts w:hint="default" w:ascii="Times New Roman" w:hAnsi="Times New Roman" w:eastAsia="仿宋" w:cs="Times New Roman"/>
          <w:sz w:val="24"/>
          <w:lang w:val="en-US"/>
        </w:rPr>
      </w:pPr>
      <w:r>
        <w:rPr>
          <w:rFonts w:hint="eastAsia" w:ascii="Times New Roman" w:hAnsi="Times New Roman" w:cs="Times New Roman"/>
          <w:sz w:val="24"/>
          <w:szCs w:val="24"/>
          <w:lang w:val="en-US" w:eastAsia="zh-CN"/>
        </w:rPr>
        <w:t>　　</w:t>
      </w:r>
      <w:r>
        <w:rPr>
          <w:rFonts w:hint="default" w:ascii="Times New Roman" w:hAnsi="Times New Roman" w:eastAsia="仿宋" w:cs="Times New Roman"/>
          <w:sz w:val="24"/>
        </w:rPr>
        <w:t>一、</w:t>
      </w:r>
      <w:r>
        <w:rPr>
          <w:rFonts w:hint="default" w:ascii="Times New Roman" w:hAnsi="Times New Roman" w:cs="Times New Roman"/>
          <w:sz w:val="24"/>
        </w:rPr>
        <w:t>收入支出决算总表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二、</w:t>
      </w:r>
      <w:r>
        <w:rPr>
          <w:rFonts w:hint="default" w:ascii="Times New Roman" w:hAnsi="Times New Roman" w:cs="Times New Roman"/>
          <w:sz w:val="24"/>
        </w:rPr>
        <w:t>收入</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三、</w:t>
      </w:r>
      <w:r>
        <w:rPr>
          <w:rFonts w:hint="default" w:ascii="Times New Roman" w:hAnsi="Times New Roman" w:cs="Times New Roman"/>
          <w:sz w:val="24"/>
        </w:rPr>
        <w:t>支出</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四、</w:t>
      </w:r>
      <w:r>
        <w:rPr>
          <w:rFonts w:hint="default" w:ascii="Times New Roman" w:hAnsi="Times New Roman" w:cs="Times New Roman"/>
          <w:sz w:val="24"/>
        </w:rPr>
        <w:t>财政拨款收入支出决算总表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五、</w:t>
      </w:r>
      <w:r>
        <w:rPr>
          <w:rFonts w:hint="default" w:ascii="Times New Roman" w:hAnsi="Times New Roman" w:cs="Times New Roman"/>
          <w:sz w:val="24"/>
        </w:rPr>
        <w:t>财政拨款支出决算明细表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六、</w:t>
      </w:r>
      <w:r>
        <w:rPr>
          <w:rFonts w:hint="default" w:ascii="Times New Roman" w:hAnsi="Times New Roman" w:cs="Times New Roman"/>
          <w:sz w:val="24"/>
        </w:rPr>
        <w:t>一般公共预算财政拨款支出决算表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七、</w:t>
      </w:r>
      <w:r>
        <w:rPr>
          <w:rFonts w:hint="default" w:ascii="Times New Roman" w:hAnsi="Times New Roman" w:cs="Times New Roman"/>
          <w:sz w:val="24"/>
        </w:rPr>
        <w:t>一般公共预算财政拨款支出决算明细表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八、</w:t>
      </w:r>
      <w:r>
        <w:rPr>
          <w:rFonts w:hint="default" w:ascii="Times New Roman" w:hAnsi="Times New Roman" w:cs="Times New Roman"/>
          <w:sz w:val="24"/>
        </w:rPr>
        <w:t>一般公共预算财政拨款基本支出决算表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九、</w:t>
      </w:r>
      <w:r>
        <w:rPr>
          <w:rFonts w:hint="default" w:ascii="Times New Roman" w:hAnsi="Times New Roman" w:cs="Times New Roman"/>
          <w:sz w:val="24"/>
        </w:rPr>
        <w:t>一般公共预算财政拨款项目支出决算表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bookmarkStart w:id="12" w:name="_Toc15396599"/>
      <w:bookmarkStart w:id="13" w:name="_Toc15377196"/>
      <w:r>
        <w:rPr>
          <w:rFonts w:hint="default" w:ascii="Times New Roman" w:hAnsi="Times New Roman" w:eastAsia="仿宋" w:cs="Times New Roman"/>
          <w:sz w:val="24"/>
        </w:rPr>
        <w:t>十、</w:t>
      </w:r>
      <w:r>
        <w:rPr>
          <w:rFonts w:hint="default" w:ascii="Times New Roman" w:hAnsi="Times New Roman" w:cs="Times New Roman"/>
          <w:sz w:val="24"/>
        </w:rPr>
        <w:t>政府性基金预算财政拨款收入支出决算表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一</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国有资本经营预算财政拨款收入支出决算表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二</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国有资本经营预算财政拨款支出决算表</w:t>
      </w:r>
      <w:r>
        <w:rPr>
          <w:rFonts w:hint="eastAsia" w:cs="Times New Roman"/>
          <w:sz w:val="24"/>
          <w:lang w:val="en-US" w:eastAsia="zh-CN"/>
        </w:rPr>
        <w:tab/>
      </w:r>
      <w:r>
        <w:rPr>
          <w:rFonts w:hint="eastAsia" w:cs="Times New Roman"/>
          <w:sz w:val="24"/>
          <w:lang w:val="en-US" w:eastAsia="zh-CN"/>
        </w:rPr>
        <w:t>17</w:t>
      </w:r>
    </w:p>
    <w:p>
      <w:pPr>
        <w:pStyle w:val="11"/>
        <w:keepNext w:val="0"/>
        <w:keepLines w:val="0"/>
        <w:pageBreakBefore w:val="0"/>
        <w:widowControl w:val="0"/>
        <w:tabs>
          <w:tab w:val="right" w:leader="dot" w:pos="8295"/>
          <w:tab w:val="left" w:leader="dot" w:pos="8358"/>
          <w:tab w:val="clear" w:pos="8296"/>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三</w:t>
      </w:r>
      <w:r>
        <w:rPr>
          <w:rFonts w:hint="default" w:ascii="Times New Roman" w:hAnsi="Times New Roman" w:eastAsia="仿宋" w:cs="Times New Roman"/>
          <w:sz w:val="24"/>
        </w:rPr>
        <w:t>、</w:t>
      </w:r>
      <w:r>
        <w:rPr>
          <w:rFonts w:hint="default" w:ascii="Times New Roman" w:hAnsi="Times New Roman" w:cs="Times New Roman"/>
          <w:sz w:val="24"/>
        </w:rPr>
        <w:t>财政拨款“三公”经费支出决算表</w:t>
      </w:r>
      <w:r>
        <w:rPr>
          <w:rFonts w:hint="eastAsia" w:cs="Times New Roman"/>
          <w:sz w:val="24"/>
          <w:lang w:val="en-US" w:eastAsia="zh-CN"/>
        </w:rPr>
        <w:tab/>
      </w:r>
      <w:r>
        <w:rPr>
          <w:rFonts w:hint="eastAsia" w:cs="Times New Roman"/>
          <w:sz w:val="24"/>
          <w:lang w:val="en-US" w:eastAsia="zh-CN"/>
        </w:rPr>
        <w:t>17</w:t>
      </w:r>
    </w:p>
    <w:p>
      <w:pPr>
        <w:pStyle w:val="3"/>
        <w:jc w:val="center"/>
        <w:rPr>
          <w:rFonts w:hint="default" w:ascii="Times New Roman" w:hAnsi="Times New Roman" w:eastAsia="黑体" w:cs="Times New Roman"/>
          <w:b w:val="0"/>
        </w:rPr>
        <w:sectPr>
          <w:headerReference r:id="rId3" w:type="default"/>
          <w:pgSz w:w="11906" w:h="16838"/>
          <w:pgMar w:top="1440" w:right="1800" w:bottom="1440" w:left="1800" w:header="851" w:footer="992" w:gutter="0"/>
          <w:pgNumType w:start="1"/>
          <w:cols w:space="425" w:num="1"/>
          <w:titlePg/>
          <w:docGrid w:type="lines" w:linePitch="312" w:charSpace="0"/>
        </w:sectPr>
      </w:pPr>
    </w:p>
    <w:p>
      <w:pPr>
        <w:pStyle w:val="3"/>
        <w:jc w:val="center"/>
        <w:rPr>
          <w:rStyle w:val="25"/>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5"/>
          <w:rFonts w:hint="default" w:ascii="Times New Roman" w:hAnsi="Times New Roman" w:eastAsia="黑体" w:cs="Times New Roman"/>
          <w:b w:val="0"/>
          <w:bCs w:val="0"/>
          <w:lang w:eastAsia="zh-CN"/>
        </w:rPr>
        <w:t>单位</w:t>
      </w:r>
      <w:r>
        <w:rPr>
          <w:rStyle w:val="25"/>
          <w:rFonts w:hint="default" w:ascii="Times New Roman" w:hAnsi="Times New Roman" w:eastAsia="黑体" w:cs="Times New Roman"/>
          <w:b w:val="0"/>
          <w:bCs w:val="0"/>
        </w:rPr>
        <w:t>概况</w:t>
      </w:r>
      <w:bookmarkEnd w:id="12"/>
      <w:bookmarkEnd w:id="13"/>
    </w:p>
    <w:p>
      <w:pPr>
        <w:pStyle w:val="4"/>
        <w:rPr>
          <w:rStyle w:val="26"/>
          <w:rFonts w:hint="default" w:ascii="Times New Roman" w:hAnsi="Times New Roman" w:eastAsia="仿宋" w:cs="Times New Roman"/>
          <w:b w:val="0"/>
          <w:bCs w:val="0"/>
        </w:rPr>
      </w:pPr>
      <w:bookmarkStart w:id="14" w:name="_Toc15377197"/>
      <w:bookmarkStart w:id="15" w:name="_Toc15396600"/>
      <w:bookmarkStart w:id="16" w:name="_Toc15396602"/>
      <w:bookmarkStart w:id="17" w:name="_Toc15377204"/>
      <w:r>
        <w:rPr>
          <w:rFonts w:hint="default" w:ascii="Times New Roman" w:hAnsi="Times New Roman" w:eastAsia="黑体" w:cs="Times New Roman"/>
          <w:b w:val="0"/>
          <w:color w:val="000000"/>
        </w:rPr>
        <w:t>一、基</w:t>
      </w:r>
      <w:r>
        <w:rPr>
          <w:rStyle w:val="26"/>
          <w:rFonts w:hint="default" w:ascii="Times New Roman" w:hAnsi="Times New Roman" w:eastAsia="黑体" w:cs="Times New Roman"/>
          <w:b w:val="0"/>
          <w:bCs w:val="0"/>
        </w:rPr>
        <w:t>本职能及主要工作</w:t>
      </w:r>
      <w:bookmarkEnd w:id="14"/>
      <w:bookmarkEnd w:id="15"/>
    </w:p>
    <w:p>
      <w:pPr>
        <w:pStyle w:val="2"/>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bookmarkStart w:id="18" w:name="_Toc15378445"/>
      <w:bookmarkStart w:id="19" w:name="_Toc15377198"/>
      <w:r>
        <w:rPr>
          <w:rFonts w:hint="default" w:ascii="Times New Roman" w:hAnsi="Times New Roman" w:eastAsia="仿宋" w:cs="Times New Roman"/>
          <w:bCs/>
          <w:color w:val="000000"/>
          <w:sz w:val="32"/>
          <w:szCs w:val="32"/>
        </w:rPr>
        <w:t>（一）主要职能。</w:t>
      </w:r>
      <w:bookmarkEnd w:id="18"/>
      <w:bookmarkEnd w:id="19"/>
    </w:p>
    <w:p>
      <w:pPr>
        <w:pStyle w:val="2"/>
        <w:keepNext w:val="0"/>
        <w:keepLines w:val="0"/>
        <w:pageBreakBefore w:val="0"/>
        <w:widowControl w:val="0"/>
        <w:kinsoku/>
        <w:wordWrap/>
        <w:overflowPunct/>
        <w:topLinePunct w:val="0"/>
        <w:autoSpaceDE/>
        <w:autoSpaceDN/>
        <w:bidi w:val="0"/>
        <w:adjustRightInd/>
        <w:snapToGrid/>
        <w:spacing w:before="0" w:beforeLines="0" w:line="240" w:lineRule="auto"/>
        <w:ind w:firstLine="538"/>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广安市教育考试院是广安市大学中专招生委员会和广安市高等教育自学考试委员会的常设办事机构，实行两块牌子一套人马，合署办公，是执行国家招生自考政策的政府职能部门。</w:t>
      </w:r>
    </w:p>
    <w:p>
      <w:pPr>
        <w:pStyle w:val="2"/>
        <w:keepNext w:val="0"/>
        <w:keepLines w:val="0"/>
        <w:pageBreakBefore w:val="0"/>
        <w:widowControl w:val="0"/>
        <w:kinsoku/>
        <w:wordWrap/>
        <w:overflowPunct/>
        <w:topLinePunct w:val="0"/>
        <w:autoSpaceDE/>
        <w:autoSpaceDN/>
        <w:bidi w:val="0"/>
        <w:adjustRightInd/>
        <w:snapToGrid/>
        <w:spacing w:before="0" w:beforeLines="0" w:line="240" w:lineRule="auto"/>
        <w:ind w:firstLine="538"/>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1.负责全国普通高等学校招生的宣传、报名、资格审查、体检、建档、考试、录取等工作（含职教师资、体育院校、艺术院校、空军飞行学院和港澳院校、保送预备生招生工作）。</w:t>
      </w:r>
    </w:p>
    <w:p>
      <w:pPr>
        <w:pStyle w:val="2"/>
        <w:keepNext w:val="0"/>
        <w:keepLines w:val="0"/>
        <w:pageBreakBefore w:val="0"/>
        <w:widowControl w:val="0"/>
        <w:kinsoku/>
        <w:wordWrap/>
        <w:overflowPunct/>
        <w:topLinePunct w:val="0"/>
        <w:autoSpaceDE/>
        <w:autoSpaceDN/>
        <w:bidi w:val="0"/>
        <w:adjustRightInd/>
        <w:snapToGrid/>
        <w:spacing w:before="0" w:beforeLines="0" w:line="240" w:lineRule="auto"/>
        <w:ind w:firstLine="538"/>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2.负责全国各成人高校、成人中专招生的宣传、报名、资格审查、信息采集、考试、录取等工作。</w:t>
      </w:r>
    </w:p>
    <w:p>
      <w:pPr>
        <w:pStyle w:val="2"/>
        <w:keepNext w:val="0"/>
        <w:keepLines w:val="0"/>
        <w:pageBreakBefore w:val="0"/>
        <w:widowControl w:val="0"/>
        <w:kinsoku/>
        <w:wordWrap/>
        <w:overflowPunct/>
        <w:topLinePunct w:val="0"/>
        <w:autoSpaceDE/>
        <w:autoSpaceDN/>
        <w:bidi w:val="0"/>
        <w:adjustRightInd/>
        <w:snapToGrid/>
        <w:spacing w:before="0" w:beforeLines="0" w:line="240" w:lineRule="auto"/>
        <w:ind w:firstLine="538"/>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3.负责高等教育自学考试的宣传、报名、考试、学籍档案管理和办理考生毕业证书及专业证书等工作。</w:t>
      </w:r>
    </w:p>
    <w:p>
      <w:pPr>
        <w:pStyle w:val="2"/>
        <w:keepNext w:val="0"/>
        <w:keepLines w:val="0"/>
        <w:pageBreakBefore w:val="0"/>
        <w:widowControl w:val="0"/>
        <w:kinsoku/>
        <w:wordWrap/>
        <w:overflowPunct/>
        <w:topLinePunct w:val="0"/>
        <w:autoSpaceDE/>
        <w:autoSpaceDN/>
        <w:bidi w:val="0"/>
        <w:adjustRightInd/>
        <w:snapToGrid/>
        <w:spacing w:before="0" w:beforeLines="0" w:line="240" w:lineRule="auto"/>
        <w:ind w:firstLine="538"/>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4.负责非学历文凭考试、全国计算机等级考试、全国公共英语等级考试、大学英语四、六级考试等工作。</w:t>
      </w:r>
    </w:p>
    <w:p>
      <w:pPr>
        <w:pStyle w:val="2"/>
        <w:keepNext w:val="0"/>
        <w:keepLines w:val="0"/>
        <w:pageBreakBefore w:val="0"/>
        <w:widowControl w:val="0"/>
        <w:kinsoku/>
        <w:wordWrap/>
        <w:overflowPunct/>
        <w:topLinePunct w:val="0"/>
        <w:autoSpaceDE/>
        <w:autoSpaceDN/>
        <w:bidi w:val="0"/>
        <w:adjustRightInd/>
        <w:snapToGrid/>
        <w:spacing w:before="0" w:beforeLines="0" w:line="240" w:lineRule="auto"/>
        <w:ind w:firstLine="538"/>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5.负责全市高中阶段教育学校招生的宣传、报名、信息采集、录取等工作。</w:t>
      </w:r>
    </w:p>
    <w:p>
      <w:pPr>
        <w:pStyle w:val="2"/>
        <w:keepNext w:val="0"/>
        <w:keepLines w:val="0"/>
        <w:pageBreakBefore w:val="0"/>
        <w:widowControl w:val="0"/>
        <w:kinsoku/>
        <w:wordWrap/>
        <w:overflowPunct/>
        <w:topLinePunct w:val="0"/>
        <w:autoSpaceDE/>
        <w:autoSpaceDN/>
        <w:bidi w:val="0"/>
        <w:adjustRightInd/>
        <w:snapToGrid/>
        <w:spacing w:before="0" w:beforeLines="0" w:line="240" w:lineRule="auto"/>
        <w:ind w:firstLine="538"/>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6.负责全市教师资格考试的宣传、报名、考试等工作。</w:t>
      </w:r>
    </w:p>
    <w:p>
      <w:pPr>
        <w:pStyle w:val="2"/>
        <w:adjustRightInd w:val="0"/>
        <w:snapToGrid w:val="0"/>
        <w:spacing w:before="93" w:line="600" w:lineRule="exact"/>
        <w:ind w:firstLine="588" w:firstLineChars="210"/>
        <w:outlineLvl w:val="2"/>
        <w:rPr>
          <w:rFonts w:hint="default" w:ascii="Times New Roman" w:hAnsi="Times New Roman" w:eastAsia="仿宋" w:cs="Times New Roman"/>
          <w:bCs/>
          <w:color w:val="000000"/>
          <w:sz w:val="32"/>
          <w:szCs w:val="32"/>
        </w:rPr>
      </w:pPr>
      <w:r>
        <w:rPr>
          <w:rFonts w:hint="eastAsia" w:ascii="仿宋" w:hAnsi="仿宋" w:eastAsia="仿宋" w:cs="Times New Roman"/>
          <w:sz w:val="28"/>
          <w:szCs w:val="28"/>
          <w:lang w:val="en-US" w:eastAsia="zh-CN"/>
        </w:rPr>
        <w:t>7.负责政法干警招录的入学考试及特岗教师招录考试工作。</w:t>
      </w:r>
    </w:p>
    <w:p>
      <w:pPr>
        <w:pStyle w:val="2"/>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bookmarkStart w:id="20" w:name="_Toc15378446"/>
      <w:bookmarkStart w:id="21" w:name="_Toc15377199"/>
      <w:r>
        <w:rPr>
          <w:rFonts w:hint="default" w:ascii="Times New Roman" w:hAnsi="Times New Roman" w:eastAsia="仿宋" w:cs="Times New Roman"/>
          <w:bCs/>
          <w:color w:val="000000"/>
          <w:sz w:val="32"/>
          <w:szCs w:val="32"/>
        </w:rPr>
        <w:t>（二）202</w:t>
      </w:r>
      <w:r>
        <w:rPr>
          <w:rFonts w:hint="default" w:ascii="Times New Roman" w:hAnsi="Times New Roman" w:eastAsia="仿宋" w:cs="Times New Roman"/>
          <w:bCs/>
          <w:color w:val="000000"/>
          <w:sz w:val="32"/>
          <w:szCs w:val="32"/>
          <w:lang w:val="en-US" w:eastAsia="zh-CN"/>
        </w:rPr>
        <w:t>2</w:t>
      </w:r>
      <w:r>
        <w:rPr>
          <w:rFonts w:hint="default" w:ascii="Times New Roman" w:hAnsi="Times New Roman" w:eastAsia="仿宋" w:cs="Times New Roman"/>
          <w:bCs/>
          <w:color w:val="000000"/>
          <w:sz w:val="32"/>
          <w:szCs w:val="32"/>
        </w:rPr>
        <w:t>年重点工作完成情况。</w:t>
      </w:r>
      <w:bookmarkEnd w:id="20"/>
      <w:bookmarkEnd w:id="21"/>
    </w:p>
    <w:p>
      <w:pPr>
        <w:pStyle w:val="2"/>
        <w:keepNext w:val="0"/>
        <w:keepLines w:val="0"/>
        <w:pageBreakBefore w:val="0"/>
        <w:widowControl w:val="0"/>
        <w:kinsoku/>
        <w:wordWrap/>
        <w:overflowPunct/>
        <w:topLinePunct w:val="0"/>
        <w:autoSpaceDE/>
        <w:autoSpaceDN/>
        <w:bidi w:val="0"/>
        <w:adjustRightInd/>
        <w:snapToGrid/>
        <w:spacing w:before="0" w:beforeLines="0" w:line="240" w:lineRule="auto"/>
        <w:ind w:firstLine="538"/>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2022年，广安市教育考试院功举办了普通高考、成人高考、自考、研究生考试、计算机等级考试、英语定级等级考试、教师资格考试等国家教育考试，并积极配合省教育考试院录取领导小组做好了2022年高校录取新生工作，为全国高校输送了一大批合格的新生。</w:t>
      </w:r>
    </w:p>
    <w:p>
      <w:pPr>
        <w:pStyle w:val="4"/>
        <w:rPr>
          <w:rStyle w:val="26"/>
          <w:rFonts w:hint="default" w:ascii="Times New Roman" w:hAnsi="Times New Roman" w:cs="Times New Roman"/>
          <w:b w:val="0"/>
          <w:bCs w:val="0"/>
        </w:rPr>
      </w:pPr>
      <w:bookmarkStart w:id="22" w:name="_Toc15396601"/>
      <w:bookmarkStart w:id="23" w:name="_Toc15377200"/>
      <w:r>
        <w:rPr>
          <w:rFonts w:hint="default" w:ascii="Times New Roman" w:hAnsi="Times New Roman" w:eastAsia="黑体" w:cs="Times New Roman"/>
          <w:b w:val="0"/>
          <w:color w:val="000000"/>
        </w:rPr>
        <w:t>二、机</w:t>
      </w:r>
      <w:r>
        <w:rPr>
          <w:rStyle w:val="26"/>
          <w:rFonts w:hint="default" w:ascii="Times New Roman" w:hAnsi="Times New Roman" w:eastAsia="黑体" w:cs="Times New Roman"/>
          <w:b w:val="0"/>
          <w:bCs w:val="0"/>
        </w:rPr>
        <w:t>构设置</w:t>
      </w:r>
      <w:bookmarkEnd w:id="22"/>
      <w:bookmarkEnd w:id="23"/>
    </w:p>
    <w:p>
      <w:pPr>
        <w:ind w:firstLine="800" w:firstLineChars="250"/>
        <w:rPr>
          <w:rFonts w:hint="default" w:ascii="Times New Roman" w:hAnsi="Times New Roman" w:eastAsia="仿宋" w:cs="Times New Roman"/>
          <w:sz w:val="32"/>
          <w:szCs w:val="32"/>
        </w:rPr>
      </w:pPr>
      <w:r>
        <w:rPr>
          <w:rFonts w:hint="eastAsia" w:eastAsia="仿宋" w:cs="Times New Roman"/>
          <w:sz w:val="32"/>
          <w:szCs w:val="32"/>
          <w:lang w:val="en-US" w:eastAsia="zh-CN"/>
        </w:rPr>
        <w:t>广安市教育考试院</w:t>
      </w:r>
      <w:r>
        <w:rPr>
          <w:rFonts w:hint="default" w:ascii="Times New Roman" w:hAnsi="Times New Roman" w:eastAsia="仿宋" w:cs="Times New Roman"/>
          <w:sz w:val="32"/>
          <w:szCs w:val="32"/>
          <w:lang w:eastAsia="zh-CN"/>
        </w:rPr>
        <w:t>共有在职人员</w:t>
      </w:r>
      <w:r>
        <w:rPr>
          <w:rFonts w:hint="eastAsia" w:eastAsia="仿宋" w:cs="Times New Roman"/>
          <w:sz w:val="32"/>
          <w:szCs w:val="32"/>
          <w:lang w:val="en-US" w:eastAsia="zh-CN"/>
        </w:rPr>
        <w:t>9人</w:t>
      </w:r>
      <w:r>
        <w:rPr>
          <w:rFonts w:hint="default" w:ascii="Times New Roman" w:hAnsi="Times New Roman" w:eastAsia="仿宋" w:cs="Times New Roman"/>
          <w:sz w:val="32"/>
          <w:szCs w:val="32"/>
        </w:rPr>
        <w:t>，内设</w:t>
      </w:r>
      <w:r>
        <w:rPr>
          <w:rFonts w:hint="eastAsia" w:eastAsia="仿宋" w:cs="Times New Roman"/>
          <w:sz w:val="32"/>
          <w:szCs w:val="32"/>
          <w:lang w:val="en-US" w:eastAsia="zh-CN"/>
        </w:rPr>
        <w:t>4</w:t>
      </w:r>
      <w:r>
        <w:rPr>
          <w:rFonts w:hint="default" w:ascii="Times New Roman" w:hAnsi="Times New Roman" w:eastAsia="仿宋" w:cs="Times New Roman"/>
          <w:sz w:val="32"/>
          <w:szCs w:val="32"/>
        </w:rPr>
        <w:t>个科室。</w:t>
      </w:r>
      <w:r>
        <w:rPr>
          <w:rFonts w:hint="default" w:ascii="Times New Roman" w:hAnsi="Times New Roman" w:eastAsia="仿宋" w:cs="Times New Roman"/>
          <w:sz w:val="32"/>
          <w:szCs w:val="32"/>
          <w:lang w:eastAsia="zh-CN"/>
        </w:rPr>
        <w:t>设有</w:t>
      </w:r>
      <w:r>
        <w:rPr>
          <w:rFonts w:hint="eastAsia" w:ascii="仿宋" w:hAnsi="仿宋" w:eastAsia="仿宋" w:cs="Times New Roman"/>
          <w:sz w:val="28"/>
          <w:szCs w:val="28"/>
          <w:lang w:val="en-US" w:eastAsia="zh-CN"/>
        </w:rPr>
        <w:t>综合科，主要负责文秘、文件收发、电话转接、信访纪检、宣传、保密、微机、小车、财务、档案管理、后勤服务、年度总结及考评，指导全市招生自考系统文书档案管理、调研全市招生、自考工作；招生科，朱啊哟负责普通高校（含职教师资、体育院校、艺术院校、空军飞行学院、港澳院校、保送预备生）、成人高校、高中阶段教育学校招生的宣传、报名、资格审查、体检、考试、录取等工作；自考科，主要负责高等教育自学考试的宣传、报名、信息采集、考试、登分、发放成绩、档案管理、学籍管理等工作，全国计算机等级考试、英语四、六级考试等工作；信息科，主要负责国家教育考试各类基础信息的收集、审核、上报和各类招生考试数据统计、分析，负责招生考试网站建设和管理，指导区市县完成网上报名和网上填报志愿的各项工作</w:t>
      </w:r>
      <w:r>
        <w:rPr>
          <w:rFonts w:hint="default" w:ascii="Times New Roman" w:hAnsi="Times New Roman" w:eastAsia="仿宋" w:cs="Times New Roman"/>
          <w:sz w:val="32"/>
          <w:szCs w:val="32"/>
        </w:rPr>
        <w:t>。</w:t>
      </w:r>
    </w:p>
    <w:p>
      <w:pPr>
        <w:rPr>
          <w:rFonts w:hint="default" w:ascii="Times New Roman" w:hAnsi="Times New Roman" w:eastAsia="黑体" w:cs="Times New Roman"/>
          <w:b w:val="0"/>
          <w:color w:val="FF0000"/>
        </w:rPr>
      </w:pPr>
      <w:r>
        <w:rPr>
          <w:rFonts w:hint="eastAsia" w:eastAsia="黑体" w:cs="Times New Roman"/>
          <w:b w:val="0"/>
          <w:color w:val="FF0000"/>
          <w:lang w:val="en-US" w:eastAsia="zh-CN"/>
        </w:rPr>
        <w:t xml:space="preserve">  </w:t>
      </w:r>
    </w:p>
    <w:p>
      <w:pPr>
        <w:pStyle w:val="2"/>
        <w:rPr>
          <w:rFonts w:hint="default" w:ascii="Times New Roman" w:hAnsi="Times New Roman" w:eastAsia="黑体" w:cs="Times New Roman"/>
          <w:b w:val="0"/>
          <w:color w:val="000000"/>
        </w:rPr>
      </w:pPr>
    </w:p>
    <w:p>
      <w:pPr>
        <w:pStyle w:val="3"/>
        <w:ind w:right="440"/>
        <w:jc w:val="right"/>
        <w:rPr>
          <w:rStyle w:val="25"/>
          <w:rFonts w:hint="default" w:ascii="Times New Roman" w:hAnsi="Times New Roman" w:eastAsia="黑体" w:cs="Times New Roman"/>
          <w:b w:val="0"/>
          <w:bCs w:val="0"/>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5"/>
          <w:rFonts w:hint="default" w:ascii="Times New Roman" w:hAnsi="Times New Roman" w:eastAsia="黑体" w:cs="Times New Roman"/>
          <w:b w:val="0"/>
          <w:bCs w:val="0"/>
        </w:rPr>
        <w:t>202</w:t>
      </w:r>
      <w:r>
        <w:rPr>
          <w:rStyle w:val="25"/>
          <w:rFonts w:hint="default" w:ascii="Times New Roman" w:hAnsi="Times New Roman" w:eastAsia="黑体" w:cs="Times New Roman"/>
          <w:b w:val="0"/>
          <w:bCs w:val="0"/>
          <w:lang w:val="en-US" w:eastAsia="zh-CN"/>
        </w:rPr>
        <w:t>2</w:t>
      </w:r>
      <w:r>
        <w:rPr>
          <w:rStyle w:val="25"/>
          <w:rFonts w:hint="default" w:ascii="Times New Roman" w:hAnsi="Times New Roman" w:eastAsia="黑体" w:cs="Times New Roman"/>
          <w:b w:val="0"/>
          <w:bCs w:val="0"/>
        </w:rPr>
        <w:t>年度</w:t>
      </w:r>
      <w:r>
        <w:rPr>
          <w:rStyle w:val="25"/>
          <w:rFonts w:hint="default" w:ascii="Times New Roman" w:hAnsi="Times New Roman" w:eastAsia="黑体" w:cs="Times New Roman"/>
          <w:b w:val="0"/>
          <w:bCs w:val="0"/>
          <w:lang w:eastAsia="zh-CN"/>
        </w:rPr>
        <w:t>单位</w:t>
      </w:r>
      <w:r>
        <w:rPr>
          <w:rStyle w:val="25"/>
          <w:rFonts w:hint="default" w:ascii="Times New Roman" w:hAnsi="Times New Roman" w:eastAsia="黑体" w:cs="Times New Roman"/>
          <w:b w:val="0"/>
          <w:bCs w:val="0"/>
        </w:rPr>
        <w:t>决算情况说明</w:t>
      </w:r>
      <w:bookmarkEnd w:id="16"/>
      <w:bookmarkEnd w:id="17"/>
    </w:p>
    <w:p>
      <w:pPr>
        <w:pStyle w:val="24"/>
        <w:pageBreakBefore w:val="0"/>
        <w:widowControl w:val="0"/>
        <w:numPr>
          <w:ilvl w:val="0"/>
          <w:numId w:val="1"/>
        </w:numPr>
        <w:kinsoku/>
        <w:wordWrap/>
        <w:overflowPunct/>
        <w:topLinePunct w:val="0"/>
        <w:bidi w:val="0"/>
        <w:snapToGrid/>
        <w:spacing w:line="240" w:lineRule="auto"/>
        <w:ind w:firstLineChars="0"/>
        <w:textAlignment w:val="auto"/>
        <w:outlineLvl w:val="1"/>
        <w:rPr>
          <w:rStyle w:val="26"/>
          <w:rFonts w:hint="default" w:ascii="Times New Roman" w:hAnsi="Times New Roman" w:eastAsia="黑体" w:cs="Times New Roman"/>
          <w:b w:val="0"/>
        </w:rPr>
      </w:pPr>
      <w:bookmarkStart w:id="24" w:name="_Toc15396603"/>
      <w:bookmarkStart w:id="25" w:name="_Toc15377205"/>
      <w:r>
        <w:rPr>
          <w:rFonts w:hint="default" w:ascii="Times New Roman" w:hAnsi="Times New Roman" w:eastAsia="黑体" w:cs="Times New Roman"/>
          <w:color w:val="000000"/>
          <w:sz w:val="32"/>
          <w:szCs w:val="32"/>
        </w:rPr>
        <w:t>收</w:t>
      </w:r>
      <w:r>
        <w:rPr>
          <w:rStyle w:val="26"/>
          <w:rFonts w:hint="default" w:ascii="Times New Roman" w:hAnsi="Times New Roman" w:eastAsia="黑体" w:cs="Times New Roman"/>
          <w:b w:val="0"/>
        </w:rPr>
        <w:t>入支出决算总体情况说明</w:t>
      </w:r>
      <w:bookmarkEnd w:id="24"/>
      <w:bookmarkEnd w:id="25"/>
    </w:p>
    <w:p>
      <w:pPr>
        <w:keepNext/>
        <w:keepLines/>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2022年度收、支总计均为315.37万元。与2021年相比，收、支总计各增加102.94万元，增长48.5%。主要变动原因是完善标准考点网上巡查设备项目增加预算。</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黑体" w:hAnsi="黑体" w:eastAsia="黑体"/>
          <w:color w:val="000000"/>
          <w:kern w:val="2"/>
          <w:sz w:val="32"/>
          <w:szCs w:val="24"/>
          <w:lang w:val="en-US"/>
        </w:rPr>
      </w:pPr>
      <w:r>
        <mc:AlternateContent>
          <mc:Choice Requires="wpg">
            <w:drawing>
              <wp:anchor distT="0" distB="0" distL="114300" distR="114300" simplePos="0" relativeHeight="251658240" behindDoc="0" locked="0" layoutInCell="1" allowOverlap="1">
                <wp:simplePos x="0" y="0"/>
                <wp:positionH relativeFrom="column">
                  <wp:posOffset>371475</wp:posOffset>
                </wp:positionH>
                <wp:positionV relativeFrom="page">
                  <wp:posOffset>3356610</wp:posOffset>
                </wp:positionV>
                <wp:extent cx="4756785" cy="2743200"/>
                <wp:effectExtent l="4445" t="4445" r="0" b="14605"/>
                <wp:wrapTopAndBottom/>
                <wp:docPr id="2" name="组合 16"/>
                <wp:cNvGraphicFramePr/>
                <a:graphic xmlns:a="http://schemas.openxmlformats.org/drawingml/2006/main">
                  <a:graphicData uri="http://schemas.microsoft.com/office/word/2010/wordprocessingGroup">
                    <wpg:wgp>
                      <wpg:cNvGrpSpPr/>
                      <wpg:grpSpPr>
                        <a:xfrm>
                          <a:off x="0" y="0"/>
                          <a:ext cx="4756785" cy="2743200"/>
                          <a:chOff x="3455" y="55"/>
                          <a:chExt cx="7491" cy="4320"/>
                        </a:xfrm>
                      </wpg:grpSpPr>
                      <wpg:graphicFrame>
                        <wpg:cNvPr id="14" name="图表 13"/>
                        <wpg:cNvFrPr/>
                        <wpg:xfrm>
                          <a:off x="3455" y="55"/>
                          <a:ext cx="7200" cy="4320"/>
                        </wpg:xfrm>
                        <a:graphic>
                          <a:graphicData uri="http://schemas.openxmlformats.org/drawingml/2006/chart">
                            <c:chart xmlns:c="http://schemas.openxmlformats.org/drawingml/2006/chart" xmlns:r="http://schemas.openxmlformats.org/officeDocument/2006/relationships" r:id="rId7"/>
                          </a:graphicData>
                        </a:graphic>
                      </wpg:graphicFrame>
                      <wps:wsp>
                        <wps:cNvPr id="16" name="文本框 15"/>
                        <wps:cNvSpPr txBox="true"/>
                        <wps:spPr>
                          <a:xfrm>
                            <a:off x="9445" y="455"/>
                            <a:ext cx="1501" cy="49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12"/>
                                <w:kinsoku/>
                                <w:ind w:left="0"/>
                                <w:jc w:val="left"/>
                              </w:pPr>
                              <w:r>
                                <w:rPr>
                                  <w:rFonts w:asciiTheme="minorAscii" w:hAnsiTheme="minorBidi" w:eastAsiaTheme="minorEastAsia"/>
                                  <w:color w:val="000000" w:themeColor="dark1"/>
                                  <w:kern w:val="24"/>
                                  <w:sz w:val="20"/>
                                  <w:szCs w:val="20"/>
                                  <w14:textFill>
                                    <w14:solidFill>
                                      <w14:schemeClr w14:val="dk1"/>
                                    </w14:solidFill>
                                  </w14:textFill>
                                </w:rPr>
                                <w:t>单位：万元</w:t>
                              </w:r>
                            </w:p>
                          </w:txbxContent>
                        </wps:txbx>
                        <wps:bodyPr vertOverflow="clip" horzOverflow="clip" wrap="square" rtlCol="0" anchor="t">
                          <a:noAutofit/>
                        </wps:bodyPr>
                      </wps:wsp>
                    </wpg:wgp>
                  </a:graphicData>
                </a:graphic>
              </wp:anchor>
            </w:drawing>
          </mc:Choice>
          <mc:Fallback>
            <w:pict>
              <v:group id="组合 16" o:spid="_x0000_s1026" o:spt="203" style="position:absolute;left:0pt;margin-left:29.25pt;margin-top:264.3pt;height:216pt;width:374.55pt;mso-position-vertical-relative:page;mso-wrap-distance-bottom:0pt;mso-wrap-distance-top:0pt;z-index:251658240;mso-width-relative:page;mso-height-relative:page;" coordorigin="3455,55" coordsize="7491,4320" o:gfxdata="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">
                <o:lock v:ext="edit" aspectratio="f"/>
                <v:rect id="图表 13" o:spid="_x0000_s1026" o:spt="75" style="position:absolute;left:3448;top:48;height:4335;width:7215;" coordsize="21600,21600" o:gfxdata="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Phh+vAAAANsAAAAPAAAAAAAAAAEAIAAAADgAAABkcnMvZG93bnJldi54&#10;bWxQSwECFAAUAAAACACHTuJAMy8FnjsAAAA5AAAAEAAAAAAAAAABACAAAAAhAQAAZHJzL3NoYXBl&#10;eG1sLnhtbFBLBQYAAAAABgAGAFsBAADLAwAAAAA=&#10;">
                  <v:imagedata r:id="rId8" o:title=""/>
                  <o:lock v:ext="edit"/>
                </v:rect>
                <v:shape id="文本框 15" o:spid="_x0000_s1026" o:spt="202" type="#_x0000_t202" style="position:absolute;left:9445;top:455;height:494;width:1501;" filled="f" stroked="f" coordsize="21600,21600" o:gfxdata="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&#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jFrsZuQAAANs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12"/>
                          <w:kinsoku/>
                          <w:ind w:left="0"/>
                          <w:jc w:val="left"/>
                        </w:pPr>
                        <w:r>
                          <w:rPr>
                            <w:rFonts w:asciiTheme="minorAscii" w:hAnsiTheme="minorBidi" w:eastAsiaTheme="minorEastAsia"/>
                            <w:color w:val="000000" w:themeColor="dark1"/>
                            <w:kern w:val="24"/>
                            <w:sz w:val="20"/>
                            <w:szCs w:val="20"/>
                            <w14:textFill>
                              <w14:solidFill>
                                <w14:schemeClr w14:val="dk1"/>
                              </w14:solidFill>
                            </w14:textFill>
                          </w:rPr>
                          <w:t>单位：万元</w:t>
                        </w:r>
                      </w:p>
                    </w:txbxContent>
                  </v:textbox>
                </v:shape>
                <w10:wrap type="topAndBottom"/>
              </v:group>
            </w:pict>
          </mc:Fallback>
        </mc:AlternateContent>
      </w:r>
      <w:r>
        <w:rPr>
          <w:rFonts w:hint="eastAsia" w:ascii="黑体" w:hAnsi="黑体" w:eastAsia="黑体"/>
          <w:color w:val="000000"/>
          <w:kern w:val="2"/>
          <w:sz w:val="32"/>
          <w:szCs w:val="24"/>
          <w:lang w:val="en-US" w:eastAsia="zh-CN"/>
        </w:rPr>
        <w:t xml:space="preserve">    </w:t>
      </w:r>
    </w:p>
    <w:p>
      <w:pPr>
        <w:pStyle w:val="24"/>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textAlignment w:val="auto"/>
        <w:outlineLvl w:val="1"/>
        <w:rPr>
          <w:rStyle w:val="26"/>
          <w:rFonts w:hint="default" w:ascii="Times New Roman" w:hAnsi="Times New Roman" w:eastAsia="黑体" w:cs="Times New Roman"/>
          <w:b w:val="0"/>
        </w:rPr>
      </w:pPr>
      <w:bookmarkStart w:id="26" w:name="_Toc15377206"/>
      <w:bookmarkStart w:id="27" w:name="_Toc15396604"/>
      <w:r>
        <w:rPr>
          <w:rFonts w:hint="default" w:ascii="Times New Roman" w:hAnsi="Times New Roman" w:eastAsia="黑体" w:cs="Times New Roman"/>
          <w:color w:val="000000"/>
          <w:sz w:val="32"/>
          <w:szCs w:val="32"/>
        </w:rPr>
        <w:t>收</w:t>
      </w:r>
      <w:r>
        <w:rPr>
          <w:rStyle w:val="26"/>
          <w:rFonts w:hint="default" w:ascii="Times New Roman" w:hAnsi="Times New Roman" w:eastAsia="黑体" w:cs="Times New Roman"/>
          <w:b w:val="0"/>
        </w:rPr>
        <w:t>入决算情况说明</w:t>
      </w:r>
      <w:bookmarkEnd w:id="26"/>
      <w:bookmarkEnd w:id="27"/>
    </w:p>
    <w:p>
      <w:pPr>
        <w:pStyle w:val="2"/>
        <w:keepNext w:val="0"/>
        <w:keepLines/>
        <w:pageBreakBefore w:val="0"/>
        <w:widowControl w:val="0"/>
        <w:numPr>
          <w:ilvl w:val="0"/>
          <w:numId w:val="0"/>
        </w:numPr>
        <w:kinsoku/>
        <w:wordWrap/>
        <w:overflowPunct/>
        <w:topLinePunct w:val="0"/>
        <w:autoSpaceDE w:val="0"/>
        <w:autoSpaceDN w:val="0"/>
        <w:bidi w:val="0"/>
        <w:adjustRightInd w:val="0"/>
        <w:snapToGrid/>
        <w:spacing w:beforeLines="0" w:line="240" w:lineRule="auto"/>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en-US" w:eastAsia="zh-CN"/>
        </w:rPr>
        <w:t xml:space="preserve">    </w:t>
      </w:r>
      <w:r>
        <w:rPr>
          <w:rFonts w:hint="eastAsia" w:ascii="仿宋_GB2312" w:hAnsi="仿宋_GB2312" w:eastAsia="仿宋_GB2312"/>
          <w:color w:val="000000"/>
          <w:kern w:val="2"/>
          <w:sz w:val="32"/>
          <w:szCs w:val="24"/>
          <w:lang w:val="zh-CN"/>
        </w:rPr>
        <w:t>2022年本年收入合计315.37万元，其中：一般公共预算财政拨款收入199.98万元，占63.4%；事业收入115.39万元，占36.6%；经营收入0万元，占0%。</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rPr>
      </w:pPr>
      <w:r>
        <w:drawing>
          <wp:anchor distT="0" distB="0" distL="114300" distR="114300" simplePos="0" relativeHeight="251659264" behindDoc="0" locked="0" layoutInCell="1" allowOverlap="1">
            <wp:simplePos x="0" y="0"/>
            <wp:positionH relativeFrom="column">
              <wp:posOffset>375920</wp:posOffset>
            </wp:positionH>
            <wp:positionV relativeFrom="page">
              <wp:posOffset>979805</wp:posOffset>
            </wp:positionV>
            <wp:extent cx="4934585" cy="3120390"/>
            <wp:effectExtent l="4445" t="4445" r="13970" b="18415"/>
            <wp:wrapTopAndBottom/>
            <wp:docPr id="13985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4"/>
        <w:numPr>
          <w:ilvl w:val="0"/>
          <w:numId w:val="1"/>
        </w:numPr>
        <w:spacing w:line="600" w:lineRule="exact"/>
        <w:ind w:firstLineChars="0"/>
        <w:outlineLvl w:val="1"/>
        <w:rPr>
          <w:rStyle w:val="26"/>
          <w:rFonts w:hint="default" w:ascii="Times New Roman" w:hAnsi="Times New Roman" w:eastAsia="黑体" w:cs="Times New Roman"/>
          <w:b w:val="0"/>
        </w:rPr>
      </w:pPr>
      <w:bookmarkStart w:id="28" w:name="_Toc15396605"/>
      <w:bookmarkStart w:id="29" w:name="_Toc15377207"/>
      <w:r>
        <w:rPr>
          <w:rFonts w:hint="default" w:ascii="Times New Roman" w:hAnsi="Times New Roman" w:eastAsia="黑体" w:cs="Times New Roman"/>
          <w:color w:val="000000"/>
          <w:sz w:val="32"/>
          <w:szCs w:val="32"/>
        </w:rPr>
        <w:t>支</w:t>
      </w:r>
      <w:r>
        <w:rPr>
          <w:rStyle w:val="26"/>
          <w:rFonts w:hint="default" w:ascii="Times New Roman" w:hAnsi="Times New Roman" w:eastAsia="黑体" w:cs="Times New Roman"/>
          <w:b w:val="0"/>
        </w:rPr>
        <w:t>出决算情况说明</w:t>
      </w:r>
      <w:bookmarkEnd w:id="28"/>
      <w:bookmarkEnd w:id="29"/>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2022年本年支出合计315.37万元，其中：基本支出137.97万元，占43.7%；项目支出177.4万元，占56.3%。</w:t>
      </w:r>
    </w:p>
    <w:p>
      <w:pPr>
        <w:spacing w:line="600" w:lineRule="exact"/>
        <w:ind w:firstLine="640"/>
        <w:rPr>
          <w:rFonts w:hint="default" w:ascii="Times New Roman" w:hAnsi="Times New Roman" w:eastAsia="仿宋" w:cs="Times New Roman"/>
          <w:color w:val="000000"/>
          <w:sz w:val="32"/>
          <w:szCs w:val="32"/>
          <w:shd w:val="pct10" w:color="auto" w:fill="FFFFFF"/>
        </w:rPr>
      </w:pPr>
      <w:r>
        <w:drawing>
          <wp:anchor distT="0" distB="0" distL="114300" distR="114300" simplePos="0" relativeHeight="251660288" behindDoc="0" locked="0" layoutInCell="1" allowOverlap="1">
            <wp:simplePos x="0" y="0"/>
            <wp:positionH relativeFrom="column">
              <wp:posOffset>582295</wp:posOffset>
            </wp:positionH>
            <wp:positionV relativeFrom="page">
              <wp:posOffset>5659120</wp:posOffset>
            </wp:positionV>
            <wp:extent cx="4466590" cy="2707005"/>
            <wp:effectExtent l="4445" t="4445" r="5715" b="12700"/>
            <wp:wrapTopAndBottom/>
            <wp:docPr id="13985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outlineLvl w:val="1"/>
        <w:rPr>
          <w:rStyle w:val="26"/>
          <w:rFonts w:hint="default" w:ascii="Times New Roman" w:hAnsi="Times New Roman" w:eastAsia="黑体" w:cs="Times New Roman"/>
          <w:b w:val="0"/>
        </w:rPr>
      </w:pPr>
      <w:bookmarkStart w:id="30" w:name="_Toc15377208"/>
      <w:bookmarkStart w:id="31" w:name="_Toc15396606"/>
      <w:r>
        <w:rPr>
          <w:rFonts w:hint="default" w:ascii="Times New Roman" w:hAnsi="Times New Roman" w:eastAsia="黑体" w:cs="Times New Roman"/>
          <w:color w:val="000000"/>
          <w:sz w:val="32"/>
          <w:szCs w:val="32"/>
        </w:rPr>
        <w:t>四、财</w:t>
      </w:r>
      <w:r>
        <w:rPr>
          <w:rStyle w:val="26"/>
          <w:rFonts w:hint="default" w:ascii="Times New Roman" w:hAnsi="Times New Roman" w:eastAsia="黑体" w:cs="Times New Roman"/>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000000"/>
          <w:sz w:val="32"/>
          <w:szCs w:val="32"/>
        </w:rPr>
      </w:pPr>
      <w:r>
        <w:rPr>
          <w:rFonts w:hint="eastAsia" w:ascii="仿宋_GB2312" w:hAnsi="仿宋_GB2312" w:eastAsia="仿宋_GB2312"/>
          <w:color w:val="000000"/>
          <w:kern w:val="2"/>
          <w:sz w:val="32"/>
          <w:szCs w:val="24"/>
          <w:lang w:val="en-US" w:eastAsia="zh-CN"/>
        </w:rPr>
        <w:t xml:space="preserve">    </w:t>
      </w:r>
      <w:r>
        <w:rPr>
          <w:rFonts w:hint="eastAsia" w:ascii="仿宋_GB2312" w:hAnsi="仿宋_GB2312" w:eastAsia="仿宋_GB2312"/>
          <w:color w:val="000000"/>
          <w:kern w:val="2"/>
          <w:sz w:val="32"/>
          <w:szCs w:val="24"/>
          <w:lang w:val="zh-CN"/>
        </w:rPr>
        <w:t>2022年财政拨款收、支总计199.98万元。与2021年相比，财政拨款收、支总计各增加73.76万元，增长58.4%。主要变动原因是完善标准考点网上巡查设备项目增加。</w:t>
      </w:r>
    </w:p>
    <w:p>
      <w:pPr>
        <w:spacing w:line="600" w:lineRule="exact"/>
        <w:ind w:firstLine="420" w:firstLineChars="200"/>
        <w:rPr>
          <w:rStyle w:val="26"/>
          <w:rFonts w:hint="default" w:ascii="Times New Roman" w:hAnsi="Times New Roman" w:eastAsia="黑体" w:cs="Times New Roman"/>
          <w:b w:val="0"/>
        </w:rPr>
      </w:pPr>
      <w:r>
        <w:drawing>
          <wp:anchor distT="0" distB="0" distL="114300" distR="114300" simplePos="0" relativeHeight="251661312" behindDoc="0" locked="0" layoutInCell="1" allowOverlap="1">
            <wp:simplePos x="0" y="0"/>
            <wp:positionH relativeFrom="column">
              <wp:posOffset>734695</wp:posOffset>
            </wp:positionH>
            <wp:positionV relativeFrom="paragraph">
              <wp:posOffset>80645</wp:posOffset>
            </wp:positionV>
            <wp:extent cx="3609340" cy="2695575"/>
            <wp:effectExtent l="4445" t="4445" r="5715" b="5080"/>
            <wp:wrapTopAndBottom/>
            <wp:docPr id="13986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2" w:name="_Toc15377209"/>
      <w:bookmarkStart w:id="33" w:name="_Toc1539660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6"/>
          <w:rFonts w:hint="default" w:ascii="Times New Roman" w:hAnsi="Times New Roman" w:eastAsia="黑体" w:cs="Times New Roman"/>
          <w:b w:val="0"/>
        </w:rPr>
        <w:t>般公共预算财政拨款支出决算情况说明</w:t>
      </w:r>
      <w:bookmarkEnd w:id="32"/>
      <w:bookmarkEnd w:id="33"/>
    </w:p>
    <w:p>
      <w:pPr>
        <w:spacing w:line="600" w:lineRule="exact"/>
        <w:ind w:firstLine="642" w:firstLineChars="200"/>
        <w:outlineLvl w:val="2"/>
        <w:rPr>
          <w:rFonts w:hint="default" w:ascii="Times New Roman" w:hAnsi="Times New Roman" w:eastAsia="仿宋" w:cs="Times New Roman"/>
          <w:b/>
          <w:color w:val="000000"/>
          <w:sz w:val="32"/>
          <w:szCs w:val="32"/>
        </w:rPr>
      </w:pPr>
      <w:bookmarkStart w:id="34" w:name="_Toc15377210"/>
      <w:r>
        <w:rPr>
          <w:rFonts w:hint="default" w:ascii="Times New Roman" w:hAnsi="Times New Roman" w:eastAsia="仿宋" w:cs="Times New Roman"/>
          <w:b/>
          <w:color w:val="000000"/>
          <w:sz w:val="32"/>
          <w:szCs w:val="32"/>
        </w:rPr>
        <w:t>（一）一般公共预算财政拨款支出决算总体情况</w:t>
      </w:r>
      <w:bookmarkEnd w:id="34"/>
    </w:p>
    <w:p>
      <w:pPr>
        <w:pStyle w:val="2"/>
        <w:numPr>
          <w:ilvl w:val="0"/>
          <w:numId w:val="0"/>
        </w:numPr>
        <w:rPr>
          <w:rFonts w:hint="eastAsia" w:ascii="仿宋_GB2312" w:hAnsi="仿宋_GB2312" w:eastAsia="仿宋_GB2312"/>
          <w:b/>
          <w:bCs/>
          <w:color w:val="000000"/>
          <w:kern w:val="2"/>
          <w:sz w:val="32"/>
          <w:szCs w:val="24"/>
          <w:lang w:val="zh-CN"/>
        </w:rPr>
      </w:pPr>
      <w:r>
        <w:rPr>
          <w:sz w:val="30"/>
        </w:rPr>
        <mc:AlternateContent>
          <mc:Choice Requires="wpg">
            <w:drawing>
              <wp:anchor distT="0" distB="0" distL="114300" distR="114300" simplePos="0" relativeHeight="251671552" behindDoc="0" locked="0" layoutInCell="1" allowOverlap="1">
                <wp:simplePos x="0" y="0"/>
                <wp:positionH relativeFrom="column">
                  <wp:posOffset>514350</wp:posOffset>
                </wp:positionH>
                <wp:positionV relativeFrom="paragraph">
                  <wp:posOffset>1666240</wp:posOffset>
                </wp:positionV>
                <wp:extent cx="4619625" cy="2095500"/>
                <wp:effectExtent l="0" t="0" r="9525" b="0"/>
                <wp:wrapTopAndBottom/>
                <wp:docPr id="6" name="组合 6"/>
                <wp:cNvGraphicFramePr/>
                <a:graphic xmlns:a="http://schemas.openxmlformats.org/drawingml/2006/main">
                  <a:graphicData uri="http://schemas.microsoft.com/office/word/2010/wordprocessingGroup">
                    <wpg:wgp>
                      <wpg:cNvGrpSpPr/>
                      <wpg:grpSpPr>
                        <a:xfrm>
                          <a:off x="0" y="0"/>
                          <a:ext cx="4619625" cy="2095500"/>
                          <a:chOff x="8295" y="108226"/>
                          <a:chExt cx="7275" cy="3300"/>
                        </a:xfrm>
                      </wpg:grpSpPr>
                      <pic:pic xmlns:pic="http://schemas.openxmlformats.org/drawingml/2006/picture">
                        <pic:nvPicPr>
                          <pic:cNvPr id="4" name="图片 10"/>
                          <pic:cNvPicPr>
                            <a:picLocks noChangeAspect="true"/>
                          </pic:cNvPicPr>
                        </pic:nvPicPr>
                        <pic:blipFill>
                          <a:blip r:embed="rId12"/>
                          <a:stretch>
                            <a:fillRect/>
                          </a:stretch>
                        </pic:blipFill>
                        <pic:spPr>
                          <a:xfrm>
                            <a:off x="8295" y="108226"/>
                            <a:ext cx="7230" cy="3300"/>
                          </a:xfrm>
                          <a:prstGeom prst="rect">
                            <a:avLst/>
                          </a:prstGeom>
                          <a:noFill/>
                          <a:ln>
                            <a:noFill/>
                          </a:ln>
                        </pic:spPr>
                      </pic:pic>
                      <wps:wsp>
                        <wps:cNvPr id="5" name="文本框 5"/>
                        <wps:cNvSpPr txBox="true"/>
                        <wps:spPr>
                          <a:xfrm>
                            <a:off x="14070" y="108695"/>
                            <a:ext cx="1501" cy="420"/>
                          </a:xfrm>
                          <a:prstGeom prst="rect">
                            <a:avLst/>
                          </a:prstGeom>
                          <a:noFill/>
                          <a:ln>
                            <a:noFill/>
                          </a:ln>
                        </wps:spPr>
                        <wps:txbx>
                          <w:txbxContent>
                            <w:p>
                              <w:pPr>
                                <w:pStyle w:val="12"/>
                                <w:kinsoku/>
                                <w:ind w:left="0"/>
                                <w:jc w:val="left"/>
                              </w:pPr>
                              <w:r>
                                <w:rPr>
                                  <w:rFonts w:asciiTheme="minorAscii" w:hAnsiTheme="minorBidi" w:eastAsiaTheme="minorEastAsia"/>
                                  <w:color w:val="000000" w:themeColor="dark1"/>
                                  <w:kern w:val="24"/>
                                  <w:sz w:val="18"/>
                                  <w:szCs w:val="18"/>
                                  <w14:textFill>
                                    <w14:solidFill>
                                      <w14:schemeClr w14:val="dk1"/>
                                    </w14:solidFill>
                                  </w14:textFill>
                                </w:rPr>
                                <w:t>单位：万元</w:t>
                              </w:r>
                            </w:p>
                          </w:txbxContent>
                        </wps:txbx>
                        <wps:bodyPr upright="true"/>
                      </wps:wsp>
                    </wpg:wgp>
                  </a:graphicData>
                </a:graphic>
              </wp:anchor>
            </w:drawing>
          </mc:Choice>
          <mc:Fallback>
            <w:pict>
              <v:group id="_x0000_s1026" o:spid="_x0000_s1026" o:spt="203" style="position:absolute;left:0pt;margin-left:40.5pt;margin-top:131.2pt;height:165pt;width:363.75pt;mso-wrap-distance-bottom:0pt;mso-wrap-distance-top:0pt;z-index:251671552;mso-width-relative:page;mso-height-relative:page;" coordorigin="8295,108226" coordsize="7275,3300" o:gfxdata="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">
                <o:lock v:ext="edit" aspectratio="f"/>
                <v:shape id="图片 10" o:spid="_x0000_s1026" o:spt="75" type="#_x0000_t75" style="position:absolute;left:8295;top:108226;height:3300;width:7230;" filled="f" o:preferrelative="t" stroked="f" coordsize="21600,21600" o:gfxdata="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gsbzvAAAANoAAAAPAAAAAAAAAAEAIAAAADgAAABkcnMvZG93bnJldi54&#10;bWxQSwECFAAUAAAACACHTuJAMy8FnjsAAAA5AAAAEAAAAAAAAAABACAAAAAhAQAAZHJzL3NoYXBl&#10;eG1sLnhtbFBLBQYAAAAABgAGAFsBAADLAwAAAAA=&#10;">
                  <v:fill on="f" focussize="0,0"/>
                  <v:stroke on="f"/>
                  <v:imagedata r:id="rId12" o:title=""/>
                  <o:lock v:ext="edit" aspectratio="t"/>
                </v:shape>
                <v:shape id="_x0000_s1026" o:spid="_x0000_s1026" o:spt="202" type="#_x0000_t202" style="position:absolute;left:14070;top:108695;height:420;width:1501;" filled="f" stroked="f" coordsize="21600,21600" o:gfxdata="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8Uf8P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pStyle w:val="12"/>
                          <w:kinsoku/>
                          <w:ind w:left="0"/>
                          <w:jc w:val="left"/>
                        </w:pPr>
                        <w:r>
                          <w:rPr>
                            <w:rFonts w:asciiTheme="minorAscii" w:hAnsiTheme="minorBidi" w:eastAsiaTheme="minorEastAsia"/>
                            <w:color w:val="000000" w:themeColor="dark1"/>
                            <w:kern w:val="24"/>
                            <w:sz w:val="18"/>
                            <w:szCs w:val="18"/>
                            <w14:textFill>
                              <w14:solidFill>
                                <w14:schemeClr w14:val="dk1"/>
                              </w14:solidFill>
                            </w14:textFill>
                          </w:rPr>
                          <w:t>单位：万元</w:t>
                        </w:r>
                      </w:p>
                    </w:txbxContent>
                  </v:textbox>
                </v:shape>
                <w10:wrap type="topAndBottom"/>
              </v:group>
            </w:pict>
          </mc:Fallback>
        </mc:AlternateContent>
      </w:r>
      <w:r>
        <w:rPr>
          <w:rFonts w:hint="eastAsia" w:ascii="仿宋_GB2312" w:hAnsi="仿宋_GB2312" w:eastAsia="仿宋_GB2312"/>
          <w:color w:val="000000"/>
          <w:kern w:val="2"/>
          <w:sz w:val="32"/>
          <w:szCs w:val="24"/>
          <w:lang w:val="en-US" w:eastAsia="zh-CN"/>
        </w:rPr>
        <w:t xml:space="preserve">    </w:t>
      </w:r>
      <w:r>
        <w:rPr>
          <w:rFonts w:hint="eastAsia" w:ascii="仿宋_GB2312" w:hAnsi="仿宋_GB2312" w:eastAsia="仿宋_GB2312"/>
          <w:color w:val="000000"/>
          <w:kern w:val="2"/>
          <w:sz w:val="32"/>
          <w:szCs w:val="24"/>
          <w:lang w:val="zh-CN"/>
        </w:rPr>
        <w:t>2022年一般公共预算财政拨款支出199.98万元，占本年支出合计的63.4%。与2021年相比，一般公共预算财政拨款支出增加73.76万元，增长58.4%。主要变动原因是完善标准考点网上巡查设备项目增加。</w:t>
      </w:r>
    </w:p>
    <w:p>
      <w:pPr>
        <w:spacing w:line="600" w:lineRule="exact"/>
        <w:ind w:firstLine="642" w:firstLineChars="200"/>
        <w:rPr>
          <w:rFonts w:hint="default" w:ascii="Times New Roman" w:hAnsi="Times New Roman" w:eastAsia="仿宋" w:cs="Times New Roman"/>
          <w:b/>
          <w:color w:val="000000"/>
          <w:sz w:val="32"/>
          <w:szCs w:val="32"/>
        </w:rPr>
      </w:pPr>
      <w:bookmarkStart w:id="35" w:name="_Toc15377211"/>
      <w:r>
        <w:rPr>
          <w:rFonts w:hint="default" w:ascii="Times New Roman" w:hAnsi="Times New Roman" w:eastAsia="仿宋" w:cs="Times New Roman"/>
          <w:b/>
          <w:color w:val="000000"/>
          <w:sz w:val="32"/>
          <w:szCs w:val="32"/>
        </w:rPr>
        <w:t>（二）一般公共预算财政拨款支出决算结构情况</w:t>
      </w:r>
      <w:bookmarkEnd w:id="35"/>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2022年一般公共预算财政拨款支出199.98万元，主要用于以下方面: 教育支出183.89万元，占9</w:t>
      </w:r>
      <w:r>
        <w:rPr>
          <w:rFonts w:hint="eastAsia" w:ascii="仿宋_GB2312" w:hAnsi="仿宋_GB2312" w:eastAsia="仿宋_GB2312"/>
          <w:color w:val="000000"/>
          <w:kern w:val="2"/>
          <w:sz w:val="32"/>
          <w:szCs w:val="24"/>
          <w:lang w:val="en-US" w:eastAsia="zh-CN"/>
        </w:rPr>
        <w:t>1.95</w:t>
      </w:r>
      <w:r>
        <w:rPr>
          <w:rFonts w:hint="eastAsia" w:ascii="仿宋_GB2312" w:hAnsi="仿宋_GB2312" w:eastAsia="仿宋_GB2312"/>
          <w:color w:val="000000"/>
          <w:kern w:val="2"/>
          <w:sz w:val="32"/>
          <w:szCs w:val="24"/>
          <w:lang w:val="zh-CN"/>
        </w:rPr>
        <w:t>%；社会保障和就业支出10.19万元，占5.1%；卫生健康支出5.9万元，占</w:t>
      </w:r>
      <w:r>
        <w:rPr>
          <w:rFonts w:hint="eastAsia" w:ascii="仿宋_GB2312" w:hAnsi="仿宋_GB2312" w:eastAsia="仿宋_GB2312"/>
          <w:color w:val="000000"/>
          <w:kern w:val="2"/>
          <w:sz w:val="32"/>
          <w:szCs w:val="24"/>
          <w:lang w:val="en-US" w:eastAsia="zh-CN"/>
        </w:rPr>
        <w:t>2.95</w:t>
      </w:r>
      <w:r>
        <w:rPr>
          <w:rFonts w:hint="eastAsia" w:ascii="仿宋_GB2312" w:hAnsi="仿宋_GB2312" w:eastAsia="仿宋_GB2312"/>
          <w:color w:val="000000"/>
          <w:kern w:val="2"/>
          <w:sz w:val="32"/>
          <w:szCs w:val="24"/>
          <w:lang w:val="zh-CN"/>
        </w:rPr>
        <w:t>%。</w:t>
      </w:r>
    </w:p>
    <w:p>
      <w:pPr>
        <w:spacing w:line="600" w:lineRule="exact"/>
        <w:ind w:firstLine="640"/>
        <w:rPr>
          <w:rFonts w:hint="default" w:ascii="Times New Roman" w:hAnsi="Times New Roman" w:eastAsia="仿宋" w:cs="Times New Roman"/>
          <w:b/>
          <w:color w:val="000000"/>
          <w:sz w:val="32"/>
          <w:szCs w:val="32"/>
        </w:rPr>
      </w:pPr>
      <w:r>
        <w:drawing>
          <wp:anchor distT="0" distB="0" distL="114300" distR="114300" simplePos="0" relativeHeight="251682816" behindDoc="0" locked="0" layoutInCell="1" allowOverlap="1">
            <wp:simplePos x="0" y="0"/>
            <wp:positionH relativeFrom="column">
              <wp:posOffset>490220</wp:posOffset>
            </wp:positionH>
            <wp:positionV relativeFrom="page">
              <wp:posOffset>2462530</wp:posOffset>
            </wp:positionV>
            <wp:extent cx="4591050" cy="2326640"/>
            <wp:effectExtent l="4445" t="4445" r="14605" b="1206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36" w:name="_Toc15377212"/>
      <w:r>
        <w:rPr>
          <w:rFonts w:hint="default" w:ascii="Times New Roman" w:hAnsi="Times New Roman" w:eastAsia="仿宋" w:cs="Times New Roman"/>
          <w:b/>
          <w:color w:val="000000"/>
          <w:sz w:val="32"/>
          <w:szCs w:val="32"/>
        </w:rPr>
        <w:t>（三）一般公共预算财政拨款支出决算具体情况</w:t>
      </w:r>
      <w:bookmarkEnd w:id="36"/>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2022年一般公共预算支出决算数为199.98万元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keepNext/>
        <w:keepLines/>
        <w:numPr>
          <w:ilvl w:val="0"/>
          <w:numId w:val="2"/>
        </w:numPr>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auto"/>
          <w:kern w:val="2"/>
          <w:sz w:val="32"/>
          <w:szCs w:val="24"/>
          <w:lang w:val="en-US"/>
        </w:rPr>
        <w:t>教育支出（类）</w:t>
      </w:r>
      <w:r>
        <w:rPr>
          <w:rStyle w:val="15"/>
          <w:rFonts w:hint="eastAsia" w:ascii="仿宋" w:hAnsi="仿宋" w:eastAsia="仿宋" w:cs="仿宋"/>
          <w:bCs/>
          <w:color w:val="auto"/>
          <w:sz w:val="32"/>
          <w:szCs w:val="32"/>
          <w:lang w:eastAsia="zh-CN"/>
        </w:rPr>
        <w:t>教育管理事务</w:t>
      </w:r>
      <w:r>
        <w:rPr>
          <w:rStyle w:val="15"/>
          <w:rFonts w:hint="eastAsia" w:ascii="仿宋" w:hAnsi="仿宋" w:eastAsia="仿宋" w:cs="仿宋"/>
          <w:bCs/>
          <w:color w:val="auto"/>
          <w:sz w:val="32"/>
          <w:szCs w:val="32"/>
        </w:rPr>
        <w:t>（款）</w:t>
      </w:r>
      <w:r>
        <w:rPr>
          <w:rStyle w:val="15"/>
          <w:rFonts w:hint="eastAsia" w:ascii="仿宋" w:hAnsi="仿宋" w:eastAsia="仿宋" w:cs="仿宋"/>
          <w:bCs/>
          <w:color w:val="auto"/>
          <w:sz w:val="32"/>
          <w:szCs w:val="32"/>
          <w:lang w:eastAsia="zh-CN"/>
        </w:rPr>
        <w:t>其他教育管理事务支出</w:t>
      </w:r>
      <w:r>
        <w:rPr>
          <w:rStyle w:val="15"/>
          <w:rFonts w:hint="eastAsia" w:ascii="仿宋" w:hAnsi="仿宋" w:eastAsia="仿宋" w:cs="仿宋"/>
          <w:bCs/>
          <w:color w:val="auto"/>
          <w:sz w:val="32"/>
          <w:szCs w:val="32"/>
        </w:rPr>
        <w:t>（项）</w:t>
      </w:r>
      <w:r>
        <w:rPr>
          <w:rFonts w:hint="eastAsia" w:ascii="仿宋_GB2312" w:hAnsi="仿宋_GB2312" w:eastAsia="仿宋_GB2312"/>
          <w:b/>
          <w:color w:val="auto"/>
          <w:kern w:val="2"/>
          <w:sz w:val="32"/>
          <w:szCs w:val="24"/>
          <w:lang w:val="en-US"/>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130.72万元，</w:t>
      </w:r>
      <w:r>
        <w:rPr>
          <w:rFonts w:hint="eastAsia" w:ascii="仿宋" w:hAnsi="仿宋" w:eastAsia="仿宋"/>
          <w:color w:val="auto"/>
          <w:kern w:val="2"/>
          <w:sz w:val="32"/>
          <w:szCs w:val="24"/>
          <w:lang w:val="en-US"/>
        </w:rPr>
        <w:t>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pStyle w:val="2"/>
        <w:numPr>
          <w:ilvl w:val="0"/>
          <w:numId w:val="2"/>
        </w:numPr>
        <w:spacing w:beforeLines="0"/>
        <w:ind w:left="0" w:leftChars="0" w:firstLine="643" w:firstLineChars="0"/>
        <w:rPr>
          <w:rFonts w:hint="eastAsia" w:ascii="仿宋" w:hAnsi="仿宋" w:eastAsia="仿宋"/>
          <w:color w:val="auto"/>
          <w:kern w:val="2"/>
          <w:sz w:val="32"/>
          <w:szCs w:val="24"/>
          <w:lang w:val="en-US"/>
        </w:rPr>
      </w:pPr>
      <w:r>
        <w:rPr>
          <w:rFonts w:hint="eastAsia" w:ascii="仿宋_GB2312" w:hAnsi="仿宋_GB2312" w:eastAsia="仿宋_GB2312"/>
          <w:b/>
          <w:color w:val="auto"/>
          <w:kern w:val="2"/>
          <w:sz w:val="32"/>
          <w:szCs w:val="24"/>
          <w:lang w:val="en-US"/>
        </w:rPr>
        <w:t>教育支出（类）</w:t>
      </w:r>
      <w:r>
        <w:rPr>
          <w:rStyle w:val="15"/>
          <w:rFonts w:hint="eastAsia" w:ascii="仿宋" w:hAnsi="仿宋" w:eastAsia="仿宋" w:cs="仿宋"/>
          <w:bCs/>
          <w:color w:val="auto"/>
          <w:sz w:val="32"/>
          <w:szCs w:val="32"/>
          <w:lang w:eastAsia="zh-CN"/>
        </w:rPr>
        <w:t>普通教育</w:t>
      </w:r>
      <w:r>
        <w:rPr>
          <w:rStyle w:val="15"/>
          <w:rFonts w:hint="eastAsia" w:ascii="仿宋" w:hAnsi="仿宋" w:eastAsia="仿宋" w:cs="仿宋"/>
          <w:bCs/>
          <w:color w:val="auto"/>
          <w:sz w:val="32"/>
          <w:szCs w:val="32"/>
        </w:rPr>
        <w:t>（款）</w:t>
      </w:r>
      <w:r>
        <w:rPr>
          <w:rStyle w:val="15"/>
          <w:rFonts w:hint="eastAsia" w:ascii="仿宋" w:hAnsi="仿宋" w:eastAsia="仿宋" w:cs="仿宋"/>
          <w:bCs/>
          <w:color w:val="auto"/>
          <w:sz w:val="32"/>
          <w:szCs w:val="32"/>
          <w:lang w:eastAsia="zh-CN"/>
        </w:rPr>
        <w:t>其他普通教育支出</w:t>
      </w:r>
      <w:r>
        <w:rPr>
          <w:rStyle w:val="15"/>
          <w:rFonts w:hint="eastAsia" w:ascii="仿宋" w:hAnsi="仿宋" w:eastAsia="仿宋" w:cs="仿宋"/>
          <w:bCs/>
          <w:color w:val="auto"/>
          <w:sz w:val="32"/>
          <w:szCs w:val="32"/>
        </w:rPr>
        <w:t>（项）</w:t>
      </w:r>
      <w:r>
        <w:rPr>
          <w:rFonts w:hint="eastAsia" w:ascii="仿宋_GB2312" w:hAnsi="仿宋_GB2312" w:eastAsia="仿宋_GB2312"/>
          <w:b/>
          <w:color w:val="auto"/>
          <w:kern w:val="2"/>
          <w:sz w:val="32"/>
          <w:szCs w:val="24"/>
          <w:lang w:val="en-US"/>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53.18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pStyle w:val="2"/>
        <w:numPr>
          <w:ilvl w:val="0"/>
          <w:numId w:val="2"/>
        </w:numPr>
        <w:spacing w:beforeLines="0"/>
        <w:ind w:left="0" w:leftChars="0" w:firstLine="643" w:firstLineChars="0"/>
        <w:rPr>
          <w:rFonts w:hint="eastAsia" w:ascii="仿宋" w:hAnsi="仿宋" w:eastAsia="仿宋"/>
          <w:color w:val="auto"/>
          <w:kern w:val="2"/>
          <w:sz w:val="32"/>
          <w:szCs w:val="24"/>
          <w:lang w:val="en-US"/>
        </w:rPr>
      </w:pPr>
      <w:r>
        <w:rPr>
          <w:rFonts w:hint="eastAsia" w:ascii="仿宋_GB2312" w:hAnsi="仿宋_GB2312" w:eastAsia="仿宋_GB2312"/>
          <w:b/>
          <w:color w:val="auto"/>
          <w:kern w:val="2"/>
          <w:sz w:val="32"/>
          <w:szCs w:val="24"/>
          <w:lang w:val="en-US"/>
        </w:rPr>
        <w:t>社会保障和就业支出（类）</w:t>
      </w:r>
      <w:r>
        <w:rPr>
          <w:rStyle w:val="15"/>
          <w:rFonts w:hint="eastAsia" w:ascii="仿宋" w:hAnsi="仿宋" w:eastAsia="仿宋" w:cs="仿宋"/>
          <w:bCs/>
          <w:color w:val="auto"/>
          <w:sz w:val="32"/>
          <w:szCs w:val="32"/>
          <w:lang w:eastAsia="zh-CN"/>
        </w:rPr>
        <w:t>行政事业单位养老支出</w:t>
      </w:r>
      <w:r>
        <w:rPr>
          <w:rStyle w:val="15"/>
          <w:rFonts w:hint="eastAsia" w:ascii="仿宋" w:hAnsi="仿宋" w:eastAsia="仿宋" w:cs="仿宋"/>
          <w:bCs/>
          <w:color w:val="auto"/>
          <w:sz w:val="32"/>
          <w:szCs w:val="32"/>
        </w:rPr>
        <w:t>（款）</w:t>
      </w:r>
      <w:r>
        <w:rPr>
          <w:rStyle w:val="15"/>
          <w:rFonts w:hint="eastAsia" w:ascii="仿宋" w:hAnsi="仿宋" w:eastAsia="仿宋" w:cs="仿宋"/>
          <w:bCs/>
          <w:color w:val="auto"/>
          <w:sz w:val="32"/>
          <w:szCs w:val="32"/>
          <w:lang w:eastAsia="zh-CN"/>
        </w:rPr>
        <w:t>机关事业单位基本养老保险缴费支出</w:t>
      </w:r>
      <w:r>
        <w:rPr>
          <w:rStyle w:val="15"/>
          <w:rFonts w:hint="eastAsia" w:ascii="仿宋" w:hAnsi="仿宋" w:eastAsia="仿宋"/>
          <w:bCs/>
          <w:color w:val="auto"/>
          <w:sz w:val="32"/>
          <w:szCs w:val="32"/>
        </w:rPr>
        <w:t>（项）</w:t>
      </w:r>
      <w:r>
        <w:rPr>
          <w:rFonts w:hint="eastAsia" w:ascii="仿宋_GB2312" w:hAnsi="仿宋_GB2312" w:eastAsia="仿宋_GB2312"/>
          <w:b/>
          <w:color w:val="auto"/>
          <w:kern w:val="2"/>
          <w:sz w:val="32"/>
          <w:szCs w:val="24"/>
          <w:lang w:val="en-US"/>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9.53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pStyle w:val="2"/>
        <w:numPr>
          <w:ilvl w:val="0"/>
          <w:numId w:val="2"/>
        </w:numPr>
        <w:spacing w:beforeLines="0"/>
        <w:ind w:left="0" w:leftChars="0" w:firstLine="643" w:firstLineChars="0"/>
        <w:rPr>
          <w:rFonts w:hint="eastAsia" w:ascii="仿宋" w:hAnsi="仿宋" w:eastAsia="仿宋"/>
          <w:color w:val="auto"/>
          <w:kern w:val="2"/>
          <w:sz w:val="32"/>
          <w:szCs w:val="24"/>
          <w:lang w:val="en-US"/>
        </w:rPr>
      </w:pPr>
      <w:r>
        <w:rPr>
          <w:rFonts w:hint="eastAsia" w:ascii="仿宋_GB2312" w:hAnsi="仿宋_GB2312" w:eastAsia="仿宋_GB2312"/>
          <w:b/>
          <w:color w:val="auto"/>
          <w:kern w:val="2"/>
          <w:sz w:val="32"/>
          <w:szCs w:val="24"/>
          <w:lang w:val="en-US"/>
        </w:rPr>
        <w:t>社会保障和就业支出（类）</w:t>
      </w:r>
      <w:r>
        <w:rPr>
          <w:rFonts w:hint="eastAsia" w:ascii="仿宋_GB2312" w:hAnsi="仿宋_GB2312" w:eastAsia="仿宋_GB2312"/>
          <w:b/>
          <w:color w:val="auto"/>
          <w:kern w:val="2"/>
          <w:sz w:val="32"/>
          <w:szCs w:val="24"/>
          <w:lang w:val="en-US" w:eastAsia="zh-CN"/>
        </w:rPr>
        <w:t>其他</w:t>
      </w:r>
      <w:r>
        <w:rPr>
          <w:rFonts w:hint="eastAsia" w:ascii="仿宋_GB2312" w:hAnsi="仿宋_GB2312" w:eastAsia="仿宋_GB2312"/>
          <w:b/>
          <w:color w:val="auto"/>
          <w:kern w:val="2"/>
          <w:sz w:val="32"/>
          <w:szCs w:val="24"/>
          <w:lang w:val="en-US"/>
        </w:rPr>
        <w:t>社会保障和就业支出</w:t>
      </w:r>
      <w:r>
        <w:rPr>
          <w:rStyle w:val="15"/>
          <w:rFonts w:hint="eastAsia" w:ascii="仿宋" w:hAnsi="仿宋" w:eastAsia="仿宋" w:cs="仿宋"/>
          <w:bCs/>
          <w:color w:val="auto"/>
          <w:sz w:val="32"/>
          <w:szCs w:val="32"/>
        </w:rPr>
        <w:t>（款）</w:t>
      </w:r>
      <w:r>
        <w:rPr>
          <w:rFonts w:hint="eastAsia" w:ascii="仿宋_GB2312" w:hAnsi="仿宋_GB2312" w:eastAsia="仿宋_GB2312"/>
          <w:b/>
          <w:color w:val="auto"/>
          <w:kern w:val="2"/>
          <w:sz w:val="32"/>
          <w:szCs w:val="24"/>
          <w:lang w:val="en-US" w:eastAsia="zh-CN"/>
        </w:rPr>
        <w:t>其他</w:t>
      </w:r>
      <w:r>
        <w:rPr>
          <w:rFonts w:hint="eastAsia" w:ascii="仿宋_GB2312" w:hAnsi="仿宋_GB2312" w:eastAsia="仿宋_GB2312"/>
          <w:b/>
          <w:color w:val="auto"/>
          <w:kern w:val="2"/>
          <w:sz w:val="32"/>
          <w:szCs w:val="24"/>
          <w:lang w:val="en-US"/>
        </w:rPr>
        <w:t>社会保障和就业支出</w:t>
      </w:r>
      <w:r>
        <w:rPr>
          <w:rStyle w:val="15"/>
          <w:rFonts w:hint="eastAsia" w:ascii="仿宋" w:hAnsi="仿宋" w:eastAsia="仿宋"/>
          <w:bCs/>
          <w:color w:val="auto"/>
          <w:sz w:val="32"/>
          <w:szCs w:val="32"/>
        </w:rPr>
        <w:t>（项）</w:t>
      </w:r>
      <w:r>
        <w:rPr>
          <w:rFonts w:hint="eastAsia" w:ascii="仿宋_GB2312" w:hAnsi="仿宋_GB2312" w:eastAsia="仿宋_GB2312"/>
          <w:b/>
          <w:color w:val="auto"/>
          <w:kern w:val="2"/>
          <w:sz w:val="32"/>
          <w:szCs w:val="24"/>
          <w:lang w:val="en-US"/>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0.65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auto"/>
          <w:kern w:val="2"/>
          <w:sz w:val="32"/>
          <w:szCs w:val="24"/>
          <w:lang w:val="en-US" w:eastAsia="zh-CN"/>
        </w:rPr>
        <w:t>5</w:t>
      </w:r>
      <w:r>
        <w:rPr>
          <w:rFonts w:hint="eastAsia" w:ascii="仿宋_GB2312" w:hAnsi="仿宋_GB2312" w:eastAsia="仿宋_GB2312"/>
          <w:b/>
          <w:color w:val="auto"/>
          <w:kern w:val="2"/>
          <w:sz w:val="32"/>
          <w:szCs w:val="24"/>
          <w:lang w:val="en-US"/>
        </w:rPr>
        <w:t>.卫生健康支出（类）</w:t>
      </w:r>
      <w:r>
        <w:rPr>
          <w:rStyle w:val="15"/>
          <w:rFonts w:hint="eastAsia" w:ascii="仿宋" w:hAnsi="仿宋" w:eastAsia="仿宋"/>
          <w:bCs/>
          <w:color w:val="auto"/>
          <w:sz w:val="32"/>
          <w:szCs w:val="32"/>
        </w:rPr>
        <w:t>行政事业单位医疗（款）事业单位医疗（项）</w:t>
      </w:r>
      <w:r>
        <w:rPr>
          <w:rFonts w:hint="eastAsia" w:ascii="仿宋_GB2312" w:hAnsi="仿宋_GB2312" w:eastAsia="仿宋_GB2312"/>
          <w:b/>
          <w:color w:val="auto"/>
          <w:kern w:val="2"/>
          <w:sz w:val="32"/>
          <w:szCs w:val="24"/>
          <w:lang w:val="en-US"/>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3.87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auto"/>
          <w:kern w:val="2"/>
          <w:sz w:val="32"/>
          <w:szCs w:val="24"/>
          <w:lang w:val="en-US" w:eastAsia="zh-CN"/>
        </w:rPr>
        <w:t>6</w:t>
      </w:r>
      <w:r>
        <w:rPr>
          <w:rFonts w:hint="eastAsia" w:ascii="仿宋_GB2312" w:hAnsi="仿宋_GB2312" w:eastAsia="仿宋_GB2312"/>
          <w:b/>
          <w:color w:val="auto"/>
          <w:kern w:val="2"/>
          <w:sz w:val="32"/>
          <w:szCs w:val="24"/>
          <w:lang w:val="en-US"/>
        </w:rPr>
        <w:t>.卫生健康支出（类）</w:t>
      </w:r>
      <w:r>
        <w:rPr>
          <w:rStyle w:val="15"/>
          <w:rFonts w:hint="eastAsia" w:ascii="仿宋" w:hAnsi="仿宋" w:eastAsia="仿宋"/>
          <w:bCs/>
          <w:color w:val="auto"/>
          <w:sz w:val="32"/>
          <w:szCs w:val="32"/>
        </w:rPr>
        <w:t>行政事业单位医疗（款）</w:t>
      </w:r>
      <w:r>
        <w:rPr>
          <w:rStyle w:val="15"/>
          <w:rFonts w:hint="eastAsia" w:ascii="仿宋" w:hAnsi="仿宋" w:eastAsia="仿宋"/>
          <w:bCs/>
          <w:color w:val="auto"/>
          <w:sz w:val="32"/>
          <w:szCs w:val="32"/>
          <w:lang w:eastAsia="zh-CN"/>
        </w:rPr>
        <w:t>公务员医疗补助</w:t>
      </w:r>
      <w:r>
        <w:rPr>
          <w:rStyle w:val="15"/>
          <w:rFonts w:hint="eastAsia" w:ascii="仿宋" w:hAnsi="仿宋" w:eastAsia="仿宋"/>
          <w:bCs/>
          <w:color w:val="auto"/>
          <w:sz w:val="32"/>
          <w:szCs w:val="32"/>
        </w:rPr>
        <w:t>（项）</w:t>
      </w:r>
      <w:r>
        <w:rPr>
          <w:rFonts w:hint="eastAsia" w:ascii="仿宋_GB2312" w:hAnsi="仿宋_GB2312" w:eastAsia="仿宋_GB2312"/>
          <w:b/>
          <w:color w:val="auto"/>
          <w:kern w:val="2"/>
          <w:sz w:val="32"/>
          <w:szCs w:val="24"/>
          <w:lang w:val="en-US"/>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2.03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tabs>
          <w:tab w:val="right" w:pos="8306"/>
        </w:tabs>
        <w:spacing w:line="600" w:lineRule="exact"/>
        <w:ind w:firstLine="640"/>
        <w:outlineLvl w:val="1"/>
        <w:rPr>
          <w:rStyle w:val="26"/>
          <w:rFonts w:hint="default" w:ascii="Times New Roman" w:hAnsi="Times New Roman" w:cs="Times New Roman"/>
          <w:color w:val="auto"/>
        </w:rPr>
      </w:pPr>
      <w:bookmarkStart w:id="37" w:name="_Toc15377214"/>
      <w:bookmarkStart w:id="38" w:name="_Toc15396608"/>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26"/>
          <w:rFonts w:hint="default" w:ascii="Times New Roman" w:hAnsi="Times New Roman" w:eastAsia="黑体" w:cs="Times New Roman"/>
          <w:b w:val="0"/>
          <w:color w:val="auto"/>
        </w:rPr>
        <w:t>般公共预算财政拨款基本支出决算情况说明</w:t>
      </w:r>
      <w:bookmarkEnd w:id="37"/>
      <w:bookmarkEnd w:id="38"/>
      <w:r>
        <w:rPr>
          <w:rStyle w:val="26"/>
          <w:rFonts w:hint="default" w:ascii="Times New Roman" w:hAnsi="Times New Roman" w:eastAsia="黑体" w:cs="Times New Roman"/>
          <w:b w:val="0"/>
          <w:color w:val="auto"/>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2022年一般公共预算财政拨款基本支出137.97万元，其中：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115.14万元，主要包括：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22.83万元，主要包括：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numPr>
          <w:ilvl w:val="0"/>
          <w:numId w:val="3"/>
        </w:numPr>
        <w:spacing w:line="600" w:lineRule="exact"/>
        <w:ind w:firstLine="640"/>
        <w:rPr>
          <w:rStyle w:val="26"/>
          <w:rFonts w:hint="default" w:ascii="Times New Roman" w:hAnsi="Times New Roman" w:eastAsia="黑体" w:cs="Times New Roman"/>
          <w:b w:val="0"/>
          <w:bCs/>
        </w:rPr>
      </w:pPr>
      <w:r>
        <w:rPr>
          <w:rFonts w:hint="default" w:ascii="Times New Roman" w:hAnsi="Times New Roman" w:eastAsia="黑体" w:cs="Times New Roman"/>
          <w:b w:val="0"/>
          <w:bCs/>
          <w:color w:val="000000"/>
          <w:sz w:val="32"/>
          <w:szCs w:val="32"/>
        </w:rPr>
        <w:t>一</w:t>
      </w:r>
      <w:r>
        <w:rPr>
          <w:rStyle w:val="26"/>
          <w:rFonts w:hint="default" w:ascii="Times New Roman" w:hAnsi="Times New Roman" w:eastAsia="黑体" w:cs="Times New Roman"/>
          <w:b w:val="0"/>
          <w:bCs/>
        </w:rPr>
        <w:t>般公共预算财政拨款</w:t>
      </w:r>
      <w:r>
        <w:rPr>
          <w:rStyle w:val="26"/>
          <w:rFonts w:hint="default" w:ascii="Times New Roman" w:hAnsi="Times New Roman" w:eastAsia="黑体" w:cs="Times New Roman"/>
          <w:b w:val="0"/>
          <w:bCs/>
          <w:lang w:eastAsia="zh-CN"/>
        </w:rPr>
        <w:t>项目</w:t>
      </w:r>
      <w:r>
        <w:rPr>
          <w:rStyle w:val="26"/>
          <w:rFonts w:hint="default" w:ascii="Times New Roman" w:hAnsi="Times New Roman" w:eastAsia="黑体" w:cs="Times New Roman"/>
          <w:b w:val="0"/>
          <w:bCs/>
        </w:rPr>
        <w:t>支出决算情况说明</w:t>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17"/>
          <w:sz w:val="32"/>
          <w:szCs w:val="32"/>
        </w:rPr>
        <w:t>20</w:t>
      </w:r>
      <w:r>
        <w:rPr>
          <w:rFonts w:hint="default" w:ascii="Times New Roman" w:hAnsi="Times New Roman" w:eastAsia="仿宋" w:cs="Times New Roman"/>
          <w:color w:val="000000"/>
          <w:spacing w:val="-17"/>
          <w:sz w:val="32"/>
          <w:szCs w:val="32"/>
          <w:lang w:val="en-US" w:eastAsia="zh-CN"/>
        </w:rPr>
        <w:t>22</w:t>
      </w:r>
      <w:r>
        <w:rPr>
          <w:rFonts w:hint="default" w:ascii="Times New Roman" w:hAnsi="Times New Roman" w:eastAsia="仿宋" w:cs="Times New Roman"/>
          <w:color w:val="000000"/>
          <w:spacing w:val="-17"/>
          <w:sz w:val="32"/>
          <w:szCs w:val="32"/>
        </w:rPr>
        <w:t>年一般公共预算财政拨款</w:t>
      </w:r>
      <w:r>
        <w:rPr>
          <w:rFonts w:hint="default" w:ascii="Times New Roman" w:hAnsi="Times New Roman" w:eastAsia="仿宋" w:cs="Times New Roman"/>
          <w:color w:val="000000"/>
          <w:spacing w:val="-17"/>
          <w:sz w:val="32"/>
          <w:szCs w:val="32"/>
          <w:lang w:eastAsia="zh-CN"/>
        </w:rPr>
        <w:t>项目</w:t>
      </w:r>
      <w:r>
        <w:rPr>
          <w:rFonts w:hint="default" w:ascii="Times New Roman" w:hAnsi="Times New Roman" w:eastAsia="仿宋" w:cs="Times New Roman"/>
          <w:color w:val="000000"/>
          <w:spacing w:val="-17"/>
          <w:sz w:val="32"/>
          <w:szCs w:val="32"/>
        </w:rPr>
        <w:t>支出</w:t>
      </w:r>
      <w:r>
        <w:rPr>
          <w:rFonts w:hint="eastAsia" w:eastAsia="仿宋" w:cs="Times New Roman"/>
          <w:color w:val="000000"/>
          <w:spacing w:val="-17"/>
          <w:sz w:val="32"/>
          <w:szCs w:val="32"/>
          <w:lang w:val="en-US" w:eastAsia="zh-CN"/>
        </w:rPr>
        <w:t>62.01</w:t>
      </w:r>
      <w:r>
        <w:rPr>
          <w:rFonts w:hint="default" w:ascii="Times New Roman" w:hAnsi="Times New Roman" w:eastAsia="仿宋" w:cs="Times New Roman"/>
          <w:color w:val="000000"/>
          <w:spacing w:val="-17"/>
          <w:sz w:val="32"/>
          <w:szCs w:val="32"/>
        </w:rPr>
        <w:t>万元，其中：</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default" w:ascii="Times New Roman" w:hAnsi="Times New Roman" w:eastAsia="仿宋" w:cs="Times New Roman"/>
          <w:b/>
          <w:color w:val="FF0000"/>
          <w:sz w:val="32"/>
          <w:szCs w:val="32"/>
          <w:highlight w:val="none"/>
        </w:rPr>
      </w:pPr>
      <w:r>
        <w:rPr>
          <w:rFonts w:hint="eastAsia" w:eastAsia="仿宋_GB2312" w:cs="Times New Roman"/>
          <w:sz w:val="32"/>
          <w:szCs w:val="32"/>
          <w:lang w:eastAsia="zh-CN"/>
        </w:rPr>
        <w:t>标准化考点系统维护维修</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8.83</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w:t>
      </w:r>
      <w:r>
        <w:rPr>
          <w:rFonts w:hint="eastAsia" w:ascii="仿宋" w:hAnsi="仿宋" w:eastAsia="仿宋" w:cs="Times New Roman"/>
          <w:sz w:val="28"/>
          <w:szCs w:val="28"/>
          <w:lang w:val="en-US" w:eastAsia="zh-CN"/>
        </w:rPr>
        <w:t>国家标准化考点设备的运行产生的</w:t>
      </w:r>
      <w:r>
        <w:rPr>
          <w:rFonts w:hint="eastAsia" w:ascii="仿宋" w:hAnsi="仿宋" w:eastAsia="仿宋"/>
          <w:color w:val="auto"/>
          <w:kern w:val="2"/>
          <w:sz w:val="32"/>
          <w:szCs w:val="24"/>
          <w:lang w:val="en-US"/>
        </w:rPr>
        <w:t>维修（护）费</w:t>
      </w:r>
      <w:r>
        <w:rPr>
          <w:rFonts w:hint="eastAsia" w:ascii="仿宋" w:hAnsi="仿宋" w:eastAsia="仿宋" w:cs="Times New Roman"/>
          <w:sz w:val="28"/>
          <w:szCs w:val="28"/>
          <w:lang w:val="en-US" w:eastAsia="zh-CN"/>
        </w:rPr>
        <w:t>，以保证国家教育考试的正常运转；完善市本级直属考点网上巡查设备项目支出53.18万元，主要用于完善市本级国家教育考试考点试卷流通通道监控设备产生的专用设备购置经费。</w:t>
      </w:r>
      <w:bookmarkStart w:id="39" w:name="_Toc15396609"/>
      <w:bookmarkStart w:id="40" w:name="_Toc15377215"/>
    </w:p>
    <w:p>
      <w:pPr>
        <w:spacing w:line="600" w:lineRule="exact"/>
        <w:ind w:firstLine="640"/>
        <w:outlineLvl w:val="1"/>
        <w:rPr>
          <w:rStyle w:val="26"/>
          <w:rFonts w:hint="default" w:ascii="Times New Roman" w:hAnsi="Times New Roman" w:eastAsia="黑体" w:cs="Times New Roman"/>
          <w:b w:val="0"/>
        </w:rPr>
      </w:pPr>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6"/>
          <w:rFonts w:hint="default" w:ascii="Times New Roman" w:hAnsi="Times New Roman" w:eastAsia="黑体" w:cs="Times New Roman"/>
        </w:rPr>
        <w:t>“</w:t>
      </w:r>
      <w:r>
        <w:rPr>
          <w:rStyle w:val="26"/>
          <w:rFonts w:hint="default" w:ascii="Times New Roman" w:hAnsi="Times New Roman" w:eastAsia="黑体" w:cs="Times New Roman"/>
          <w:b w:val="0"/>
        </w:rPr>
        <w:t>三公”经费财政拨款支出决算情况说明</w:t>
      </w:r>
      <w:bookmarkEnd w:id="39"/>
      <w:bookmarkEnd w:id="40"/>
    </w:p>
    <w:p>
      <w:pPr>
        <w:spacing w:line="600" w:lineRule="exact"/>
        <w:ind w:firstLine="640"/>
        <w:outlineLvl w:val="2"/>
        <w:rPr>
          <w:rFonts w:hint="default" w:ascii="Times New Roman" w:hAnsi="Times New Roman" w:eastAsia="仿宋" w:cs="Times New Roman"/>
          <w:b/>
          <w:color w:val="000000"/>
          <w:sz w:val="32"/>
          <w:szCs w:val="32"/>
        </w:rPr>
      </w:pPr>
      <w:bookmarkStart w:id="41" w:name="_Toc15377216"/>
      <w:bookmarkStart w:id="42" w:name="_Toc15377218"/>
      <w:bookmarkStart w:id="43" w:name="_Toc15396610"/>
      <w:r>
        <w:rPr>
          <w:rFonts w:hint="default" w:ascii="Times New Roman" w:hAnsi="Times New Roman" w:eastAsia="仿宋" w:cs="Times New Roman"/>
          <w:b/>
          <w:color w:val="000000"/>
          <w:sz w:val="32"/>
          <w:szCs w:val="32"/>
        </w:rPr>
        <w:t>（一）“三公”经费财政拨款支出决算总体情况说明</w:t>
      </w:r>
      <w:bookmarkEnd w:id="41"/>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经费财政拨款支出决算为3.55万元，完成预算100%；比</w:t>
      </w:r>
      <w:r>
        <w:rPr>
          <w:rFonts w:hint="eastAsia" w:ascii="仿宋_GB2312" w:hAnsi="仿宋_GB2312" w:eastAsia="仿宋_GB2312"/>
          <w:color w:val="000000"/>
          <w:kern w:val="2"/>
          <w:sz w:val="32"/>
          <w:szCs w:val="24"/>
          <w:lang w:val="en-US" w:eastAsia="zh-CN"/>
        </w:rPr>
        <w:t>2021年</w:t>
      </w:r>
      <w:r>
        <w:rPr>
          <w:rFonts w:hint="eastAsia" w:ascii="仿宋_GB2312" w:hAnsi="仿宋_GB2312" w:eastAsia="仿宋_GB2312"/>
          <w:color w:val="000000"/>
          <w:kern w:val="2"/>
          <w:sz w:val="32"/>
          <w:szCs w:val="24"/>
          <w:lang w:val="zh-CN"/>
        </w:rPr>
        <w:t>减少0.17万元，下降4.6%。主要原因</w:t>
      </w:r>
      <w:r>
        <w:rPr>
          <w:rFonts w:hint="eastAsia" w:ascii="仿宋" w:hAnsi="仿宋" w:eastAsia="仿宋" w:cs="仿宋"/>
          <w:color w:val="000000"/>
          <w:sz w:val="32"/>
          <w:szCs w:val="32"/>
        </w:rPr>
        <w:t>是</w:t>
      </w:r>
      <w:r>
        <w:rPr>
          <w:rFonts w:hint="eastAsia" w:ascii="仿宋" w:hAnsi="仿宋" w:eastAsia="仿宋" w:cs="仿宋"/>
          <w:color w:val="000000"/>
          <w:sz w:val="32"/>
          <w:szCs w:val="32"/>
          <w:lang w:eastAsia="zh-CN"/>
        </w:rPr>
        <w:t>响应国家规定，厉行节约，尽量减少“三公”经费的支出。</w:t>
      </w:r>
      <w:r>
        <w:rPr>
          <w:rFonts w:hint="default" w:ascii="Times New Roman" w:hAnsi="Times New Roman" w:eastAsia="仿宋" w:cs="Times New Roman"/>
          <w:color w:val="000000"/>
          <w:sz w:val="32"/>
          <w:szCs w:val="32"/>
        </w:rPr>
        <w:t>决算数</w:t>
      </w:r>
      <w:r>
        <w:rPr>
          <w:rFonts w:hint="eastAsia" w:eastAsia="仿宋" w:cs="Times New Roman"/>
          <w:color w:val="000000"/>
          <w:sz w:val="32"/>
          <w:szCs w:val="32"/>
          <w:lang w:eastAsia="zh-CN"/>
        </w:rPr>
        <w:t>与</w:t>
      </w:r>
      <w:r>
        <w:rPr>
          <w:rFonts w:hint="default" w:ascii="Times New Roman" w:hAnsi="Times New Roman" w:eastAsia="仿宋" w:cs="Times New Roman"/>
          <w:color w:val="000000"/>
          <w:sz w:val="32"/>
          <w:szCs w:val="32"/>
        </w:rPr>
        <w:t>预算数持平</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主要原因是</w:t>
      </w:r>
      <w:r>
        <w:rPr>
          <w:rFonts w:hint="eastAsia" w:eastAsia="仿宋" w:cs="Times New Roman"/>
          <w:color w:val="000000"/>
          <w:sz w:val="32"/>
          <w:szCs w:val="32"/>
          <w:lang w:eastAsia="zh-CN"/>
        </w:rPr>
        <w:t>严控“三公”经费开支</w:t>
      </w:r>
      <w:r>
        <w:rPr>
          <w:rFonts w:hint="eastAsia" w:ascii="仿宋_GB2312" w:hAnsi="仿宋_GB2312" w:eastAsia="仿宋_GB2312"/>
          <w:color w:val="000000"/>
          <w:kern w:val="2"/>
          <w:sz w:val="32"/>
          <w:szCs w:val="24"/>
          <w:lang w:val="zh-CN"/>
        </w:rPr>
        <w:t>。</w:t>
      </w:r>
    </w:p>
    <w:p>
      <w:pPr>
        <w:numPr>
          <w:ilvl w:val="0"/>
          <w:numId w:val="4"/>
        </w:numPr>
        <w:spacing w:line="600" w:lineRule="exact"/>
        <w:ind w:firstLine="640"/>
        <w:outlineLvl w:val="2"/>
        <w:rPr>
          <w:rFonts w:hint="default" w:ascii="Times New Roman" w:hAnsi="Times New Roman" w:eastAsia="仿宋" w:cs="Times New Roman"/>
          <w:b/>
          <w:color w:val="000000"/>
          <w:sz w:val="32"/>
          <w:szCs w:val="32"/>
        </w:rPr>
      </w:pPr>
      <w:bookmarkStart w:id="44" w:name="_Toc15377217"/>
      <w:r>
        <w:rPr>
          <w:rFonts w:hint="default" w:ascii="Times New Roman" w:hAnsi="Times New Roman" w:eastAsia="仿宋" w:cs="Times New Roman"/>
          <w:b/>
          <w:color w:val="000000"/>
          <w:sz w:val="32"/>
          <w:szCs w:val="32"/>
        </w:rPr>
        <w:t>“三公”经费财政拨款支出决算具体情况说明</w:t>
      </w:r>
      <w:bookmarkEnd w:id="44"/>
    </w:p>
    <w:p>
      <w:pPr>
        <w:numPr>
          <w:ilvl w:val="0"/>
          <w:numId w:val="0"/>
        </w:numPr>
        <w:spacing w:line="600" w:lineRule="exact"/>
        <w:outlineLvl w:val="2"/>
        <w:rPr>
          <w:rFonts w:hint="eastAsia" w:ascii="仿宋_GB2312" w:hAnsi="仿宋_GB2312" w:eastAsia="仿宋_GB2312"/>
          <w:color w:val="000000"/>
          <w:kern w:val="2"/>
          <w:sz w:val="32"/>
          <w:szCs w:val="24"/>
          <w:lang w:val="zh-CN"/>
        </w:rPr>
      </w:pPr>
      <w:r>
        <w:drawing>
          <wp:anchor distT="0" distB="0" distL="114300" distR="114300" simplePos="0" relativeHeight="251683840" behindDoc="0" locked="0" layoutInCell="1" allowOverlap="1">
            <wp:simplePos x="0" y="0"/>
            <wp:positionH relativeFrom="column">
              <wp:posOffset>614680</wp:posOffset>
            </wp:positionH>
            <wp:positionV relativeFrom="paragraph">
              <wp:posOffset>2419350</wp:posOffset>
            </wp:positionV>
            <wp:extent cx="4144645" cy="2345690"/>
            <wp:effectExtent l="5080" t="4445" r="22225" b="12065"/>
            <wp:wrapTopAndBottom/>
            <wp:docPr id="13985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_GB2312" w:hAnsi="仿宋_GB2312" w:eastAsia="仿宋_GB2312"/>
          <w:color w:val="000000"/>
          <w:kern w:val="2"/>
          <w:sz w:val="32"/>
          <w:szCs w:val="24"/>
          <w:lang w:val="en-US" w:eastAsia="zh-CN"/>
        </w:rPr>
        <w:t xml:space="preserve">    </w:t>
      </w: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w:t>
      </w:r>
      <w:r>
        <w:rPr>
          <w:rFonts w:hint="eastAsia" w:ascii="仿宋_GB2312" w:hAnsi="仿宋_GB2312" w:eastAsia="仿宋_GB2312"/>
          <w:color w:val="000000"/>
          <w:kern w:val="2"/>
          <w:sz w:val="32"/>
          <w:szCs w:val="24"/>
          <w:lang w:val="en-US" w:eastAsia="zh-CN"/>
        </w:rPr>
        <w:t>3.55万元</w:t>
      </w:r>
      <w:r>
        <w:rPr>
          <w:rFonts w:hint="eastAsia" w:ascii="仿宋_GB2312" w:hAnsi="仿宋_GB2312" w:eastAsia="仿宋_GB2312"/>
          <w:color w:val="000000"/>
          <w:kern w:val="2"/>
          <w:sz w:val="32"/>
          <w:szCs w:val="24"/>
          <w:lang w:val="zh-CN"/>
        </w:rPr>
        <w:t>，比</w:t>
      </w:r>
      <w:r>
        <w:rPr>
          <w:rFonts w:hint="eastAsia" w:ascii="仿宋_GB2312" w:hAnsi="仿宋_GB2312" w:eastAsia="仿宋_GB2312"/>
          <w:color w:val="000000"/>
          <w:kern w:val="2"/>
          <w:sz w:val="32"/>
          <w:szCs w:val="24"/>
          <w:lang w:val="en-US" w:eastAsia="zh-CN"/>
        </w:rPr>
        <w:t>2021年</w:t>
      </w:r>
      <w:r>
        <w:rPr>
          <w:rFonts w:hint="eastAsia" w:ascii="仿宋_GB2312" w:hAnsi="仿宋_GB2312" w:eastAsia="仿宋_GB2312"/>
          <w:color w:val="000000"/>
          <w:kern w:val="2"/>
          <w:sz w:val="32"/>
          <w:szCs w:val="24"/>
          <w:lang w:val="zh-CN"/>
        </w:rPr>
        <w:t>减少0.17万元，下降4.6%。主要原因</w:t>
      </w:r>
      <w:r>
        <w:rPr>
          <w:rFonts w:hint="eastAsia" w:ascii="仿宋" w:hAnsi="仿宋" w:eastAsia="仿宋" w:cs="仿宋"/>
          <w:color w:val="000000"/>
          <w:sz w:val="32"/>
          <w:szCs w:val="32"/>
        </w:rPr>
        <w:t>是</w:t>
      </w:r>
      <w:r>
        <w:rPr>
          <w:rFonts w:hint="eastAsia" w:ascii="仿宋" w:hAnsi="仿宋" w:eastAsia="仿宋" w:cs="仿宋"/>
          <w:color w:val="000000"/>
          <w:sz w:val="32"/>
          <w:szCs w:val="32"/>
          <w:lang w:eastAsia="zh-CN"/>
        </w:rPr>
        <w:t>响应国家规定，厉行节约，尽量减少“三公”经费的支出</w:t>
      </w:r>
      <w:r>
        <w:rPr>
          <w:rFonts w:hint="eastAsia" w:ascii="仿宋_GB2312" w:hAnsi="仿宋_GB2312" w:eastAsia="仿宋_GB2312"/>
          <w:color w:val="000000"/>
          <w:kern w:val="2"/>
          <w:sz w:val="32"/>
          <w:szCs w:val="24"/>
          <w:lang w:val="zh-CN"/>
        </w:rPr>
        <w:t>。其中</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zh-CN"/>
        </w:rPr>
        <w:t>因公出国（境）费支出决算0万元，占0%；公务用车购置及运行维护费支出决算2.96万元，占83.4%；公务接待费支出决算0.59万元，占16.6%。具体情况如下：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1.因公出国（境）经费支出</w:t>
      </w:r>
      <w:r>
        <w:rPr>
          <w:rFonts w:hint="eastAsia" w:ascii="Times New Roman"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eastAsia" w:ascii="Times New Roman" w:cs="Times New Roman"/>
          <w:color w:val="000000"/>
          <w:sz w:val="32"/>
          <w:szCs w:val="32"/>
          <w:lang w:eastAsia="zh-CN"/>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w:t>
      </w:r>
      <w:r>
        <w:rPr>
          <w:rFonts w:hint="eastAsia" w:ascii="仿宋_GB2312" w:eastAsia="仿宋_GB2312"/>
          <w:color w:val="000000"/>
          <w:sz w:val="32"/>
          <w:szCs w:val="32"/>
          <w:lang w:eastAsia="zh-CN"/>
        </w:rPr>
        <w:t>未</w:t>
      </w:r>
      <w:r>
        <w:rPr>
          <w:rFonts w:hint="eastAsia" w:ascii="仿宋_GB2312" w:eastAsia="仿宋_GB2312"/>
          <w:color w:val="000000"/>
          <w:sz w:val="32"/>
          <w:szCs w:val="32"/>
        </w:rPr>
        <w:t>安排因公出国（境）。</w:t>
      </w:r>
      <w:r>
        <w:rPr>
          <w:rFonts w:eastAsia="方正仿宋_GBK"/>
          <w:color w:val="000000"/>
          <w:sz w:val="33"/>
          <w:szCs w:val="33"/>
        </w:rPr>
        <w:t>因公出国（境）支出决算与20</w:t>
      </w:r>
      <w:r>
        <w:rPr>
          <w:rFonts w:hint="eastAsia" w:eastAsia="方正仿宋_GBK"/>
          <w:color w:val="000000"/>
          <w:sz w:val="33"/>
          <w:szCs w:val="33"/>
          <w:lang w:val="en-US" w:eastAsia="zh-CN"/>
        </w:rPr>
        <w:t>21</w:t>
      </w:r>
      <w:r>
        <w:rPr>
          <w:rFonts w:eastAsia="方正仿宋_GBK"/>
          <w:color w:val="000000"/>
          <w:sz w:val="33"/>
          <w:szCs w:val="33"/>
        </w:rPr>
        <w:t>年持平</w:t>
      </w:r>
      <w:r>
        <w:rPr>
          <w:rFonts w:hint="eastAsia" w:eastAsia="方正仿宋_GBK"/>
          <w:color w:val="000000"/>
          <w:sz w:val="33"/>
          <w:szCs w:val="33"/>
          <w:lang w:eastAsia="zh-CN"/>
        </w:rPr>
        <w:t>，主要原因是单位未安排</w:t>
      </w:r>
      <w:r>
        <w:rPr>
          <w:rFonts w:eastAsia="方正仿宋_GBK"/>
          <w:color w:val="000000"/>
          <w:sz w:val="33"/>
          <w:szCs w:val="33"/>
        </w:rPr>
        <w:t>因公出国（境）</w:t>
      </w:r>
      <w:r>
        <w:rPr>
          <w:rFonts w:hint="eastAsia" w:ascii="仿宋_GB2312" w:eastAsia="仿宋_GB2312"/>
          <w:color w:val="000000"/>
          <w:sz w:val="32"/>
          <w:szCs w:val="32"/>
        </w:rPr>
        <w:t>。</w:t>
      </w:r>
    </w:p>
    <w:p>
      <w:pPr>
        <w:spacing w:beforeLines="0" w:afterLines="0" w:line="600" w:lineRule="exact"/>
        <w:ind w:firstLine="640"/>
        <w:jc w:val="both"/>
        <w:rPr>
          <w:rFonts w:hint="eastAsia" w:ascii="仿宋_GB2312" w:hAnsi="仿宋_GB2312" w:eastAsia="仿宋_GB2312"/>
          <w:color w:val="000000"/>
          <w:kern w:val="2"/>
          <w:sz w:val="32"/>
          <w:szCs w:val="24"/>
          <w:lang w:val="zh-CN"/>
        </w:rPr>
      </w:pPr>
      <w:r>
        <w:rPr>
          <w:rFonts w:hint="default" w:ascii="Times New Roman" w:hAnsi="Times New Roman" w:eastAsia="仿宋_GB2312" w:cs="Times New Roman"/>
          <w:b/>
          <w:color w:val="000000"/>
          <w:sz w:val="32"/>
          <w:szCs w:val="32"/>
        </w:rPr>
        <w:t>2.公务用车购置及运行维护费支出</w:t>
      </w:r>
      <w:r>
        <w:rPr>
          <w:rFonts w:hint="eastAsia" w:ascii="仿宋_GB2312" w:hAnsi="仿宋_GB2312" w:eastAsia="仿宋_GB2312"/>
          <w:color w:val="000000"/>
          <w:kern w:val="2"/>
          <w:sz w:val="32"/>
          <w:szCs w:val="24"/>
          <w:lang w:val="zh-CN"/>
        </w:rPr>
        <w:t>2.96万元，完成预算100%。公务用车购置及运行维护费支出决算与2021年持平，主要原因是</w:t>
      </w:r>
      <w:r>
        <w:rPr>
          <w:rFonts w:hint="eastAsia" w:eastAsia="仿宋" w:cs="Times New Roman"/>
          <w:color w:val="000000"/>
          <w:sz w:val="32"/>
          <w:szCs w:val="32"/>
          <w:lang w:eastAsia="zh-CN"/>
        </w:rPr>
        <w:t>严控“三公”经费</w:t>
      </w:r>
      <w:r>
        <w:rPr>
          <w:rFonts w:hint="eastAsia" w:ascii="仿宋_GB2312" w:hAnsi="仿宋_GB2312" w:eastAsia="仿宋_GB2312"/>
          <w:color w:val="000000"/>
          <w:kern w:val="2"/>
          <w:sz w:val="32"/>
          <w:szCs w:val="24"/>
          <w:lang w:val="zh-CN"/>
        </w:rPr>
        <w:t>。</w:t>
      </w:r>
    </w:p>
    <w:p>
      <w:pPr>
        <w:spacing w:beforeLines="0" w:afterLines="0"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支出0万元，与</w:t>
      </w:r>
      <w:r>
        <w:rPr>
          <w:rFonts w:hint="eastAsia" w:ascii="仿宋_GB2312" w:hAnsi="仿宋_GB2312" w:eastAsia="仿宋_GB2312"/>
          <w:color w:val="000000"/>
          <w:kern w:val="2"/>
          <w:sz w:val="32"/>
          <w:szCs w:val="24"/>
          <w:lang w:val="en-US" w:eastAsia="zh-CN"/>
        </w:rPr>
        <w:t>2021年持平，</w:t>
      </w:r>
      <w:r>
        <w:rPr>
          <w:rFonts w:hint="eastAsia" w:ascii="仿宋_GB2312" w:eastAsia="仿宋_GB2312"/>
          <w:color w:val="000000"/>
          <w:sz w:val="32"/>
          <w:szCs w:val="32"/>
          <w:lang w:val="en-US" w:eastAsia="zh-CN"/>
        </w:rPr>
        <w:t>主要原因是2021年与2022年均未安排公务车购置</w:t>
      </w:r>
      <w:r>
        <w:rPr>
          <w:rFonts w:hint="eastAsia" w:ascii="仿宋_GB2312" w:hAnsi="仿宋_GB2312" w:eastAsia="仿宋_GB2312"/>
          <w:color w:val="000000"/>
          <w:kern w:val="2"/>
          <w:sz w:val="32"/>
          <w:szCs w:val="24"/>
          <w:lang w:val="zh-CN"/>
        </w:rPr>
        <w:t>。全年按规定更新购置公务用车0辆，其中：轿车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万元。截至2022年12月底，单位共有公务用车</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辆，其中：其他车型</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w:t>
      </w:r>
    </w:p>
    <w:p>
      <w:pPr>
        <w:spacing w:beforeLines="0" w:afterLines="0" w:line="600" w:lineRule="exact"/>
        <w:ind w:firstLine="640"/>
        <w:jc w:val="both"/>
        <w:rPr>
          <w:rFonts w:hint="eastAsia" w:ascii="仿宋_GB2312" w:hAnsi="仿宋_GB2312" w:eastAsia="仿宋_GB2312"/>
          <w:color w:val="000000"/>
          <w:kern w:val="2"/>
          <w:sz w:val="32"/>
          <w:szCs w:val="24"/>
          <w:lang w:val="zh-CN"/>
        </w:rPr>
      </w:pPr>
      <w:r>
        <w:rPr>
          <w:rFonts w:hint="default" w:ascii="Times New Roman" w:hAnsi="Times New Roman" w:eastAsia="仿宋_GB2312" w:cs="Times New Roman"/>
          <w:b/>
          <w:color w:val="000000"/>
          <w:sz w:val="32"/>
          <w:szCs w:val="32"/>
        </w:rPr>
        <w:t>公务用车运行维护费支出</w:t>
      </w:r>
      <w:r>
        <w:rPr>
          <w:rFonts w:hint="eastAsia" w:ascii="仿宋_GB2312" w:hAnsi="仿宋_GB2312" w:eastAsia="仿宋_GB2312"/>
          <w:color w:val="000000"/>
          <w:kern w:val="2"/>
          <w:sz w:val="32"/>
          <w:szCs w:val="24"/>
          <w:lang w:val="zh-CN"/>
        </w:rPr>
        <w:t>2.96万元，与</w:t>
      </w:r>
      <w:r>
        <w:rPr>
          <w:rFonts w:hint="eastAsia" w:ascii="仿宋_GB2312" w:hAnsi="仿宋_GB2312" w:eastAsia="仿宋_GB2312"/>
          <w:color w:val="000000"/>
          <w:kern w:val="2"/>
          <w:sz w:val="32"/>
          <w:szCs w:val="24"/>
          <w:lang w:val="en-US" w:eastAsia="zh-CN"/>
        </w:rPr>
        <w:t>2021年持平，</w:t>
      </w:r>
      <w:r>
        <w:rPr>
          <w:rFonts w:hint="eastAsia" w:ascii="仿宋_GB2312" w:hAnsi="仿宋_GB2312" w:eastAsia="仿宋_GB2312"/>
          <w:color w:val="000000"/>
          <w:kern w:val="2"/>
          <w:sz w:val="32"/>
          <w:szCs w:val="24"/>
          <w:lang w:val="zh-CN"/>
        </w:rPr>
        <w:t>主要原因是</w:t>
      </w:r>
      <w:r>
        <w:rPr>
          <w:rFonts w:hint="eastAsia" w:eastAsia="仿宋" w:cs="Times New Roman"/>
          <w:color w:val="000000"/>
          <w:sz w:val="32"/>
          <w:szCs w:val="32"/>
          <w:lang w:eastAsia="zh-CN"/>
        </w:rPr>
        <w:t>严控“三公”经费</w:t>
      </w:r>
      <w:r>
        <w:rPr>
          <w:rFonts w:hint="eastAsia" w:ascii="仿宋_GB2312" w:hAnsi="仿宋_GB2312" w:eastAsia="仿宋_GB2312"/>
          <w:color w:val="000000"/>
          <w:kern w:val="2"/>
          <w:sz w:val="32"/>
          <w:szCs w:val="24"/>
          <w:lang w:val="zh-CN"/>
        </w:rPr>
        <w:t>。主要用于</w:t>
      </w:r>
      <w:r>
        <w:rPr>
          <w:rFonts w:hint="eastAsia" w:ascii="仿宋_GB2312" w:hAnsi="仿宋_GB2312" w:eastAsia="仿宋_GB2312"/>
          <w:color w:val="000000"/>
          <w:kern w:val="2"/>
          <w:sz w:val="32"/>
          <w:szCs w:val="24"/>
          <w:highlight w:val="white"/>
          <w:lang w:val="zh-CN"/>
        </w:rPr>
        <w:t>日常考试考务领返卷、考务检查等</w:t>
      </w:r>
      <w:r>
        <w:rPr>
          <w:rFonts w:hint="eastAsia" w:ascii="仿宋_GB2312" w:hAnsi="仿宋_GB2312" w:eastAsia="仿宋_GB2312"/>
          <w:color w:val="000000"/>
          <w:kern w:val="2"/>
          <w:sz w:val="32"/>
          <w:szCs w:val="24"/>
          <w:lang w:val="zh-CN"/>
        </w:rPr>
        <w:t>所需的公务用车燃料费、维修费、过路过桥费、保险费等支出。</w:t>
      </w:r>
    </w:p>
    <w:p>
      <w:pPr>
        <w:numPr>
          <w:ilvl w:val="0"/>
          <w:numId w:val="0"/>
        </w:numPr>
        <w:spacing w:beforeLines="0" w:afterLines="0" w:line="600" w:lineRule="exact"/>
        <w:jc w:val="both"/>
        <w:rPr>
          <w:rFonts w:hint="default" w:ascii="Times New Roman" w:hAnsi="Times New Roman" w:eastAsia="仿宋_GB2312" w:cs="Times New Roman"/>
          <w:color w:val="000000"/>
          <w:sz w:val="32"/>
          <w:szCs w:val="32"/>
        </w:rPr>
      </w:pPr>
      <w:r>
        <w:rPr>
          <w:rFonts w:hint="eastAsia" w:eastAsia="仿宋_GB2312" w:cs="Times New Roman"/>
          <w:b/>
          <w:color w:val="000000"/>
          <w:sz w:val="32"/>
          <w:szCs w:val="32"/>
          <w:lang w:val="en-US" w:eastAsia="zh-CN"/>
        </w:rPr>
        <w:t xml:space="preserve">    </w:t>
      </w:r>
      <w:r>
        <w:rPr>
          <w:rFonts w:hint="default" w:ascii="Times New Roman" w:hAnsi="Times New Roman" w:eastAsia="仿宋_GB2312" w:cs="Times New Roman"/>
          <w:b/>
          <w:color w:val="000000"/>
          <w:sz w:val="32"/>
          <w:szCs w:val="32"/>
        </w:rPr>
        <w:t>3.公务接待费支出</w:t>
      </w:r>
      <w:r>
        <w:rPr>
          <w:rFonts w:hint="eastAsia" w:ascii="仿宋_GB2312" w:hAnsi="仿宋_GB2312" w:eastAsia="仿宋_GB2312"/>
          <w:color w:val="000000"/>
          <w:kern w:val="2"/>
          <w:sz w:val="32"/>
          <w:szCs w:val="24"/>
          <w:lang w:val="zh-CN"/>
        </w:rPr>
        <w:t>0.59万元，完成预算100%。公务接待费支出决算比2021年减少0.17万元，下降22.4%。主要原因是</w:t>
      </w:r>
      <w:r>
        <w:rPr>
          <w:rFonts w:hint="eastAsia" w:ascii="仿宋_GB2312" w:eastAsia="仿宋_GB2312"/>
          <w:color w:val="000000"/>
          <w:sz w:val="32"/>
          <w:szCs w:val="32"/>
          <w:lang w:eastAsia="zh-CN"/>
        </w:rPr>
        <w:t>接待省市招考委检查考试考务工作</w:t>
      </w:r>
      <w:r>
        <w:rPr>
          <w:rFonts w:hint="eastAsia" w:ascii="仿宋_GB2312" w:hAnsi="仿宋_GB2312" w:eastAsia="仿宋_GB2312"/>
          <w:color w:val="000000"/>
          <w:kern w:val="2"/>
          <w:sz w:val="32"/>
          <w:szCs w:val="24"/>
          <w:lang w:val="zh-CN"/>
        </w:rPr>
        <w:t>。其中：</w:t>
      </w:r>
    </w:p>
    <w:p>
      <w:pPr>
        <w:numPr>
          <w:ilvl w:val="0"/>
          <w:numId w:val="0"/>
        </w:numPr>
        <w:spacing w:beforeLines="0" w:afterLines="0" w:line="600" w:lineRule="exact"/>
        <w:jc w:val="both"/>
        <w:rPr>
          <w:rFonts w:hint="eastAsia" w:ascii="仿宋_GB2312" w:hAnsi="仿宋_GB2312" w:eastAsia="仿宋_GB2312"/>
          <w:color w:val="000000"/>
          <w:kern w:val="2"/>
          <w:sz w:val="32"/>
          <w:szCs w:val="24"/>
          <w:lang w:val="en-US"/>
        </w:rPr>
      </w:pPr>
      <w:r>
        <w:rPr>
          <w:rFonts w:hint="eastAsia" w:eastAsia="仿宋" w:cs="Times New Roman"/>
          <w:b/>
          <w:color w:val="000000"/>
          <w:sz w:val="32"/>
          <w:szCs w:val="32"/>
          <w:lang w:val="en-US" w:eastAsia="zh-CN"/>
        </w:rPr>
        <w:t xml:space="preserve">    </w:t>
      </w:r>
      <w:r>
        <w:rPr>
          <w:rFonts w:hint="default" w:ascii="Times New Roman" w:hAnsi="Times New Roman" w:eastAsia="仿宋" w:cs="Times New Roman"/>
          <w:b/>
          <w:color w:val="000000"/>
          <w:sz w:val="32"/>
          <w:szCs w:val="32"/>
        </w:rPr>
        <w:t>国内公务接待支出</w:t>
      </w:r>
      <w:r>
        <w:rPr>
          <w:rFonts w:hint="eastAsia" w:ascii="仿宋_GB2312" w:hAnsi="仿宋_GB2312" w:eastAsia="仿宋_GB2312"/>
          <w:color w:val="000000"/>
          <w:kern w:val="2"/>
          <w:sz w:val="32"/>
          <w:szCs w:val="24"/>
          <w:lang w:val="zh-CN"/>
        </w:rPr>
        <w:t>0.59万元，比2021年减少0.17万元，下降22.4%，主要原因是厉行节约，</w:t>
      </w:r>
      <w:r>
        <w:rPr>
          <w:rFonts w:hint="eastAsia" w:eastAsia="仿宋" w:cs="Times New Roman"/>
          <w:color w:val="000000"/>
          <w:sz w:val="32"/>
          <w:szCs w:val="32"/>
          <w:lang w:eastAsia="zh-CN"/>
        </w:rPr>
        <w:t>严控“三公”经费</w:t>
      </w:r>
      <w:r>
        <w:rPr>
          <w:rFonts w:hint="eastAsia" w:ascii="仿宋_GB2312" w:hAnsi="仿宋_GB2312" w:eastAsia="仿宋_GB2312"/>
          <w:color w:val="000000"/>
          <w:kern w:val="2"/>
          <w:sz w:val="32"/>
          <w:szCs w:val="24"/>
          <w:lang w:val="zh-CN"/>
        </w:rPr>
        <w:t>，减少接待开支。</w:t>
      </w:r>
      <w:r>
        <w:rPr>
          <w:rFonts w:hint="default" w:ascii="仿宋_GB2312" w:hAnsi="仿宋_GB2312" w:eastAsia="仿宋_GB2312"/>
          <w:color w:val="000000"/>
          <w:kern w:val="2"/>
          <w:sz w:val="32"/>
          <w:szCs w:val="24"/>
          <w:lang w:val="zh-CN"/>
        </w:rPr>
        <w:t>国内公务接待</w:t>
      </w:r>
      <w:r>
        <w:rPr>
          <w:rFonts w:hint="eastAsia" w:ascii="仿宋_GB2312" w:hAnsi="仿宋_GB2312" w:eastAsia="仿宋_GB2312"/>
          <w:color w:val="000000"/>
          <w:kern w:val="2"/>
          <w:sz w:val="32"/>
          <w:szCs w:val="24"/>
          <w:lang w:val="zh-CN"/>
        </w:rPr>
        <w:t>主要用于</w:t>
      </w:r>
      <w:r>
        <w:rPr>
          <w:rFonts w:hint="eastAsia" w:ascii="仿宋_GB2312" w:hAnsi="仿宋_GB2312" w:eastAsia="仿宋_GB2312"/>
          <w:color w:val="000000"/>
          <w:kern w:val="2"/>
          <w:sz w:val="32"/>
          <w:szCs w:val="24"/>
          <w:highlight w:val="white"/>
          <w:lang w:val="en-US"/>
        </w:rPr>
        <w:t>执行公务、开展业务活动开支的交通费、住宿费、用餐费等。</w:t>
      </w:r>
      <w:r>
        <w:rPr>
          <w:rFonts w:hint="eastAsia" w:ascii="仿宋_GB2312" w:hAnsi="仿宋_GB2312" w:eastAsia="仿宋_GB2312"/>
          <w:color w:val="000000"/>
          <w:kern w:val="2"/>
          <w:sz w:val="32"/>
          <w:szCs w:val="24"/>
          <w:lang w:val="zh-CN"/>
        </w:rPr>
        <w:t>国内公务接待3批次，</w:t>
      </w:r>
      <w:r>
        <w:rPr>
          <w:rFonts w:hint="eastAsia" w:ascii="仿宋_GB2312" w:hAnsi="仿宋_GB2312" w:eastAsia="仿宋_GB2312"/>
          <w:color w:val="000000"/>
          <w:kern w:val="2"/>
          <w:sz w:val="32"/>
          <w:szCs w:val="24"/>
          <w:lang w:val="en-US" w:eastAsia="zh-CN"/>
        </w:rPr>
        <w:t>46</w:t>
      </w:r>
      <w:r>
        <w:rPr>
          <w:rFonts w:hint="eastAsia" w:ascii="仿宋_GB2312" w:hAnsi="仿宋_GB2312" w:eastAsia="仿宋_GB2312"/>
          <w:color w:val="000000"/>
          <w:kern w:val="2"/>
          <w:sz w:val="32"/>
          <w:szCs w:val="24"/>
          <w:lang w:val="zh-CN"/>
        </w:rPr>
        <w:t>人次，共计支出0.59万元，具体内容包括</w:t>
      </w:r>
      <w:r>
        <w:rPr>
          <w:rFonts w:hint="eastAsia" w:ascii="仿宋_GB2312" w:hAnsi="仿宋_GB2312" w:eastAsia="仿宋_GB2312"/>
          <w:color w:val="000000"/>
          <w:kern w:val="2"/>
          <w:sz w:val="32"/>
          <w:szCs w:val="24"/>
          <w:highlight w:val="white"/>
          <w:lang w:val="en-US" w:eastAsia="zh-CN"/>
        </w:rPr>
        <w:t>接待省研招处及市招考委员会研招考试考前检查0.24万元，接待省督导2022研招考试检查0.14万元，接待省市招考委巡考0.21万元</w:t>
      </w:r>
      <w:r>
        <w:rPr>
          <w:rFonts w:hint="eastAsia" w:ascii="仿宋_GB2312" w:hAnsi="仿宋_GB2312" w:eastAsia="仿宋_GB2312"/>
          <w:color w:val="000000"/>
          <w:kern w:val="2"/>
          <w:sz w:val="32"/>
          <w:szCs w:val="24"/>
          <w:highlight w:val="white"/>
          <w:lang w:val="en-US"/>
        </w:rPr>
        <w:t>。</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支出0万元，外事接待0批次，0人，共计支出0万元，主要原因是未安排外事接待。</w:t>
      </w:r>
    </w:p>
    <w:p>
      <w:pPr>
        <w:spacing w:line="600" w:lineRule="exact"/>
        <w:ind w:firstLine="640"/>
        <w:outlineLvl w:val="1"/>
        <w:rPr>
          <w:rStyle w:val="26"/>
          <w:rFonts w:hint="default" w:ascii="Times New Roman" w:hAnsi="Times New Roman" w:eastAsia="黑体" w:cs="Times New Roman"/>
        </w:rPr>
      </w:pP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6"/>
          <w:rFonts w:hint="default" w:ascii="Times New Roman" w:hAnsi="Times New Roman" w:eastAsia="黑体" w:cs="Times New Roman"/>
          <w:b w:val="0"/>
        </w:rPr>
        <w:t>政府性基金预算支出决算情况说明</w:t>
      </w:r>
      <w:bookmarkEnd w:id="42"/>
      <w:bookmarkEnd w:id="43"/>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年政府性基金预算拨款支出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numPr>
          <w:ilvl w:val="0"/>
          <w:numId w:val="0"/>
        </w:numPr>
        <w:spacing w:line="600" w:lineRule="exact"/>
        <w:ind w:firstLine="640" w:firstLineChars="200"/>
        <w:outlineLvl w:val="1"/>
        <w:rPr>
          <w:rStyle w:val="26"/>
          <w:rFonts w:hint="default" w:ascii="Times New Roman" w:hAnsi="Times New Roman" w:eastAsia="黑体" w:cs="Times New Roman"/>
          <w:b w:val="0"/>
        </w:rPr>
      </w:pPr>
      <w:bookmarkStart w:id="45" w:name="_Toc15377219"/>
      <w:bookmarkStart w:id="46" w:name="_Toc15396611"/>
      <w:r>
        <w:rPr>
          <w:rStyle w:val="26"/>
          <w:rFonts w:hint="default" w:ascii="Times New Roman" w:hAnsi="Times New Roman" w:eastAsia="黑体" w:cs="Times New Roman"/>
          <w:b w:val="0"/>
          <w:lang w:eastAsia="zh-CN"/>
        </w:rPr>
        <w:t>十、</w:t>
      </w:r>
      <w:r>
        <w:rPr>
          <w:rStyle w:val="26"/>
          <w:rFonts w:hint="default" w:ascii="Times New Roman" w:hAnsi="Times New Roman" w:eastAsia="黑体" w:cs="Times New Roman"/>
          <w:b w:val="0"/>
        </w:rPr>
        <w:t>国有资本经营预算支出决算情况说明</w:t>
      </w:r>
      <w:bookmarkEnd w:id="45"/>
      <w:bookmarkEnd w:id="46"/>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年国有资本经营预算拨款支出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600" w:lineRule="exact"/>
        <w:ind w:left="0" w:leftChars="0" w:firstLine="640" w:firstLineChars="200"/>
        <w:outlineLvl w:val="1"/>
        <w:rPr>
          <w:rStyle w:val="26"/>
          <w:rFonts w:hint="default" w:ascii="Times New Roman" w:hAnsi="Times New Roman" w:eastAsia="黑体" w:cs="Times New Roman"/>
        </w:rPr>
      </w:pPr>
      <w:bookmarkStart w:id="47" w:name="_Toc15377221"/>
      <w:bookmarkStart w:id="48" w:name="_Toc15396612"/>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6"/>
          <w:rFonts w:hint="default" w:ascii="Times New Roman" w:hAnsi="Times New Roman" w:eastAsia="黑体" w:cs="Times New Roman"/>
        </w:rPr>
        <w:t>、</w:t>
      </w:r>
      <w:r>
        <w:rPr>
          <w:rStyle w:val="26"/>
          <w:rFonts w:hint="default" w:ascii="Times New Roman" w:hAnsi="Times New Roman" w:eastAsia="黑体" w:cs="Times New Roman"/>
          <w:b w:val="0"/>
        </w:rPr>
        <w:t>其他重要事项的情况说明</w:t>
      </w:r>
      <w:bookmarkEnd w:id="47"/>
      <w:bookmarkEnd w:id="48"/>
    </w:p>
    <w:p>
      <w:pPr>
        <w:spacing w:line="600" w:lineRule="exact"/>
        <w:ind w:firstLine="642" w:firstLineChars="200"/>
        <w:outlineLvl w:val="2"/>
        <w:rPr>
          <w:rFonts w:hint="default" w:ascii="Times New Roman" w:hAnsi="Times New Roman" w:eastAsia="仿宋" w:cs="Times New Roman"/>
          <w:color w:val="000000"/>
          <w:sz w:val="32"/>
          <w:szCs w:val="32"/>
        </w:rPr>
      </w:pPr>
      <w:bookmarkStart w:id="49" w:name="_Toc15377222"/>
      <w:r>
        <w:rPr>
          <w:rFonts w:hint="default" w:ascii="Times New Roman" w:hAnsi="Times New Roman" w:eastAsia="仿宋" w:cs="Times New Roman"/>
          <w:b/>
          <w:color w:val="000000"/>
          <w:sz w:val="32"/>
          <w:szCs w:val="32"/>
        </w:rPr>
        <w:t>（一）机关运行经费支出情况</w:t>
      </w:r>
      <w:bookmarkEnd w:id="49"/>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2022年，广安市教育考试院机关运行经费支出0万元，</w:t>
      </w:r>
      <w:r>
        <w:rPr>
          <w:rFonts w:hint="eastAsia" w:ascii="仿宋_GB2312" w:hAnsi="仿宋_GB2312" w:eastAsia="仿宋_GB2312"/>
          <w:color w:val="auto"/>
          <w:kern w:val="2"/>
          <w:sz w:val="32"/>
          <w:szCs w:val="24"/>
          <w:lang w:val="en-US"/>
        </w:rPr>
        <w:t>与2021年决算数持平</w:t>
      </w:r>
      <w:r>
        <w:rPr>
          <w:rFonts w:hint="eastAsia" w:ascii="仿宋_GB2312" w:hAnsi="仿宋_GB2312" w:eastAsia="仿宋_GB2312"/>
          <w:color w:val="000000"/>
          <w:kern w:val="2"/>
          <w:sz w:val="32"/>
          <w:szCs w:val="24"/>
          <w:lang w:val="zh-CN"/>
        </w:rPr>
        <w:t>。主要原因是</w:t>
      </w:r>
      <w:r>
        <w:rPr>
          <w:rFonts w:hint="eastAsia" w:eastAsia="方正仿宋_GBK"/>
          <w:bCs/>
          <w:color w:val="000000"/>
          <w:sz w:val="33"/>
          <w:szCs w:val="33"/>
        </w:rPr>
        <w:t>本单位为事业单位，无机关运行经费</w:t>
      </w:r>
      <w:r>
        <w:rPr>
          <w:rFonts w:hint="eastAsia" w:ascii="仿宋_GB2312" w:eastAsia="仿宋_GB2312"/>
          <w:color w:val="000000"/>
          <w:sz w:val="32"/>
          <w:szCs w:val="32"/>
          <w:lang w:eastAsia="zh-CN"/>
        </w:rPr>
        <w:t>。</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bookmarkStart w:id="50" w:name="_Toc15377223"/>
      <w:r>
        <w:rPr>
          <w:rFonts w:hint="default" w:ascii="Times New Roman" w:hAnsi="Times New Roman" w:eastAsia="仿宋" w:cs="Times New Roman"/>
          <w:b/>
          <w:color w:val="000000"/>
          <w:sz w:val="32"/>
          <w:szCs w:val="32"/>
        </w:rPr>
        <w:t>（二）政府采购支出情况</w:t>
      </w:r>
      <w:bookmarkEnd w:id="50"/>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2022年，广安市教育考试院政府采购支出总额0万元，其中：政府采购货物支出0万元、政府采购工程支出0万元、政府采购服务支出0万元</w:t>
      </w:r>
      <w:r>
        <w:rPr>
          <w:rFonts w:hint="eastAsia" w:ascii="仿宋_GB2312" w:hAnsi="仿宋_GB2312" w:eastAsia="仿宋_GB2312"/>
          <w:color w:val="000000"/>
          <w:kern w:val="2"/>
          <w:sz w:val="32"/>
          <w:szCs w:val="24"/>
          <w:highlight w:val="white"/>
          <w:lang w:val="zh-CN"/>
        </w:rPr>
        <w:t>。</w:t>
      </w:r>
      <w:r>
        <w:rPr>
          <w:rFonts w:hint="eastAsia" w:ascii="仿宋_GB2312" w:hAnsi="仿宋_GB2312" w:eastAsia="仿宋_GB2312"/>
          <w:color w:val="000000"/>
          <w:kern w:val="2"/>
          <w:sz w:val="32"/>
          <w:szCs w:val="24"/>
          <w:lang w:val="zh-CN"/>
        </w:rPr>
        <w:t>授予中小企业合同金额0万元，占政府采购支出总额的0%，其中：授予小微企业合同金额0万元，</w:t>
      </w:r>
      <w:r>
        <w:rPr>
          <w:rFonts w:hint="eastAsia" w:ascii="仿宋_GB2312" w:hAnsi="仿宋_GB2312" w:eastAsia="仿宋_GB2312"/>
          <w:color w:val="auto"/>
          <w:kern w:val="2"/>
          <w:sz w:val="32"/>
          <w:szCs w:val="24"/>
          <w:lang w:val="en-US"/>
        </w:rPr>
        <w:t>占政府采购支出总额的</w:t>
      </w:r>
      <w:r>
        <w:rPr>
          <w:rFonts w:hint="eastAsia" w:ascii="仿宋_GB2312" w:hAnsi="仿宋_GB2312" w:eastAsia="仿宋_GB2312"/>
          <w:color w:val="000000"/>
          <w:kern w:val="2"/>
          <w:sz w:val="32"/>
          <w:szCs w:val="24"/>
          <w:lang w:val="zh-CN"/>
        </w:rPr>
        <w:t>0%。</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bookmarkStart w:id="51" w:name="_Toc15377224"/>
      <w:r>
        <w:rPr>
          <w:rFonts w:hint="default" w:ascii="Times New Roman" w:hAnsi="Times New Roman" w:eastAsia="仿宋" w:cs="Times New Roman"/>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年12月31日，</w:t>
      </w:r>
      <w:r>
        <w:rPr>
          <w:rFonts w:hint="eastAsia" w:eastAsia="仿宋_GB2312" w:cs="Times New Roman"/>
          <w:color w:val="000000"/>
          <w:sz w:val="32"/>
          <w:szCs w:val="32"/>
          <w:lang w:eastAsia="zh-CN"/>
        </w:rPr>
        <w:t>本单位</w:t>
      </w:r>
      <w:r>
        <w:rPr>
          <w:rFonts w:hint="default" w:ascii="Times New Roman" w:hAnsi="Times New Roman" w:eastAsia="仿宋_GB2312" w:cs="Times New Roman"/>
          <w:color w:val="000000"/>
          <w:sz w:val="32"/>
          <w:szCs w:val="32"/>
        </w:rPr>
        <w:t>共有车辆</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辆，其中：主要领导干部用车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辆、其他用车</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其他用车主要是</w:t>
      </w:r>
      <w:r>
        <w:rPr>
          <w:rFonts w:hint="eastAsia" w:ascii="仿宋_GB2312" w:eastAsia="仿宋_GB2312"/>
          <w:color w:val="000000"/>
          <w:sz w:val="32"/>
          <w:szCs w:val="32"/>
          <w:lang w:eastAsia="zh-CN"/>
        </w:rPr>
        <w:t>用于日常考务考点检查及领返各项国家教育考试试卷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jc w:val="left"/>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单价100</w:t>
      </w:r>
      <w:r>
        <w:rPr>
          <w:rFonts w:hint="default" w:ascii="Times New Roman" w:hAnsi="Times New Roman" w:eastAsia="仿宋_GB2312" w:cs="Times New Roman"/>
          <w:color w:val="000000"/>
          <w:sz w:val="32"/>
          <w:szCs w:val="32"/>
        </w:rPr>
        <w:t>万元以上专用设备</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pPr>
        <w:spacing w:beforeLines="0" w:afterLines="0" w:line="576" w:lineRule="exact"/>
        <w:ind w:firstLine="643"/>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根据预算绩效管理要求，本单位在202</w:t>
      </w:r>
      <w:r>
        <w:rPr>
          <w:rFonts w:hint="eastAsia" w:ascii="宋体" w:hAnsi="宋体" w:eastAsia="宋体"/>
          <w:color w:val="auto"/>
          <w:kern w:val="2"/>
          <w:sz w:val="32"/>
          <w:szCs w:val="24"/>
          <w:lang w:val="en-US"/>
        </w:rPr>
        <w:t>2</w:t>
      </w:r>
      <w:r>
        <w:rPr>
          <w:rFonts w:hint="eastAsia" w:ascii="仿宋_GB2312" w:hAnsi="仿宋_GB2312" w:eastAsia="仿宋_GB2312"/>
          <w:color w:val="auto"/>
          <w:kern w:val="2"/>
          <w:sz w:val="32"/>
          <w:szCs w:val="24"/>
          <w:lang w:val="en-US"/>
        </w:rPr>
        <w:t>年度预算编制阶段，组织对</w:t>
      </w:r>
      <w:r>
        <w:rPr>
          <w:rFonts w:hint="eastAsia" w:ascii="仿宋_GB2312" w:hAnsi="仿宋_GB2312" w:eastAsia="仿宋_GB2312"/>
          <w:color w:val="auto"/>
          <w:kern w:val="2"/>
          <w:sz w:val="32"/>
          <w:szCs w:val="24"/>
          <w:lang w:val="en-US" w:eastAsia="zh-CN"/>
        </w:rPr>
        <w:t>标准化考点系统维修维护</w:t>
      </w:r>
      <w:r>
        <w:rPr>
          <w:rFonts w:hint="eastAsia" w:ascii="仿宋_GB2312" w:hAnsi="仿宋_GB2312" w:eastAsia="仿宋_GB2312"/>
          <w:color w:val="auto"/>
          <w:kern w:val="2"/>
          <w:sz w:val="32"/>
          <w:szCs w:val="24"/>
          <w:lang w:val="en-US"/>
        </w:rPr>
        <w:t>项目等</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个项目开展绩效监控，组织对</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个项目开展绩效自评，绩效自评表详见第四部分附件。</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numPr>
          <w:ilvl w:val="0"/>
          <w:numId w:val="5"/>
        </w:numPr>
        <w:spacing w:line="600" w:lineRule="exact"/>
        <w:ind w:firstLine="660" w:firstLineChars="150"/>
        <w:jc w:val="center"/>
        <w:outlineLvl w:val="0"/>
        <w:rPr>
          <w:rStyle w:val="25"/>
          <w:rFonts w:hint="default" w:ascii="Times New Roman" w:hAnsi="Times New Roman" w:eastAsia="黑体" w:cs="Times New Roman"/>
          <w:b w:val="0"/>
        </w:rPr>
      </w:pPr>
      <w:bookmarkStart w:id="52" w:name="_Toc15396613"/>
      <w:bookmarkStart w:id="53" w:name="_Toc15377225"/>
      <w:r>
        <w:rPr>
          <w:rFonts w:hint="default" w:ascii="Times New Roman" w:hAnsi="Times New Roman" w:eastAsia="黑体" w:cs="Times New Roman"/>
          <w:color w:val="000000"/>
          <w:sz w:val="44"/>
          <w:szCs w:val="44"/>
        </w:rPr>
        <w:t>名</w:t>
      </w:r>
      <w:r>
        <w:rPr>
          <w:rStyle w:val="25"/>
          <w:rFonts w:hint="default" w:ascii="Times New Roman" w:hAnsi="Times New Roman" w:eastAsia="黑体" w:cs="Times New Roman"/>
          <w:b w:val="0"/>
        </w:rPr>
        <w:t>词解释</w:t>
      </w:r>
      <w:bookmarkEnd w:id="52"/>
      <w:bookmarkEnd w:id="53"/>
    </w:p>
    <w:p>
      <w:pPr>
        <w:spacing w:line="600" w:lineRule="exact"/>
        <w:jc w:val="left"/>
        <w:rPr>
          <w:rFonts w:hint="default" w:ascii="Times New Roman" w:hAnsi="Times New Roman" w:cs="Times New Roman"/>
          <w:b/>
          <w:color w:val="000000"/>
          <w:sz w:val="44"/>
          <w:szCs w:val="44"/>
        </w:rPr>
      </w:pPr>
    </w:p>
    <w:p>
      <w:pPr>
        <w:pStyle w:val="23"/>
        <w:spacing w:line="560" w:lineRule="exact"/>
        <w:ind w:firstLine="640" w:firstLineChars="200"/>
        <w:rPr>
          <w:rFonts w:ascii="仿宋_GB2312" w:eastAsia="仿宋_GB2312"/>
          <w:sz w:val="32"/>
          <w:szCs w:val="32"/>
        </w:rPr>
      </w:pPr>
      <w:bookmarkStart w:id="54"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r>
        <w:rPr>
          <w:rFonts w:hint="eastAsia" w:ascii="仿宋_GB2312" w:eastAsia="仿宋_GB2312"/>
          <w:sz w:val="32"/>
          <w:szCs w:val="32"/>
          <w:lang w:eastAsia="zh-CN"/>
        </w:rPr>
        <w:t>主要是省上下拨给我单位的各项考试组考费等</w:t>
      </w:r>
      <w:r>
        <w:rPr>
          <w:rFonts w:hint="eastAsia" w:ascii="仿宋_GB2312" w:eastAsia="仿宋_GB2312"/>
          <w:sz w:val="32"/>
          <w:szCs w:val="32"/>
        </w:rPr>
        <w:t>。</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.教育（类）</w:t>
      </w:r>
      <w:r>
        <w:rPr>
          <w:rFonts w:hint="eastAsia" w:ascii="仿宋" w:hAnsi="仿宋" w:eastAsia="仿宋" w:cs="仿宋"/>
          <w:color w:val="000000"/>
          <w:sz w:val="32"/>
          <w:szCs w:val="32"/>
          <w:lang w:eastAsia="zh-CN"/>
        </w:rPr>
        <w:t>教育管理事务</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其</w:t>
      </w:r>
      <w:r>
        <w:rPr>
          <w:rFonts w:hint="eastAsia" w:ascii="仿宋" w:hAnsi="仿宋" w:eastAsia="仿宋" w:cs="仿宋"/>
          <w:color w:val="auto"/>
          <w:sz w:val="32"/>
          <w:szCs w:val="32"/>
          <w:lang w:eastAsia="zh-CN"/>
        </w:rPr>
        <w:t>他教育管理事务</w:t>
      </w:r>
      <w:r>
        <w:rPr>
          <w:rFonts w:hint="eastAsia" w:ascii="仿宋" w:hAnsi="仿宋" w:eastAsia="仿宋" w:cs="仿宋"/>
          <w:color w:val="auto"/>
          <w:sz w:val="32"/>
          <w:szCs w:val="32"/>
        </w:rPr>
        <w:t>（项）：指</w:t>
      </w:r>
      <w:r>
        <w:rPr>
          <w:rFonts w:hint="eastAsia" w:ascii="仿宋" w:hAnsi="仿宋" w:eastAsia="仿宋" w:cs="仿宋"/>
          <w:color w:val="auto"/>
          <w:sz w:val="32"/>
          <w:szCs w:val="32"/>
          <w:lang w:eastAsia="zh-CN"/>
        </w:rPr>
        <w:t>除教育事业费支出和育基本建设支出的其他教育管理支出</w:t>
      </w:r>
      <w:r>
        <w:rPr>
          <w:rFonts w:hint="eastAsia" w:ascii="仿宋" w:hAnsi="仿宋" w:eastAsia="仿宋" w:cs="仿宋"/>
          <w:color w:val="auto"/>
          <w:sz w:val="32"/>
          <w:szCs w:val="32"/>
        </w:rPr>
        <w:t>。</w:t>
      </w:r>
    </w:p>
    <w:p>
      <w:pPr>
        <w:pStyle w:val="2"/>
        <w:ind w:firstLine="640" w:firstLineChars="200"/>
        <w:rPr>
          <w:rFonts w:hint="eastAsia"/>
          <w:color w:val="auto"/>
        </w:rPr>
      </w:pPr>
      <w:r>
        <w:rPr>
          <w:rFonts w:hint="eastAsia"/>
          <w:color w:val="auto"/>
          <w:sz w:val="32"/>
          <w:szCs w:val="32"/>
          <w:lang w:val="en-US" w:eastAsia="zh-CN"/>
        </w:rPr>
        <w:t>8.</w:t>
      </w:r>
      <w:r>
        <w:rPr>
          <w:rFonts w:hint="eastAsia" w:ascii="仿宋_GB2312" w:eastAsia="仿宋_GB2312"/>
          <w:color w:val="auto"/>
          <w:sz w:val="32"/>
          <w:szCs w:val="32"/>
          <w:lang w:val="en-US" w:eastAsia="zh-CN"/>
        </w:rPr>
        <w:t>教育支出（类）普通教育（款）其他普通教育支出（项）:反映其他用于普通教育方面的支出</w:t>
      </w:r>
      <w:r>
        <w:rPr>
          <w:rFonts w:hint="eastAsia"/>
          <w:color w:val="auto"/>
          <w:sz w:val="32"/>
          <w:szCs w:val="32"/>
          <w:lang w:val="en-US"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社会保障和就业</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行政事业单位养老支出</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机关事业单位养老保险缴费支出</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指单位职工</w:t>
      </w:r>
      <w:r>
        <w:rPr>
          <w:rFonts w:hint="eastAsia" w:ascii="仿宋" w:hAnsi="仿宋" w:eastAsia="仿宋" w:cs="仿宋"/>
          <w:color w:val="auto"/>
          <w:sz w:val="32"/>
          <w:szCs w:val="32"/>
          <w:lang w:val="en-US" w:eastAsia="zh-CN"/>
        </w:rPr>
        <w:t>缴纳的各类社会保险。</w:t>
      </w:r>
      <w:r>
        <w:rPr>
          <w:rFonts w:hint="eastAsia" w:ascii="仿宋" w:hAnsi="仿宋" w:eastAsia="仿宋" w:cs="仿宋"/>
          <w:color w:val="auto"/>
          <w:sz w:val="32"/>
          <w:szCs w:val="32"/>
          <w:lang w:val="en-US" w:eastAsia="zh-CN"/>
        </w:rPr>
        <w:tab/>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社会保障和就业</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其他社会保障和就业支出（款）其他社会保障和就业支出（项）：指单位职工缴纳各类社会保险的其他类保险费用。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卫生健康支出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行政事业单位医疗</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事业单位医疗</w:t>
      </w:r>
      <w:r>
        <w:rPr>
          <w:rFonts w:hint="eastAsia" w:ascii="仿宋" w:hAnsi="仿宋" w:eastAsia="仿宋" w:cs="仿宋"/>
          <w:color w:val="auto"/>
          <w:sz w:val="32"/>
          <w:szCs w:val="32"/>
        </w:rPr>
        <w:t>（项）：指</w:t>
      </w:r>
      <w:r>
        <w:rPr>
          <w:rFonts w:hint="eastAsia" w:ascii="仿宋" w:hAnsi="仿宋" w:eastAsia="仿宋" w:cs="仿宋"/>
          <w:color w:val="auto"/>
          <w:sz w:val="32"/>
          <w:szCs w:val="32"/>
          <w:lang w:eastAsia="zh-CN"/>
        </w:rPr>
        <w:t>事业单位职工缴纳的医疗保险类</w:t>
      </w:r>
      <w:r>
        <w:rPr>
          <w:rFonts w:hint="eastAsia" w:ascii="仿宋" w:hAnsi="仿宋" w:eastAsia="仿宋" w:cs="仿宋"/>
          <w:color w:val="auto"/>
          <w:sz w:val="32"/>
          <w:szCs w:val="32"/>
        </w:rPr>
        <w:t>。</w:t>
      </w:r>
    </w:p>
    <w:p>
      <w:pPr>
        <w:pStyle w:val="2"/>
        <w:rPr>
          <w:rFonts w:hint="default" w:eastAsia="仿宋_GB2312"/>
          <w:color w:val="auto"/>
          <w:lang w:val="en-US" w:eastAsia="zh-CN"/>
        </w:rPr>
      </w:pPr>
      <w:r>
        <w:rPr>
          <w:rFonts w:hint="eastAsia"/>
          <w:color w:val="auto"/>
          <w:lang w:val="en-US" w:eastAsia="zh-CN"/>
        </w:rPr>
        <w:t xml:space="preserve">    12.</w:t>
      </w:r>
      <w:r>
        <w:rPr>
          <w:rFonts w:hint="eastAsia" w:ascii="仿宋" w:hAnsi="仿宋" w:eastAsia="仿宋" w:cs="仿宋"/>
          <w:color w:val="auto"/>
          <w:sz w:val="32"/>
          <w:szCs w:val="32"/>
          <w:lang w:eastAsia="zh-CN"/>
        </w:rPr>
        <w:t>卫生健康支出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行政事业单位医疗</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公务员医疗补助</w:t>
      </w:r>
      <w:r>
        <w:rPr>
          <w:rFonts w:hint="eastAsia" w:ascii="仿宋" w:hAnsi="仿宋" w:eastAsia="仿宋" w:cs="仿宋"/>
          <w:color w:val="auto"/>
          <w:sz w:val="32"/>
          <w:szCs w:val="32"/>
        </w:rPr>
        <w:t>（项）：</w:t>
      </w:r>
      <w:r>
        <w:rPr>
          <w:rFonts w:hint="eastAsia" w:ascii="Times New Roman" w:eastAsia="方正仿宋_GBK"/>
          <w:color w:val="auto"/>
          <w:kern w:val="2"/>
          <w:sz w:val="33"/>
          <w:szCs w:val="24"/>
          <w:lang w:val="zh-CN"/>
        </w:rPr>
        <w:t>指财政部门安排的公务员医疗补助经费</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.基本支出：指为保障机构正常运转、完成日常工作任</w:t>
      </w:r>
      <w:r>
        <w:rPr>
          <w:rFonts w:hint="eastAsia" w:ascii="仿宋" w:hAnsi="仿宋" w:eastAsia="仿宋" w:cs="仿宋"/>
          <w:color w:val="000000"/>
          <w:sz w:val="32"/>
          <w:szCs w:val="32"/>
        </w:rPr>
        <w:t>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.项目支出：指在基本支出之外为完成特定行政任务和事业发展目标所发生的支出。</w:t>
      </w:r>
    </w:p>
    <w:p>
      <w:pPr>
        <w:pStyle w:val="23"/>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15</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2" w:firstLineChars="200"/>
        <w:rPr>
          <w:rFonts w:hint="default" w:ascii="Times New Roman" w:hAnsi="Times New Roman" w:eastAsia="仿宋" w:cs="Times New Roman"/>
          <w:b/>
          <w:color w:val="auto"/>
          <w:sz w:val="32"/>
          <w:szCs w:val="32"/>
          <w:highlight w:val="none"/>
        </w:rPr>
      </w:pPr>
    </w:p>
    <w:p>
      <w:pPr>
        <w:spacing w:line="600" w:lineRule="exact"/>
        <w:jc w:val="center"/>
        <w:outlineLvl w:val="0"/>
        <w:rPr>
          <w:rStyle w:val="25"/>
          <w:rFonts w:hint="default" w:ascii="Times New Roman" w:hAnsi="Times New Roman" w:eastAsia="黑体" w:cs="Times New Roman"/>
          <w:b w:val="0"/>
          <w:highlight w:val="none"/>
        </w:rPr>
      </w:pPr>
      <w:r>
        <w:rPr>
          <w:rFonts w:hint="default" w:ascii="Times New Roman" w:hAnsi="Times New Roman" w:cs="Times New Roman"/>
          <w:b/>
          <w:color w:val="000000"/>
          <w:sz w:val="44"/>
          <w:szCs w:val="44"/>
        </w:rPr>
        <w:br w:type="page"/>
      </w:r>
      <w:bookmarkStart w:id="55" w:name="_Toc15396614"/>
      <w:r>
        <w:rPr>
          <w:rFonts w:hint="default" w:ascii="Times New Roman" w:hAnsi="Times New Roman" w:eastAsia="黑体" w:cs="Times New Roman"/>
          <w:color w:val="000000"/>
          <w:sz w:val="44"/>
          <w:szCs w:val="44"/>
          <w:highlight w:val="none"/>
        </w:rPr>
        <w:t>第</w:t>
      </w:r>
      <w:r>
        <w:rPr>
          <w:rStyle w:val="25"/>
          <w:rFonts w:hint="default" w:ascii="Times New Roman" w:hAnsi="Times New Roman" w:eastAsia="黑体" w:cs="Times New Roman"/>
          <w:b w:val="0"/>
          <w:highlight w:val="none"/>
        </w:rPr>
        <w:t>四部分 附件</w:t>
      </w:r>
      <w:bookmarkEnd w:id="55"/>
    </w:p>
    <w:p>
      <w:pPr>
        <w:pStyle w:val="2"/>
        <w:rPr>
          <w:rFonts w:hint="default" w:ascii="Times New Roman" w:hAnsi="Times New Roman" w:eastAsia="黑体" w:cs="Times New Roman"/>
          <w:sz w:val="32"/>
          <w:szCs w:val="32"/>
          <w:highlight w:val="none"/>
        </w:rPr>
      </w:pPr>
    </w:p>
    <w:p>
      <w:pPr>
        <w:spacing w:line="600" w:lineRule="exact"/>
        <w:jc w:val="center"/>
        <w:outlineLvl w:val="0"/>
        <w:rPr>
          <w:rFonts w:hint="default" w:ascii="Times New Roman" w:hAnsi="Times New Roman" w:eastAsia="宋体" w:cs="Times New Roman"/>
          <w:color w:val="auto"/>
          <w:kern w:val="0"/>
          <w:sz w:val="32"/>
          <w:szCs w:val="32"/>
          <w:highlight w:val="yellow"/>
          <w:lang w:val="en-US" w:eastAsia="zh-CN" w:bidi="ar-SA"/>
        </w:rPr>
      </w:pPr>
      <w:r>
        <w:rPr>
          <w:rFonts w:hint="default" w:ascii="Times New Roman" w:hAnsi="Times New Roman" w:eastAsia="宋体" w:cs="Times New Roman"/>
          <w:color w:val="auto"/>
          <w:kern w:val="0"/>
          <w:sz w:val="32"/>
          <w:szCs w:val="32"/>
          <w:highlight w:val="none"/>
          <w:lang w:val="en-US" w:eastAsia="zh-CN" w:bidi="ar-SA"/>
        </w:rPr>
        <w:t>部门预算项目支出绩效自评表（2022年度）</w:t>
      </w:r>
    </w:p>
    <w:p>
      <w:pPr>
        <w:pStyle w:val="2"/>
        <w:rPr>
          <w:rStyle w:val="25"/>
          <w:rFonts w:hint="default" w:ascii="Times New Roman" w:hAnsi="Times New Roman" w:eastAsia="黑体" w:cs="Times New Roman"/>
          <w:b w:val="0"/>
        </w:rPr>
      </w:pPr>
      <w:r>
        <w:drawing>
          <wp:inline distT="0" distB="0" distL="114300" distR="114300">
            <wp:extent cx="5523230" cy="7197090"/>
            <wp:effectExtent l="0" t="0" r="1270" b="3810"/>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15"/>
                    <a:stretch>
                      <a:fillRect/>
                    </a:stretch>
                  </pic:blipFill>
                  <pic:spPr>
                    <a:xfrm>
                      <a:off x="0" y="0"/>
                      <a:ext cx="5523230" cy="7197090"/>
                    </a:xfrm>
                    <a:prstGeom prst="rect">
                      <a:avLst/>
                    </a:prstGeom>
                    <a:noFill/>
                    <a:ln>
                      <a:noFill/>
                    </a:ln>
                  </pic:spPr>
                </pic:pic>
              </a:graphicData>
            </a:graphic>
          </wp:inline>
        </w:drawing>
      </w:r>
    </w:p>
    <w:p>
      <w:pPr>
        <w:pStyle w:val="2"/>
        <w:rPr>
          <w:rFonts w:hint="default" w:ascii="Times New Roman" w:hAnsi="Times New Roman" w:eastAsia="黑体" w:cs="Times New Roman"/>
          <w:color w:val="000000"/>
          <w:sz w:val="44"/>
          <w:szCs w:val="44"/>
        </w:rPr>
      </w:pPr>
      <w:r>
        <w:drawing>
          <wp:anchor distT="0" distB="0" distL="114300" distR="114300" simplePos="0" relativeHeight="251711488" behindDoc="0" locked="0" layoutInCell="1" allowOverlap="1">
            <wp:simplePos x="0" y="0"/>
            <wp:positionH relativeFrom="column">
              <wp:posOffset>-390525</wp:posOffset>
            </wp:positionH>
            <wp:positionV relativeFrom="page">
              <wp:posOffset>1062355</wp:posOffset>
            </wp:positionV>
            <wp:extent cx="5941695" cy="8133715"/>
            <wp:effectExtent l="0" t="0" r="1905" b="635"/>
            <wp:wrapTopAndBottom/>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6"/>
                    <a:stretch>
                      <a:fillRect/>
                    </a:stretch>
                  </pic:blipFill>
                  <pic:spPr>
                    <a:xfrm>
                      <a:off x="0" y="0"/>
                      <a:ext cx="5941695" cy="8133715"/>
                    </a:xfrm>
                    <a:prstGeom prst="rect">
                      <a:avLst/>
                    </a:prstGeom>
                    <a:noFill/>
                    <a:ln>
                      <a:noFill/>
                    </a:ln>
                  </pic:spPr>
                </pic:pic>
              </a:graphicData>
            </a:graphic>
          </wp:anchor>
        </w:drawing>
      </w:r>
      <w:bookmarkStart w:id="56" w:name="_Toc15396618"/>
    </w:p>
    <w:p>
      <w:pPr>
        <w:pStyle w:val="2"/>
        <w:rPr>
          <w:rFonts w:hint="default" w:ascii="Times New Roman" w:hAnsi="Times New Roman" w:eastAsia="黑体" w:cs="Times New Roman"/>
          <w:color w:val="000000"/>
          <w:sz w:val="44"/>
          <w:szCs w:val="44"/>
        </w:rPr>
      </w:pPr>
      <w:r>
        <w:drawing>
          <wp:inline distT="0" distB="0" distL="114300" distR="114300">
            <wp:extent cx="5542915" cy="7546340"/>
            <wp:effectExtent l="0" t="0" r="635" b="16510"/>
            <wp:docPr id="8"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true"/>
                    </pic:cNvPicPr>
                  </pic:nvPicPr>
                  <pic:blipFill>
                    <a:blip r:embed="rId17"/>
                    <a:stretch>
                      <a:fillRect/>
                    </a:stretch>
                  </pic:blipFill>
                  <pic:spPr>
                    <a:xfrm>
                      <a:off x="0" y="0"/>
                      <a:ext cx="5542915" cy="7546340"/>
                    </a:xfrm>
                    <a:prstGeom prst="rect">
                      <a:avLst/>
                    </a:prstGeom>
                    <a:noFill/>
                    <a:ln>
                      <a:noFill/>
                    </a:ln>
                  </pic:spPr>
                </pic:pic>
              </a:graphicData>
            </a:graphic>
          </wp:inline>
        </w:drawing>
      </w:r>
    </w:p>
    <w:p>
      <w:pPr>
        <w:pStyle w:val="2"/>
        <w:rPr>
          <w:rFonts w:hint="default" w:ascii="Times New Roman" w:hAnsi="Times New Roman" w:eastAsia="黑体" w:cs="Times New Roman"/>
          <w:color w:val="000000"/>
          <w:sz w:val="44"/>
          <w:szCs w:val="44"/>
        </w:rPr>
      </w:pPr>
    </w:p>
    <w:p>
      <w:pPr>
        <w:pStyle w:val="2"/>
        <w:rPr>
          <w:rFonts w:hint="default" w:ascii="Times New Roman" w:hAnsi="Times New Roman" w:eastAsia="黑体" w:cs="Times New Roman"/>
          <w:color w:val="000000"/>
          <w:sz w:val="44"/>
          <w:szCs w:val="44"/>
        </w:rPr>
      </w:pPr>
    </w:p>
    <w:p>
      <w:pPr>
        <w:pStyle w:val="2"/>
        <w:rPr>
          <w:rFonts w:hint="default" w:ascii="Times New Roman" w:hAnsi="Times New Roman" w:eastAsia="黑体" w:cs="Times New Roman"/>
          <w:color w:val="000000"/>
          <w:sz w:val="44"/>
          <w:szCs w:val="44"/>
        </w:rPr>
      </w:pPr>
    </w:p>
    <w:p>
      <w:pPr>
        <w:spacing w:line="600" w:lineRule="exact"/>
        <w:jc w:val="center"/>
        <w:outlineLvl w:val="0"/>
        <w:rPr>
          <w:rStyle w:val="25"/>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5"/>
          <w:rFonts w:hint="default" w:ascii="Times New Roman" w:hAnsi="Times New Roman" w:eastAsia="黑体" w:cs="Times New Roman"/>
          <w:b w:val="0"/>
        </w:rPr>
        <w:t>五部分 附表</w:t>
      </w:r>
      <w:bookmarkEnd w:id="54"/>
      <w:bookmarkEnd w:id="56"/>
      <w:bookmarkStart w:id="57" w:name="_Toc15396619"/>
    </w:p>
    <w:p>
      <w:pPr>
        <w:pStyle w:val="4"/>
        <w:rPr>
          <w:rFonts w:hint="default" w:ascii="Times New Roman" w:hAnsi="Times New Roman" w:eastAsia="仿宋" w:cs="Times New Roman"/>
          <w:color w:val="000000"/>
        </w:rPr>
      </w:pPr>
      <w:r>
        <w:rPr>
          <w:rFonts w:hint="default" w:ascii="Times New Roman" w:hAnsi="Times New Roman" w:eastAsia="仿宋" w:cs="Times New Roman"/>
          <w:b w:val="0"/>
          <w:color w:val="000000"/>
        </w:rPr>
        <w:t>一、收</w:t>
      </w:r>
      <w:r>
        <w:rPr>
          <w:rStyle w:val="26"/>
          <w:rFonts w:hint="default" w:ascii="Times New Roman" w:hAnsi="Times New Roman" w:eastAsia="仿宋" w:cs="Times New Roman"/>
          <w:b w:val="0"/>
          <w:bCs w:val="0"/>
        </w:rPr>
        <w:t>入支出决算总表</w:t>
      </w:r>
      <w:bookmarkEnd w:id="57"/>
    </w:p>
    <w:p>
      <w:pPr>
        <w:pStyle w:val="4"/>
        <w:rPr>
          <w:rFonts w:hint="default" w:ascii="Times New Roman" w:hAnsi="Times New Roman" w:eastAsia="仿宋" w:cs="Times New Roman"/>
          <w:color w:val="000000"/>
        </w:rPr>
      </w:pPr>
      <w:bookmarkStart w:id="58" w:name="_Toc15396620"/>
      <w:r>
        <w:rPr>
          <w:rFonts w:hint="default" w:ascii="Times New Roman" w:hAnsi="Times New Roman" w:eastAsia="仿宋" w:cs="Times New Roman"/>
          <w:b w:val="0"/>
          <w:color w:val="000000"/>
        </w:rPr>
        <w:t>二、收</w:t>
      </w:r>
      <w:r>
        <w:rPr>
          <w:rStyle w:val="26"/>
          <w:rFonts w:hint="default" w:ascii="Times New Roman" w:hAnsi="Times New Roman" w:eastAsia="仿宋" w:cs="Times New Roman"/>
          <w:b w:val="0"/>
          <w:bCs w:val="0"/>
        </w:rPr>
        <w:t>入决算表</w:t>
      </w:r>
      <w:bookmarkEnd w:id="58"/>
    </w:p>
    <w:p>
      <w:pPr>
        <w:pStyle w:val="4"/>
        <w:rPr>
          <w:rFonts w:hint="default" w:ascii="Times New Roman" w:hAnsi="Times New Roman" w:eastAsia="仿宋" w:cs="Times New Roman"/>
          <w:color w:val="000000"/>
        </w:rPr>
      </w:pPr>
      <w:bookmarkStart w:id="59" w:name="_Toc15396621"/>
      <w:r>
        <w:rPr>
          <w:rStyle w:val="26"/>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6"/>
          <w:rFonts w:hint="default" w:ascii="Times New Roman" w:hAnsi="Times New Roman" w:eastAsia="仿宋" w:cs="Times New Roman"/>
          <w:b w:val="0"/>
          <w:bCs w:val="0"/>
        </w:rPr>
        <w:t>出决算表</w:t>
      </w:r>
      <w:bookmarkEnd w:id="59"/>
    </w:p>
    <w:p>
      <w:pPr>
        <w:pStyle w:val="4"/>
        <w:rPr>
          <w:rFonts w:hint="default" w:ascii="Times New Roman" w:hAnsi="Times New Roman" w:eastAsia="仿宋" w:cs="Times New Roman"/>
          <w:b w:val="0"/>
          <w:color w:val="000000"/>
        </w:rPr>
      </w:pPr>
      <w:bookmarkStart w:id="60" w:name="_Toc15396622"/>
      <w:r>
        <w:rPr>
          <w:rStyle w:val="26"/>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6"/>
          <w:rFonts w:hint="default" w:ascii="Times New Roman" w:hAnsi="Times New Roman" w:eastAsia="仿宋" w:cs="Times New Roman"/>
          <w:b w:val="0"/>
          <w:bCs w:val="0"/>
        </w:rPr>
        <w:t>政拨款收入支出决算总表</w:t>
      </w:r>
      <w:bookmarkEnd w:id="60"/>
    </w:p>
    <w:p>
      <w:pPr>
        <w:pStyle w:val="4"/>
        <w:rPr>
          <w:rStyle w:val="26"/>
          <w:rFonts w:hint="default" w:ascii="Times New Roman" w:hAnsi="Times New Roman" w:eastAsia="仿宋" w:cs="Times New Roman"/>
          <w:b w:val="0"/>
          <w:bCs w:val="0"/>
        </w:rPr>
      </w:pPr>
      <w:bookmarkStart w:id="61" w:name="_Toc15396623"/>
      <w:r>
        <w:rPr>
          <w:rStyle w:val="26"/>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6"/>
          <w:rFonts w:hint="default" w:ascii="Times New Roman" w:hAnsi="Times New Roman" w:eastAsia="仿宋" w:cs="Times New Roman"/>
          <w:b w:val="0"/>
          <w:bCs w:val="0"/>
        </w:rPr>
        <w:t>政拨款支出决算明细表</w:t>
      </w:r>
      <w:bookmarkEnd w:id="61"/>
      <w:bookmarkStart w:id="62" w:name="_Toc15396624"/>
    </w:p>
    <w:p>
      <w:pPr>
        <w:pStyle w:val="4"/>
        <w:rPr>
          <w:rFonts w:hint="default" w:ascii="Times New Roman" w:hAnsi="Times New Roman" w:eastAsia="仿宋" w:cs="Times New Roman"/>
          <w:color w:val="000000"/>
        </w:rPr>
      </w:pPr>
      <w:r>
        <w:rPr>
          <w:rStyle w:val="26"/>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6"/>
          <w:rFonts w:hint="default" w:ascii="Times New Roman" w:hAnsi="Times New Roman" w:eastAsia="仿宋" w:cs="Times New Roman"/>
          <w:b w:val="0"/>
          <w:bCs w:val="0"/>
        </w:rPr>
        <w:t>般公共预算财政拨款支出决算表</w:t>
      </w:r>
      <w:bookmarkEnd w:id="62"/>
    </w:p>
    <w:p>
      <w:pPr>
        <w:pStyle w:val="4"/>
        <w:rPr>
          <w:rFonts w:hint="default" w:ascii="Times New Roman" w:hAnsi="Times New Roman" w:eastAsia="仿宋" w:cs="Times New Roman"/>
          <w:color w:val="000000"/>
        </w:rPr>
      </w:pPr>
      <w:bookmarkStart w:id="63" w:name="_Toc15396625"/>
      <w:r>
        <w:rPr>
          <w:rStyle w:val="26"/>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6"/>
          <w:rFonts w:hint="default" w:ascii="Times New Roman" w:hAnsi="Times New Roman" w:eastAsia="仿宋" w:cs="Times New Roman"/>
          <w:b w:val="0"/>
          <w:bCs w:val="0"/>
        </w:rPr>
        <w:t>般公共预算财政拨款支出决算明细表</w:t>
      </w:r>
      <w:bookmarkEnd w:id="63"/>
    </w:p>
    <w:p>
      <w:pPr>
        <w:pStyle w:val="4"/>
        <w:rPr>
          <w:rFonts w:hint="default" w:ascii="Times New Roman" w:hAnsi="Times New Roman" w:eastAsia="仿宋" w:cs="Times New Roman"/>
          <w:color w:val="000000"/>
        </w:rPr>
      </w:pPr>
      <w:bookmarkStart w:id="64" w:name="_Toc15396626"/>
      <w:r>
        <w:rPr>
          <w:rStyle w:val="26"/>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6"/>
          <w:rFonts w:hint="default" w:ascii="Times New Roman" w:hAnsi="Times New Roman" w:eastAsia="仿宋" w:cs="Times New Roman"/>
          <w:b w:val="0"/>
          <w:bCs w:val="0"/>
        </w:rPr>
        <w:t>般公共预算财政拨款基本支出决算</w:t>
      </w:r>
      <w:r>
        <w:rPr>
          <w:rStyle w:val="26"/>
          <w:rFonts w:hint="eastAsia" w:ascii="Times New Roman" w:hAnsi="Times New Roman" w:eastAsia="仿宋" w:cs="Times New Roman"/>
          <w:b w:val="0"/>
          <w:bCs w:val="0"/>
          <w:lang w:eastAsia="zh-CN"/>
        </w:rPr>
        <w:t>明细表</w:t>
      </w:r>
      <w:bookmarkEnd w:id="64"/>
    </w:p>
    <w:p>
      <w:pPr>
        <w:pStyle w:val="4"/>
        <w:rPr>
          <w:rFonts w:hint="default" w:ascii="Times New Roman" w:hAnsi="Times New Roman" w:eastAsia="仿宋" w:cs="Times New Roman"/>
          <w:color w:val="000000"/>
        </w:rPr>
      </w:pPr>
      <w:bookmarkStart w:id="65" w:name="_Toc15396627"/>
      <w:r>
        <w:rPr>
          <w:rStyle w:val="26"/>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6"/>
          <w:rFonts w:hint="default" w:ascii="Times New Roman" w:hAnsi="Times New Roman" w:eastAsia="仿宋" w:cs="Times New Roman"/>
          <w:b w:val="0"/>
          <w:bCs w:val="0"/>
        </w:rPr>
        <w:t>般公共预算财政拨款项目支出决算表</w:t>
      </w:r>
      <w:bookmarkEnd w:id="65"/>
    </w:p>
    <w:p>
      <w:pPr>
        <w:pStyle w:val="4"/>
        <w:rPr>
          <w:rFonts w:hint="default" w:ascii="Times New Roman" w:hAnsi="Times New Roman" w:eastAsia="仿宋" w:cs="Times New Roman"/>
          <w:color w:val="000000"/>
        </w:rPr>
      </w:pPr>
      <w:bookmarkStart w:id="66" w:name="_Toc15396629"/>
      <w:r>
        <w:rPr>
          <w:rStyle w:val="26"/>
          <w:rFonts w:hint="default" w:ascii="Times New Roman" w:hAnsi="Times New Roman" w:eastAsia="仿宋" w:cs="Times New Roman"/>
          <w:b w:val="0"/>
          <w:bCs w:val="0"/>
        </w:rPr>
        <w:t>十、</w:t>
      </w:r>
      <w:r>
        <w:rPr>
          <w:rFonts w:hint="default" w:ascii="Times New Roman" w:hAnsi="Times New Roman" w:eastAsia="仿宋" w:cs="Times New Roman"/>
          <w:b w:val="0"/>
          <w:color w:val="000000"/>
        </w:rPr>
        <w:t>政</w:t>
      </w:r>
      <w:r>
        <w:rPr>
          <w:rStyle w:val="26"/>
          <w:rFonts w:hint="default" w:ascii="Times New Roman" w:hAnsi="Times New Roman" w:eastAsia="仿宋" w:cs="Times New Roman"/>
          <w:b w:val="0"/>
          <w:bCs w:val="0"/>
        </w:rPr>
        <w:t>府性基金预算财政拨款收入支出决算表</w:t>
      </w:r>
      <w:bookmarkEnd w:id="66"/>
    </w:p>
    <w:p>
      <w:pPr>
        <w:pStyle w:val="4"/>
        <w:rPr>
          <w:rStyle w:val="26"/>
          <w:rFonts w:hint="default" w:ascii="Times New Roman" w:hAnsi="Times New Roman" w:eastAsia="仿宋" w:cs="Times New Roman"/>
          <w:b w:val="0"/>
          <w:bCs w:val="0"/>
        </w:rPr>
      </w:pPr>
      <w:bookmarkStart w:id="67" w:name="_Toc15396631"/>
      <w:r>
        <w:rPr>
          <w:rStyle w:val="26"/>
          <w:rFonts w:hint="default" w:ascii="Times New Roman" w:hAnsi="Times New Roman" w:eastAsia="仿宋" w:cs="Times New Roman"/>
          <w:b w:val="0"/>
          <w:bCs w:val="0"/>
        </w:rPr>
        <w:t>十</w:t>
      </w:r>
      <w:r>
        <w:rPr>
          <w:rStyle w:val="26"/>
          <w:rFonts w:hint="default" w:ascii="Times New Roman" w:hAnsi="Times New Roman" w:eastAsia="仿宋" w:cs="Times New Roman"/>
          <w:b w:val="0"/>
          <w:bCs w:val="0"/>
          <w:lang w:eastAsia="zh-CN"/>
        </w:rPr>
        <w:t>一</w:t>
      </w:r>
      <w:r>
        <w:rPr>
          <w:rStyle w:val="26"/>
          <w:rFonts w:hint="default" w:ascii="Times New Roman" w:hAnsi="Times New Roman" w:eastAsia="仿宋" w:cs="Times New Roman"/>
          <w:b w:val="0"/>
          <w:bCs w:val="0"/>
        </w:rPr>
        <w:t>、</w:t>
      </w:r>
      <w:r>
        <w:rPr>
          <w:rFonts w:hint="default" w:ascii="Times New Roman" w:hAnsi="Times New Roman" w:eastAsia="仿宋" w:cs="Times New Roman"/>
          <w:b w:val="0"/>
          <w:color w:val="000000"/>
        </w:rPr>
        <w:t>国有资本经营预算财政拨款收入支出决算表</w:t>
      </w:r>
    </w:p>
    <w:p>
      <w:pPr>
        <w:pStyle w:val="4"/>
        <w:rPr>
          <w:rStyle w:val="26"/>
          <w:rFonts w:hint="default" w:ascii="Times New Roman" w:hAnsi="Times New Roman" w:eastAsia="仿宋" w:cs="Times New Roman"/>
          <w:b w:val="0"/>
          <w:bCs w:val="0"/>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二</w:t>
      </w:r>
      <w:r>
        <w:rPr>
          <w:rFonts w:hint="default" w:ascii="Times New Roman" w:hAnsi="Times New Roman" w:eastAsia="仿宋" w:cs="Times New Roman"/>
          <w:b w:val="0"/>
          <w:color w:val="000000"/>
        </w:rPr>
        <w:t>、国</w:t>
      </w:r>
      <w:r>
        <w:rPr>
          <w:rStyle w:val="26"/>
          <w:rFonts w:hint="default" w:ascii="Times New Roman" w:hAnsi="Times New Roman" w:eastAsia="仿宋" w:cs="Times New Roman"/>
          <w:b w:val="0"/>
          <w:bCs w:val="0"/>
        </w:rPr>
        <w:t>有资本经营预算财政拨款支出决算表</w:t>
      </w:r>
      <w:bookmarkEnd w:id="67"/>
    </w:p>
    <w:p>
      <w:pPr>
        <w:pStyle w:val="4"/>
        <w:rPr>
          <w:rStyle w:val="26"/>
          <w:rFonts w:hint="default" w:ascii="Times New Roman" w:hAnsi="Times New Roman" w:eastAsia="仿宋" w:cs="Times New Roman"/>
          <w:b w:val="0"/>
          <w:bCs w:val="0"/>
          <w:color w:val="000000" w:themeColor="text1"/>
          <w14:textFill>
            <w14:solidFill>
              <w14:schemeClr w14:val="tx1"/>
            </w14:solidFill>
          </w14:textFill>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三</w:t>
      </w:r>
      <w:r>
        <w:rPr>
          <w:rFonts w:hint="default" w:ascii="Times New Roman" w:hAnsi="Times New Roman" w:eastAsia="仿宋" w:cs="Times New Roman"/>
          <w:b w:val="0"/>
          <w:color w:val="000000"/>
        </w:rPr>
        <w:t>、</w:t>
      </w:r>
      <w:r>
        <w:rPr>
          <w:rStyle w:val="26"/>
          <w:rFonts w:hint="default" w:ascii="Times New Roman" w:hAnsi="Times New Roman" w:eastAsia="仿宋" w:cs="Times New Roman"/>
          <w:b w:val="0"/>
          <w:bCs w:val="0"/>
        </w:rPr>
        <w:t>财政拨款“三公”经费支出决算表</w:t>
      </w:r>
    </w:p>
    <w:p>
      <w:pPr>
        <w:pStyle w:val="4"/>
        <w:rPr>
          <w:rFonts w:hint="default" w:ascii="Times New Roman" w:hAnsi="Times New Roman" w:eastAsia="仿宋" w:cs="Times New Roman"/>
          <w:color w:val="000000" w:themeColor="text1"/>
          <w14:textFill>
            <w14:solidFill>
              <w14:schemeClr w14:val="tx1"/>
            </w14:solidFill>
          </w14:textFill>
        </w:rPr>
      </w:pPr>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Calibri">
    <w:altName w:val="DejaVu Sans"/>
    <w:panose1 w:val="00000000000000000000"/>
    <w:charset w:val="86"/>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7DFB6C9"/>
    <w:multiLevelType w:val="singleLevel"/>
    <w:tmpl w:val="E7DFB6C9"/>
    <w:lvl w:ilvl="0" w:tentative="0">
      <w:start w:val="2"/>
      <w:numFmt w:val="chineseCounting"/>
      <w:suff w:val="nothing"/>
      <w:lvlText w:val="（%1）"/>
      <w:lvlJc w:val="left"/>
      <w:rPr>
        <w:rFonts w:hint="eastAsia"/>
      </w:rPr>
    </w:lvl>
  </w:abstractNum>
  <w:abstractNum w:abstractNumId="3">
    <w:nsid w:val="E7FE01C0"/>
    <w:multiLevelType w:val="singleLevel"/>
    <w:tmpl w:val="E7FE01C0"/>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669648E"/>
    <w:rsid w:val="06B801E1"/>
    <w:rsid w:val="09B3669D"/>
    <w:rsid w:val="0A2032A3"/>
    <w:rsid w:val="0ACB72E5"/>
    <w:rsid w:val="0BD1285F"/>
    <w:rsid w:val="0DE21480"/>
    <w:rsid w:val="10C055FF"/>
    <w:rsid w:val="118107EC"/>
    <w:rsid w:val="16BB723D"/>
    <w:rsid w:val="1793097A"/>
    <w:rsid w:val="18534BA8"/>
    <w:rsid w:val="18F65696"/>
    <w:rsid w:val="19375FF7"/>
    <w:rsid w:val="1D155CEE"/>
    <w:rsid w:val="1DC54782"/>
    <w:rsid w:val="1DFFD3F7"/>
    <w:rsid w:val="1E8B5456"/>
    <w:rsid w:val="1FBD1855"/>
    <w:rsid w:val="240371BF"/>
    <w:rsid w:val="24270C66"/>
    <w:rsid w:val="26172211"/>
    <w:rsid w:val="27CEBCD3"/>
    <w:rsid w:val="29FD04D3"/>
    <w:rsid w:val="2BDC73E3"/>
    <w:rsid w:val="2CF92D3D"/>
    <w:rsid w:val="2F87044A"/>
    <w:rsid w:val="2FF5DC19"/>
    <w:rsid w:val="30B97C74"/>
    <w:rsid w:val="31981078"/>
    <w:rsid w:val="319F7F4E"/>
    <w:rsid w:val="31C06AA2"/>
    <w:rsid w:val="34D66C80"/>
    <w:rsid w:val="35DFFBD3"/>
    <w:rsid w:val="373BE3AD"/>
    <w:rsid w:val="384F1DA4"/>
    <w:rsid w:val="387E5813"/>
    <w:rsid w:val="39B90593"/>
    <w:rsid w:val="39FFA2B2"/>
    <w:rsid w:val="3A8B515E"/>
    <w:rsid w:val="3C66733D"/>
    <w:rsid w:val="3D065BAF"/>
    <w:rsid w:val="3DF62F76"/>
    <w:rsid w:val="3EBB2934"/>
    <w:rsid w:val="3F776BDE"/>
    <w:rsid w:val="3FDFEB96"/>
    <w:rsid w:val="3FFA232E"/>
    <w:rsid w:val="4194777E"/>
    <w:rsid w:val="421666B2"/>
    <w:rsid w:val="4574072F"/>
    <w:rsid w:val="47B01E42"/>
    <w:rsid w:val="482A15FB"/>
    <w:rsid w:val="49A30776"/>
    <w:rsid w:val="4ECE2238"/>
    <w:rsid w:val="50667B86"/>
    <w:rsid w:val="53FB2302"/>
    <w:rsid w:val="55C04EA2"/>
    <w:rsid w:val="5BFBCED2"/>
    <w:rsid w:val="5FFD4AC4"/>
    <w:rsid w:val="61FDFB00"/>
    <w:rsid w:val="631122C9"/>
    <w:rsid w:val="67704F2B"/>
    <w:rsid w:val="67F89E02"/>
    <w:rsid w:val="685FB0D7"/>
    <w:rsid w:val="69EE7EB4"/>
    <w:rsid w:val="6C4A05C8"/>
    <w:rsid w:val="6CEE2D6F"/>
    <w:rsid w:val="6D4D6A44"/>
    <w:rsid w:val="6ED36BA4"/>
    <w:rsid w:val="6EFF27D7"/>
    <w:rsid w:val="6F072F89"/>
    <w:rsid w:val="6FAFDF9C"/>
    <w:rsid w:val="70C075D3"/>
    <w:rsid w:val="72734D90"/>
    <w:rsid w:val="75585ABA"/>
    <w:rsid w:val="759B6318"/>
    <w:rsid w:val="75DC37E7"/>
    <w:rsid w:val="767B2E15"/>
    <w:rsid w:val="76950A1B"/>
    <w:rsid w:val="777F96C2"/>
    <w:rsid w:val="7908556B"/>
    <w:rsid w:val="794A072C"/>
    <w:rsid w:val="7BC7FA5A"/>
    <w:rsid w:val="7CDC7CD3"/>
    <w:rsid w:val="7E7FEE63"/>
    <w:rsid w:val="7FAF5630"/>
    <w:rsid w:val="7FBBAE2C"/>
    <w:rsid w:val="7FBFC3A3"/>
    <w:rsid w:val="7FF38F5F"/>
    <w:rsid w:val="7FFB59DC"/>
    <w:rsid w:val="87BF14C5"/>
    <w:rsid w:val="97EAE088"/>
    <w:rsid w:val="9B5945F9"/>
    <w:rsid w:val="9FFC2A4C"/>
    <w:rsid w:val="A56F52D3"/>
    <w:rsid w:val="AB9D6627"/>
    <w:rsid w:val="B7FF2B79"/>
    <w:rsid w:val="BFFB77D3"/>
    <w:rsid w:val="C7DEF54A"/>
    <w:rsid w:val="D55E0B7C"/>
    <w:rsid w:val="DADF5282"/>
    <w:rsid w:val="DFBEF3EA"/>
    <w:rsid w:val="E7BB56F3"/>
    <w:rsid w:val="EBCB9DD2"/>
    <w:rsid w:val="EFEF88DD"/>
    <w:rsid w:val="F1CE82BE"/>
    <w:rsid w:val="F6F5916F"/>
    <w:rsid w:val="F73CB6CC"/>
    <w:rsid w:val="F8312DC6"/>
    <w:rsid w:val="FB6F9927"/>
    <w:rsid w:val="FB7BFAE9"/>
    <w:rsid w:val="FCFACC30"/>
    <w:rsid w:val="FDFF3131"/>
    <w:rsid w:val="FE776F89"/>
    <w:rsid w:val="FF331FB2"/>
    <w:rsid w:val="FF7A1F74"/>
    <w:rsid w:val="FFB7F028"/>
    <w:rsid w:val="FFBF1C38"/>
    <w:rsid w:val="FFDFD687"/>
    <w:rsid w:val="FFFCFD38"/>
    <w:rsid w:val="FFFFB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rPr>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列出段落1"/>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1.png"/><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image" Target="media/image2.png"/><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3"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data/&#36130;&#25919;/&#20915;&#31639;&#32676;/2022&#24180;&#20915;&#31639;&#20844;&#24320;/2022&#24180;&#20915;&#31639;&#20844;&#24320;&#22270;&#34920;(&#27169;&#2649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data/&#36130;&#25919;/&#20915;&#31639;&#32676;/2022&#24180;&#20915;&#31639;&#20844;&#24320;/2022&#24180;&#20915;&#31639;&#20844;&#24320;&#22270;&#34920;(&#27169;&#2649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data/&#36130;&#25919;/&#20915;&#31639;&#32676;/2022&#24180;&#20915;&#31639;&#20844;&#24320;/2022&#24180;&#20915;&#31639;&#20844;&#24320;&#22270;&#34920;(&#27169;&#2649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data/&#36130;&#25919;/&#20915;&#31639;&#32676;/2022&#24180;&#20915;&#31639;&#20844;&#24320;/2022&#24180;&#20915;&#31639;&#20844;&#24320;&#22270;&#34920;(&#27169;&#2649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data/&#36130;&#25919;/&#20915;&#31639;&#32676;/2022&#24180;&#20915;&#31639;&#20844;&#24320;/2022&#24180;&#20915;&#31639;&#20844;&#24320;&#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[工作簿3]Sheet1!$A$3</c:f>
              <c:strCache>
                <c:ptCount val="1"/>
                <c:pt idx="0">
                  <c:v>2021年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[工作簿3]Sheet1!$B$2:$C$2</c:f>
              <c:strCache>
                <c:ptCount val="2"/>
                <c:pt idx="0">
                  <c:v>收入</c:v>
                </c:pt>
                <c:pt idx="1">
                  <c:v>支出</c:v>
                </c:pt>
              </c:strCache>
            </c:strRef>
          </c:cat>
          <c:val>
            <c:numRef>
              <c:f>[工作簿3]Sheet1!$B$3:$C$3</c:f>
              <c:numCache>
                <c:formatCode>General</c:formatCode>
                <c:ptCount val="2"/>
                <c:pt idx="0">
                  <c:v>212.43</c:v>
                </c:pt>
                <c:pt idx="1">
                  <c:v>212.43</c:v>
                </c:pt>
              </c:numCache>
            </c:numRef>
          </c:val>
        </c:ser>
        <c:ser>
          <c:idx val="1"/>
          <c:order val="1"/>
          <c:tx>
            <c:strRef>
              <c:f>[工作簿3]Sheet1!$A$4</c:f>
              <c:strCache>
                <c:ptCount val="1"/>
                <c:pt idx="0">
                  <c:v>2022年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[工作簿3]Sheet1!$B$2:$C$2</c:f>
              <c:strCache>
                <c:ptCount val="2"/>
                <c:pt idx="0">
                  <c:v>收入</c:v>
                </c:pt>
                <c:pt idx="1">
                  <c:v>支出</c:v>
                </c:pt>
              </c:strCache>
            </c:strRef>
          </c:cat>
          <c:val>
            <c:numRef>
              <c:f>[工作簿3]Sheet1!$B$4:$C$4</c:f>
              <c:numCache>
                <c:formatCode>General</c:formatCode>
                <c:ptCount val="2"/>
                <c:pt idx="0">
                  <c:v>315.37</c:v>
                </c:pt>
                <c:pt idx="1">
                  <c:v>315.37</c:v>
                </c:pt>
              </c:numCache>
            </c:numRef>
          </c:val>
        </c:ser>
        <c:dLbls>
          <c:showLegendKey val="false"/>
          <c:showVal val="true"/>
          <c:showCatName val="false"/>
          <c:showSerName val="false"/>
          <c:showPercent val="false"/>
          <c:showBubbleSize val="false"/>
        </c:dLbls>
        <c:gapWidth val="219"/>
        <c:overlap val="-27"/>
        <c:axId val="996204960"/>
        <c:axId val="598185898"/>
      </c:barChart>
      <c:catAx>
        <c:axId val="99620496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8185898"/>
        <c:crosses val="autoZero"/>
        <c:auto val="true"/>
        <c:lblAlgn val="ctr"/>
        <c:lblOffset val="100"/>
        <c:noMultiLvlLbl val="false"/>
      </c:catAx>
      <c:valAx>
        <c:axId val="59818589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620496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00" b="0" i="0" u="none" strike="noStrike" kern="1200" baseline="0">
                <a:solidFill>
                  <a:srgbClr val="000000">
                    <a:alpha val="100000"/>
                  </a:srgbClr>
                </a:solidFill>
                <a:latin typeface="宋体" charset="-122"/>
                <a:ea typeface="宋体" charset="-122"/>
                <a:cs typeface="宋体" charset="-122"/>
              </a:defRPr>
            </a:pPr>
            <a:r>
              <a:rPr sz="1400" b="0" i="0" u="none" strike="noStrike" baseline="0">
                <a:solidFill>
                  <a:srgbClr val="333333"/>
                </a:solidFill>
                <a:latin typeface="宋体" charset="-122"/>
                <a:ea typeface="宋体" charset="-122"/>
                <a:cs typeface="宋体" charset="-122"/>
              </a:rPr>
              <a:t>图</a:t>
            </a:r>
            <a:r>
              <a:rPr sz="1400" b="0" i="0" u="none" strike="noStrike" baseline="0">
                <a:solidFill>
                  <a:srgbClr val="333333"/>
                </a:solidFill>
                <a:latin typeface="Calibri" charset="-122"/>
                <a:ea typeface="Calibri" charset="-122"/>
                <a:cs typeface="Calibri" charset="-122"/>
              </a:rPr>
              <a:t>2.</a:t>
            </a:r>
            <a:r>
              <a:rPr sz="1400" b="0" i="0" u="none" strike="noStrike" baseline="0">
                <a:solidFill>
                  <a:srgbClr val="333333"/>
                </a:solidFill>
                <a:latin typeface="宋体" charset="-122"/>
                <a:ea typeface="宋体" charset="-122"/>
                <a:cs typeface="宋体" charset="-122"/>
              </a:rPr>
              <a:t>收入决算结构图</a:t>
            </a:r>
            <a:endParaRPr sz="1200" b="0" i="0" u="none" strike="noStrike" baseline="0">
              <a:solidFill>
                <a:srgbClr val="000000"/>
              </a:solidFill>
              <a:latin typeface="宋体" charset="-122"/>
              <a:ea typeface="宋体" charset="-122"/>
              <a:cs typeface="宋体" charset="-122"/>
            </a:endParaRPr>
          </a:p>
        </c:rich>
      </c:tx>
      <c:layout/>
      <c:overlay val="false"/>
      <c:spPr>
        <a:noFill/>
        <a:ln w="3175">
          <a:noFill/>
        </a:ln>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Pt>
            <c:idx val="5"/>
            <c:bubble3D val="false"/>
            <c:explosion val="0"/>
            <c:spPr>
              <a:solidFill>
                <a:schemeClr val="accent6"/>
              </a:solidFill>
              <a:ln w="19050">
                <a:solidFill>
                  <a:schemeClr val="lt1"/>
                </a:solidFill>
              </a:ln>
              <a:effectLst/>
            </c:spPr>
          </c:dPt>
          <c:dPt>
            <c:idx val="6"/>
            <c:bubble3D val="false"/>
            <c:explosion val="0"/>
            <c:spPr>
              <a:solidFill>
                <a:schemeClr val="accent1">
                  <a:lumMod val="60000"/>
                </a:schemeClr>
              </a:solidFill>
              <a:ln w="19050">
                <a:solidFill>
                  <a:schemeClr val="lt1"/>
                </a:solidFill>
              </a:ln>
              <a:effectLst/>
            </c:spPr>
          </c:dPt>
          <c:dLbls>
            <c:numFmt formatCode="General" sourceLinked="true"/>
            <c:spPr>
              <a:noFill/>
              <a:ln w="3175">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'[2022年决算公开图表(模板).xls]决算公开图表'!$A$14:$A$20</c:f>
              <c:strCache>
                <c:ptCount val="7"/>
                <c:pt idx="0">
                  <c:v>一般公共预算财政拨款收入</c:v>
                </c:pt>
                <c:pt idx="1">
                  <c:v>政府性基金预算财政拨款</c:v>
                </c:pt>
                <c:pt idx="2">
                  <c:v>国有资本经营预算财政拨款收入</c:v>
                </c:pt>
                <c:pt idx="3">
                  <c:v>事业收入</c:v>
                </c:pt>
                <c:pt idx="4">
                  <c:v>经营收入</c:v>
                </c:pt>
                <c:pt idx="5">
                  <c:v>附属单位上缴收入</c:v>
                </c:pt>
                <c:pt idx="6">
                  <c:v>其他收入</c:v>
                </c:pt>
              </c:strCache>
            </c:strRef>
          </c:cat>
          <c:val>
            <c:numRef>
              <c:f>'[2022年决算公开图表(模板).xls]决算公开图表'!$B$14:$B$20</c:f>
              <c:numCache>
                <c:formatCode>#,##0.00</c:formatCode>
                <c:ptCount val="7"/>
                <c:pt idx="0">
                  <c:v>115.39</c:v>
                </c:pt>
                <c:pt idx="3">
                  <c:v>199.98</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r"/>
      <c:layout>
        <c:manualLayout>
          <c:xMode val="edge"/>
          <c:yMode val="edge"/>
          <c:x val="0.588008096766326"/>
          <c:y val="0.221594891259746"/>
          <c:w val="0.38775"/>
          <c:h val="0.77225"/>
        </c:manualLayout>
      </c:layout>
      <c:overlay val="false"/>
      <c:txPr>
        <a:bodyPr rot="0" spcFirstLastPara="0" vertOverflow="ellipsis" vert="horz" wrap="square" anchor="ctr" anchorCtr="true"/>
        <a:lstStyle/>
        <a:p>
          <a:pPr>
            <a:defRPr lang="zh-CN" sz="920" b="0" i="0" u="none" strike="noStrike" kern="1200" baseline="0">
              <a:solidFill>
                <a:srgbClr val="000000"/>
              </a:solidFill>
              <a:latin typeface="宋体"/>
              <a:ea typeface="宋体"/>
              <a:cs typeface="宋体"/>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00" b="0" i="0" u="none" strike="noStrike" kern="1200" baseline="0">
                <a:solidFill>
                  <a:srgbClr val="000000">
                    <a:alpha val="100000"/>
                  </a:srgbClr>
                </a:solidFill>
                <a:latin typeface="宋体" charset="-122"/>
                <a:ea typeface="宋体" charset="-122"/>
                <a:cs typeface="宋体" charset="-122"/>
              </a:defRPr>
            </a:pPr>
            <a:r>
              <a:rPr sz="1400" b="0" i="0" u="none" strike="noStrike" baseline="0">
                <a:solidFill>
                  <a:srgbClr val="333333"/>
                </a:solidFill>
                <a:latin typeface="宋体" charset="-122"/>
                <a:ea typeface="宋体" charset="-122"/>
                <a:cs typeface="宋体" charset="-122"/>
              </a:rPr>
              <a:t>图3</a:t>
            </a:r>
            <a:r>
              <a:rPr sz="1400" b="0" i="0" u="none" strike="noStrike" baseline="0">
                <a:solidFill>
                  <a:srgbClr val="333333"/>
                </a:solidFill>
                <a:latin typeface="Calibri" charset="-122"/>
                <a:ea typeface="Calibri" charset="-122"/>
                <a:cs typeface="Calibri" charset="-122"/>
              </a:rPr>
              <a:t>.</a:t>
            </a:r>
            <a:r>
              <a:rPr sz="1400" b="0" i="0" u="none" strike="noStrike" baseline="0">
                <a:solidFill>
                  <a:srgbClr val="333333"/>
                </a:solidFill>
                <a:latin typeface="宋体" charset="-122"/>
                <a:ea typeface="宋体" charset="-122"/>
                <a:cs typeface="宋体" charset="-122"/>
              </a:rPr>
              <a:t>支出决算结构图</a:t>
            </a:r>
            <a:endParaRPr sz="1200" b="0" i="0" u="none" strike="noStrike" baseline="0">
              <a:solidFill>
                <a:srgbClr val="000000"/>
              </a:solidFill>
              <a:latin typeface="宋体" charset="-122"/>
              <a:ea typeface="宋体" charset="-122"/>
              <a:cs typeface="宋体" charset="-122"/>
            </a:endParaRPr>
          </a:p>
        </c:rich>
      </c:tx>
      <c:layout/>
      <c:overlay val="false"/>
      <c:spPr>
        <a:noFill/>
        <a:ln w="3175">
          <a:noFill/>
        </a:ln>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dPt>
          <c:dPt>
            <c:idx val="3"/>
            <c:bubble3D val="false"/>
            <c:explosion val="0"/>
          </c:dPt>
          <c:dPt>
            <c:idx val="4"/>
            <c:bubble3D val="false"/>
            <c:explosion val="0"/>
          </c:dPt>
          <c:dLbls>
            <c:numFmt formatCode="General" sourceLinked="true"/>
            <c:spPr>
              <a:noFill/>
              <a:ln w="3175">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'[2022年决算公开图表(模板).xls]决算公开图表'!$A$24:$A$28</c:f>
              <c:strCache>
                <c:ptCount val="5"/>
                <c:pt idx="0">
                  <c:v>基本支出</c:v>
                </c:pt>
                <c:pt idx="1">
                  <c:v>项目支出</c:v>
                </c:pt>
                <c:pt idx="2">
                  <c:v>上缴上级支出</c:v>
                </c:pt>
                <c:pt idx="3">
                  <c:v>经营支出</c:v>
                </c:pt>
                <c:pt idx="4">
                  <c:v>对附属单位补助支出</c:v>
                </c:pt>
              </c:strCache>
            </c:strRef>
          </c:cat>
          <c:val>
            <c:numRef>
              <c:f>'[2022年决算公开图表(模板).xls]决算公开图表'!$B$24:$B$28</c:f>
              <c:numCache>
                <c:formatCode>#,##0.00</c:formatCode>
                <c:ptCount val="5"/>
                <c:pt idx="0">
                  <c:v>137.97</c:v>
                </c:pt>
                <c:pt idx="1">
                  <c:v>117.4</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b"/>
      <c:layout>
        <c:manualLayout>
          <c:xMode val="edge"/>
          <c:yMode val="edge"/>
          <c:x val="0.0618336886993603"/>
          <c:y val="0.900712198209266"/>
          <c:w val="0.878465714173788"/>
          <c:h val="0.0638301595279314"/>
        </c:manualLayout>
      </c:layout>
      <c:overlay val="false"/>
      <c:spPr>
        <a:noFill/>
        <a:ln w="3175">
          <a:noFill/>
        </a:ln>
      </c:spPr>
      <c:txPr>
        <a:bodyPr rot="0" spcFirstLastPara="0" vertOverflow="ellipsis" vert="horz" wrap="square" anchor="ctr" anchorCtr="true"/>
        <a:lstStyle/>
        <a:p>
          <a:pPr>
            <a:defRPr lang="zh-CN" sz="825" b="0" i="0" u="none" strike="noStrike" kern="1200" baseline="0">
              <a:solidFill>
                <a:srgbClr val="333333"/>
              </a:solidFill>
              <a:latin typeface="宋体"/>
              <a:ea typeface="宋体"/>
              <a:cs typeface="宋体"/>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0" i="0" u="none" strike="noStrike" kern="1200" baseline="0">
                <a:solidFill>
                  <a:srgbClr val="000000">
                    <a:alpha val="100000"/>
                  </a:srgbClr>
                </a:solidFill>
                <a:latin typeface="宋体" charset="-122"/>
                <a:ea typeface="宋体" charset="-122"/>
                <a:cs typeface="宋体" charset="-122"/>
              </a:defRPr>
            </a:pPr>
            <a:r>
              <a:rPr lang="zh-CN" altLang="en-US" sz="1200" b="0" i="0" u="none" strike="noStrike" baseline="0">
                <a:solidFill>
                  <a:srgbClr val="000000"/>
                </a:solidFill>
                <a:latin typeface="宋体" charset="-122"/>
                <a:ea typeface="宋体" charset="-122"/>
                <a:cs typeface="宋体"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4.</a:t>
            </a:r>
            <a:r>
              <a:rPr lang="zh-CN" altLang="en-US" sz="1200" b="0" i="0" u="none" strike="noStrike" baseline="0">
                <a:solidFill>
                  <a:srgbClr val="000000"/>
                </a:solidFill>
                <a:latin typeface="宋体" charset="-122"/>
                <a:ea typeface="宋体" charset="-122"/>
                <a:cs typeface="宋体" charset="-122"/>
              </a:rPr>
              <a:t>财政拨款收、支决算总计变动情况</a:t>
            </a:r>
            <a:endParaRPr lang="zh-CN" altLang="en-US"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barChart>
        <c:barDir val="col"/>
        <c:grouping val="clustered"/>
        <c:varyColors val="false"/>
        <c:ser>
          <c:idx val="0"/>
          <c:order val="0"/>
          <c:tx>
            <c:strRef>
              <c:f>'[2022年决算公开图表(模板).xls]决算公开图表'!$A$33</c:f>
              <c:strCache>
                <c:ptCount val="1"/>
                <c:pt idx="0">
                  <c:v>2022年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'[2022年决算公开图表(模板).xls]决算公开图表'!$B$32:$C$32</c:f>
              <c:strCache>
                <c:ptCount val="2"/>
                <c:pt idx="0">
                  <c:v>收入</c:v>
                </c:pt>
                <c:pt idx="1">
                  <c:v>支出</c:v>
                </c:pt>
              </c:strCache>
            </c:strRef>
          </c:cat>
          <c:val>
            <c:numRef>
              <c:f>'[2022年决算公开图表(模板).xls]决算公开图表'!$B$33:$C$33</c:f>
              <c:numCache>
                <c:formatCode>General</c:formatCode>
                <c:ptCount val="2"/>
                <c:pt idx="0">
                  <c:v>199.98</c:v>
                </c:pt>
                <c:pt idx="1">
                  <c:v>199.98</c:v>
                </c:pt>
              </c:numCache>
            </c:numRef>
          </c:val>
        </c:ser>
        <c:ser>
          <c:idx val="1"/>
          <c:order val="1"/>
          <c:tx>
            <c:strRef>
              <c:f>'[2022年决算公开图表(模板).xls]决算公开图表'!$A$34</c:f>
              <c:strCache>
                <c:ptCount val="1"/>
                <c:pt idx="0">
                  <c:v>2021年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'[2022年决算公开图表(模板).xls]决算公开图表'!$B$32:$C$32</c:f>
              <c:strCache>
                <c:ptCount val="2"/>
                <c:pt idx="0">
                  <c:v>收入</c:v>
                </c:pt>
                <c:pt idx="1">
                  <c:v>支出</c:v>
                </c:pt>
              </c:strCache>
            </c:strRef>
          </c:cat>
          <c:val>
            <c:numRef>
              <c:f>'[2022年决算公开图表(模板).xls]决算公开图表'!$B$34:$C$34</c:f>
              <c:numCache>
                <c:formatCode>General</c:formatCode>
                <c:ptCount val="2"/>
                <c:pt idx="0">
                  <c:v>126.22</c:v>
                </c:pt>
                <c:pt idx="1">
                  <c:v>126.22</c:v>
                </c:pt>
              </c:numCache>
            </c:numRef>
          </c:val>
        </c:ser>
        <c:dLbls>
          <c:showLegendKey val="false"/>
          <c:showVal val="true"/>
          <c:showCatName val="false"/>
          <c:showSerName val="false"/>
          <c:showPercent val="false"/>
          <c:showBubbleSize val="false"/>
        </c:dLbls>
        <c:gapWidth val="150"/>
        <c:overlap val="0"/>
        <c:axId val="639663730"/>
        <c:axId val="426025620"/>
      </c:barChart>
      <c:catAx>
        <c:axId val="639663730"/>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26025620"/>
        <c:crosses val="autoZero"/>
        <c:auto val="true"/>
        <c:lblAlgn val="ctr"/>
        <c:lblOffset val="100"/>
        <c:noMultiLvlLbl val="false"/>
      </c:catAx>
      <c:valAx>
        <c:axId val="426025620"/>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3966373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wrap="square"/>
    <a:lstStyle/>
    <a:p>
      <a:pPr>
        <a:defRPr lang="zh-CN"/>
      </a:pPr>
    </a:p>
  </c:txPr>
  <c:externalData r:id="rId1">
    <c:autoUpdate val="false"/>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r>
              <a:rPr lang="zh-CN" altLang="en-US" sz="1200" b="0" i="0" u="none" strike="noStrike" baseline="0">
                <a:solidFill>
                  <a:srgbClr val="000000"/>
                </a:solidFill>
                <a:latin typeface="宋体" charset="-122"/>
                <a:ea typeface="宋体" charset="-122"/>
                <a:cs typeface="宋体" charset="-122"/>
              </a:rPr>
              <a:t>图</a:t>
            </a:r>
            <a:r>
              <a:rPr lang="en-US" altLang="zh-CN" sz="1200" b="0" i="0" u="none" strike="noStrike" baseline="0">
                <a:solidFill>
                  <a:srgbClr val="000000"/>
                </a:solidFill>
                <a:latin typeface="宋体" charset="0"/>
                <a:ea typeface="宋体" charset="0"/>
                <a:cs typeface="宋体" charset="0"/>
              </a:rPr>
              <a:t>6.</a:t>
            </a:r>
            <a:r>
              <a:rPr lang="zh-CN" altLang="en-US" sz="1200" b="0" i="0" u="none" strike="noStrike" baseline="0">
                <a:solidFill>
                  <a:srgbClr val="000000"/>
                </a:solidFill>
                <a:latin typeface="宋体" charset="-122"/>
                <a:ea typeface="宋体" charset="-122"/>
                <a:cs typeface="宋体" charset="-122"/>
              </a:rPr>
              <a:t>一般公共预算财政拨款支出决算结构</a:t>
            </a:r>
            <a:endParaRPr lang="zh-CN" altLang="en-US" sz="1200" b="0" i="0" u="none" strike="noStrike" baseline="0">
              <a:solidFill>
                <a:srgbClr val="000000"/>
              </a:solidFill>
              <a:latin typeface="宋体" charset="-122"/>
              <a:ea typeface="宋体" charset="-122"/>
              <a:cs typeface="宋体" charset="-122"/>
            </a:endParaRPr>
          </a:p>
        </c:rich>
      </c:tx>
      <c:layout>
        <c:manualLayout>
          <c:xMode val="edge"/>
          <c:yMode val="edge"/>
          <c:x val="0.197606861253285"/>
          <c:y val="0.00738007380073801"/>
        </c:manualLayout>
      </c:layout>
      <c:overlay val="false"/>
    </c:title>
    <c:autoTitleDeleted val="false"/>
    <c:plotArea>
      <c:layout/>
      <c:pieChart>
        <c:varyColors val="true"/>
        <c:ser>
          <c:idx val="0"/>
          <c:order val="0"/>
          <c:explosion val="0"/>
          <c:dPt>
            <c:idx val="0"/>
            <c:bubble3D val="false"/>
            <c:explosion val="0"/>
            <c:spPr>
              <a:solidFill>
                <a:srgbClr val="4F81BD"/>
              </a:solidFill>
              <a:ln w="19050">
                <a:solidFill>
                  <a:srgbClr val="FFFFFF"/>
                </a:solidFill>
              </a:ln>
              <a:effectLst/>
            </c:spPr>
          </c:dPt>
          <c:dPt>
            <c:idx val="1"/>
            <c:bubble3D val="false"/>
            <c:explosion val="0"/>
            <c:spPr>
              <a:solidFill>
                <a:srgbClr val="C0504D"/>
              </a:solidFill>
              <a:ln w="19050">
                <a:solidFill>
                  <a:srgbClr val="FFFFFF"/>
                </a:solidFill>
              </a:ln>
              <a:effectLst/>
            </c:spPr>
          </c:dPt>
          <c:dPt>
            <c:idx val="2"/>
            <c:bubble3D val="false"/>
            <c:explosion val="0"/>
            <c:spPr>
              <a:solidFill>
                <a:srgbClr val="9BBB59"/>
              </a:solidFill>
              <a:ln w="19050">
                <a:solidFill>
                  <a:srgbClr val="FFFFFF"/>
                </a:solidFill>
              </a:ln>
              <a:effectLst/>
            </c:spPr>
          </c:dPt>
          <c:dPt>
            <c:idx val="3"/>
            <c:bubble3D val="false"/>
            <c:explosion val="0"/>
            <c:spPr>
              <a:solidFill>
                <a:srgbClr val="8064A2"/>
              </a:solidFill>
              <a:ln w="19050">
                <a:solidFill>
                  <a:srgbClr val="FFFFFF"/>
                </a:solidFill>
              </a:ln>
              <a:effectLst/>
            </c:spPr>
          </c:dPt>
          <c:dPt>
            <c:idx val="4"/>
            <c:bubble3D val="false"/>
            <c:explosion val="0"/>
            <c:spPr>
              <a:solidFill>
                <a:srgbClr val="4BACC6"/>
              </a:solidFill>
              <a:ln w="19050">
                <a:solidFill>
                  <a:srgbClr val="FFFFFF"/>
                </a:solidFill>
              </a:ln>
              <a:effectLst/>
            </c:spPr>
          </c:dPt>
          <c:dLbls>
            <c:dLbl>
              <c:idx val="1"/>
              <c:layout>
                <c:manualLayout>
                  <c:x val="-0.12051630350672"/>
                  <c:y val="0.0773948853068561"/>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152482921373572"/>
                  <c:y val="0.0746925298488931"/>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000000">
                            <a:alpha val="100000"/>
                          </a:srgbClr>
                        </a:solidFill>
                        <a:latin typeface="宋体" charset="-122"/>
                        <a:ea typeface="宋体" charset="-122"/>
                        <a:cs typeface="宋体" charset="-122"/>
                      </a:defRPr>
                    </a:pPr>
                    <a:r>
                      <a:t>卫生健康支出</a:t>
                    </a:r>
                  </a:p>
                  <a:p>
                    <a:pPr defTabSz="914400">
                      <a:defRPr lang="zh-CN" sz="1000" b="0" i="0" u="none" strike="noStrike" kern="1200" baseline="0">
                        <a:solidFill>
                          <a:srgbClr val="000000">
                            <a:alpha val="100000"/>
                          </a:srgbClr>
                        </a:solidFill>
                        <a:latin typeface="宋体" charset="-122"/>
                        <a:ea typeface="宋体" charset="-122"/>
                        <a:cs typeface="宋体" charset="-122"/>
                      </a:defRPr>
                    </a:pPr>
                    <a:r>
                      <a:rPr lang="en-US" altLang="zh-CN"/>
                      <a:t>2.95</a:t>
                    </a:r>
                    <a:r>
                      <a:t>%</a:t>
                    </a:r>
                  </a:p>
                </c:rich>
              </c:tx>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cat>
            <c:strRef>
              <c:f>'[2022年决算公开图表(模板).xls]决算公开图表'!$A$47:$A$51</c:f>
              <c:strCache>
                <c:ptCount val="5"/>
                <c:pt idx="0">
                  <c:v>教育支出</c:v>
                </c:pt>
                <c:pt idx="1">
                  <c:v>社会保障和就业支出</c:v>
                </c:pt>
                <c:pt idx="2">
                  <c:v>卫生健康支出</c:v>
                </c:pt>
              </c:strCache>
            </c:strRef>
          </c:cat>
          <c:val>
            <c:numRef>
              <c:f>'[2022年决算公开图表(模板).xls]决算公开图表'!$B$47:$B$51</c:f>
              <c:numCache>
                <c:formatCode>#,##0.00</c:formatCode>
                <c:ptCount val="5"/>
                <c:pt idx="0">
                  <c:v>183.89</c:v>
                </c:pt>
                <c:pt idx="1">
                  <c:v>10.19</c:v>
                </c:pt>
                <c:pt idx="2">
                  <c:v>5.9</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plotVisOnly val="true"/>
    <c:dispBlanksAs val="gap"/>
    <c:showDLblsOverMax val="false"/>
  </c:chart>
  <c:spPr>
    <a:solidFill>
      <a:srgbClr val="FFFFFF"/>
    </a:solidFill>
    <a:ln w="9525" cap="flat" cmpd="sng" algn="ctr">
      <a:solidFill>
        <a:srgbClr val="000000"/>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00" b="0" i="0" u="none" strike="noStrike" kern="1200" baseline="0">
                <a:solidFill>
                  <a:srgbClr val="000000">
                    <a:alpha val="100000"/>
                  </a:srgbClr>
                </a:solidFill>
                <a:latin typeface="宋体" charset="-122"/>
                <a:ea typeface="宋体" charset="-122"/>
                <a:cs typeface="宋体" charset="-122"/>
              </a:defRPr>
            </a:pPr>
            <a:r>
              <a:rPr sz="1400" b="0" i="0" u="none" strike="noStrike" baseline="0">
                <a:solidFill>
                  <a:srgbClr val="333333"/>
                </a:solidFill>
                <a:latin typeface="宋体" charset="-122"/>
                <a:ea typeface="宋体" charset="-122"/>
                <a:cs typeface="宋体" charset="-122"/>
              </a:rPr>
              <a:t>图7</a:t>
            </a:r>
            <a:r>
              <a:rPr sz="1400" b="0" i="0" u="none" strike="noStrike" baseline="0">
                <a:solidFill>
                  <a:srgbClr val="333333"/>
                </a:solidFill>
                <a:latin typeface="Calibri" charset="-122"/>
                <a:ea typeface="Calibri" charset="-122"/>
                <a:cs typeface="Calibri" charset="-122"/>
              </a:rPr>
              <a:t>.</a:t>
            </a:r>
            <a:r>
              <a:rPr sz="1400" b="0" i="0" u="none" strike="noStrike" baseline="0">
                <a:solidFill>
                  <a:srgbClr val="333333"/>
                </a:solidFill>
                <a:latin typeface="宋体" charset="-122"/>
                <a:ea typeface="宋体" charset="-122"/>
                <a:cs typeface="宋体" charset="-122"/>
              </a:rPr>
              <a:t>“三公”经费财政拨款支出结构</a:t>
            </a:r>
            <a:endParaRPr sz="1200" b="0" i="0" u="none" strike="noStrike" baseline="0">
              <a:solidFill>
                <a:srgbClr val="000000"/>
              </a:solidFill>
              <a:latin typeface="宋体" charset="-122"/>
              <a:ea typeface="宋体" charset="-122"/>
              <a:cs typeface="宋体" charset="-122"/>
            </a:endParaRPr>
          </a:p>
        </c:rich>
      </c:tx>
      <c:layout>
        <c:manualLayout>
          <c:xMode val="edge"/>
          <c:yMode val="edge"/>
          <c:x val="0.164444444444444"/>
          <c:y val="0.0315387944927937"/>
        </c:manualLayout>
      </c:layout>
      <c:overlay val="false"/>
      <c:spPr>
        <a:noFill/>
        <a:ln w="3175">
          <a:noFill/>
        </a:ln>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Lbls>
            <c:numFmt formatCode="General" sourceLinked="true"/>
            <c:spPr>
              <a:noFill/>
              <a:ln w="3175">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'[2022年决算公开图表(模板).xls]决算公开图表'!$A$57:$A$59</c:f>
              <c:strCache>
                <c:ptCount val="3"/>
                <c:pt idx="0">
                  <c:v>因公出国（境）费</c:v>
                </c:pt>
                <c:pt idx="1">
                  <c:v>公务用车购置及运行维护费</c:v>
                </c:pt>
                <c:pt idx="2">
                  <c:v>公务接待费</c:v>
                </c:pt>
              </c:strCache>
            </c:strRef>
          </c:cat>
          <c:val>
            <c:numRef>
              <c:f>'[2022年决算公开图表(模板).xls]决算公开图表'!$B$57:$B$59</c:f>
              <c:numCache>
                <c:formatCode>#,##0.00</c:formatCode>
                <c:ptCount val="3"/>
                <c:pt idx="0">
                  <c:v>0</c:v>
                </c:pt>
                <c:pt idx="1">
                  <c:v>2.96</c:v>
                </c:pt>
                <c:pt idx="2">
                  <c:v>0.59</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b"/>
      <c:layout>
        <c:manualLayout>
          <c:xMode val="edge"/>
          <c:yMode val="edge"/>
          <c:x val="0.133333552055993"/>
          <c:y val="0.901757332964958"/>
          <c:w val="0.737501531058618"/>
          <c:h val="0.0631582631118479"/>
        </c:manualLayout>
      </c:layout>
      <c:overlay val="false"/>
      <c:spPr>
        <a:noFill/>
        <a:ln w="3175">
          <a:noFill/>
        </a:ln>
      </c:spPr>
      <c:txPr>
        <a:bodyPr rot="0" spcFirstLastPara="0" vertOverflow="ellipsis" vert="horz" wrap="square" anchor="ctr" anchorCtr="true"/>
        <a:lstStyle/>
        <a:p>
          <a:pPr>
            <a:defRPr lang="zh-CN" sz="825" b="0" i="0" u="none" strike="noStrike" kern="1200" baseline="0">
              <a:solidFill>
                <a:srgbClr val="333333"/>
              </a:solidFill>
              <a:latin typeface="宋体"/>
              <a:ea typeface="宋体"/>
              <a:cs typeface="宋体"/>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0.76352</cdr:x>
      <cdr:y>0.152</cdr:y>
    </cdr:from>
    <cdr:to>
      <cdr:x>0.95119</cdr:x>
      <cdr:y>0.22266</cdr:y>
    </cdr:to>
    <cdr:sp>
      <cdr:nvSpPr>
        <cdr:cNvPr id="2" name="矩形 1"/>
        <cdr:cNvSpPr/>
      </cdr:nvSpPr>
      <cdr:spPr xmlns:a="http://schemas.openxmlformats.org/drawingml/2006/main">
        <a:xfrm xmlns:a="http://schemas.openxmlformats.org/drawingml/2006/main">
          <a:off x="3410331" y="408376"/>
          <a:ext cx="838245" cy="189841"/>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1000" b="0" i="0" u="none" strike="noStrike" baseline="0">
              <a:solidFill>
                <a:srgbClr val="000000"/>
              </a:solidFill>
              <a:latin typeface="宋体"/>
              <a:ea typeface="宋体"/>
            </a:rPr>
            <a:t>单位：万元</a:t>
          </a:r>
          <a:endParaRPr lang="zh-CN" altLang="en-US" sz="1000" b="0" i="0" u="none" strike="noStrike" baseline="0">
            <a:solidFill>
              <a:srgbClr val="000000"/>
            </a:solidFill>
            <a:latin typeface="宋体"/>
            <a:ea typeface="宋体"/>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0.77631</cdr:x>
      <cdr:y>0.12269</cdr:y>
    </cdr:from>
    <cdr:to>
      <cdr:x>0.94524</cdr:x>
      <cdr:y>0.184</cdr:y>
    </cdr:to>
    <cdr:sp>
      <cdr:nvSpPr>
        <cdr:cNvPr id="2" name="矩形 1"/>
        <cdr:cNvSpPr/>
      </cdr:nvSpPr>
      <cdr:spPr xmlns:a="http://schemas.openxmlformats.org/drawingml/2006/main">
        <a:xfrm xmlns:a="http://schemas.openxmlformats.org/drawingml/2006/main">
          <a:off x="3830768" y="379724"/>
          <a:ext cx="833599" cy="189754"/>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1000" b="0" i="0" u="none" strike="noStrike" baseline="0">
              <a:solidFill>
                <a:srgbClr val="000000"/>
              </a:solidFill>
              <a:latin typeface="宋体"/>
              <a:ea typeface="宋体"/>
            </a:rPr>
            <a:t>单位：万元</a:t>
          </a:r>
          <a:endParaRPr lang="zh-CN" altLang="en-US" sz="1000" b="0" i="0" u="none" strike="noStrike" baseline="0">
            <a:solidFill>
              <a:srgbClr val="000000"/>
            </a:solidFill>
            <a:latin typeface="宋体"/>
            <a:ea typeface="宋体"/>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0.78611</cdr:x>
      <cdr:y>0.16608</cdr:y>
    </cdr:from>
    <cdr:to>
      <cdr:x>0.9523</cdr:x>
      <cdr:y>0.29202</cdr:y>
    </cdr:to>
    <cdr:sp>
      <cdr:nvSpPr>
        <cdr:cNvPr id="2" name="矩形 1"/>
        <cdr:cNvSpPr/>
      </cdr:nvSpPr>
      <cdr:spPr xmlns:a="http://schemas.openxmlformats.org/drawingml/2006/main">
        <a:xfrm xmlns:a="http://schemas.openxmlformats.org/drawingml/2006/main">
          <a:off x="3594594" y="450634"/>
          <a:ext cx="759926" cy="341720"/>
        </a:xfrm>
        <a:prstGeom xmlns:a="http://schemas.openxmlformats.org/drawingml/2006/main" prst="rect">
          <a:avLst/>
        </a:prstGeom>
        <a:noFill/>
        <a:ln>
          <a:noFill/>
        </a:ln>
      </cdr:spPr>
      <cdr:txBody xmlns:a="http://schemas.openxmlformats.org/drawingml/2006/main">
        <a:bodyPr vert="horz" wrap="square" lIns="27432" tIns="18288" rIns="0" bIns="0" anchor="t" anchorCtr="false" upright="true">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a:ea typeface="宋体"/>
            </a:rPr>
            <a:t>单位：万元</a:t>
          </a:r>
          <a:endParaRPr lang="zh-CN" altLang="en-US" sz="900" b="0" i="0" u="none" strike="noStrike" baseline="0">
            <a:solidFill>
              <a:srgbClr val="000000"/>
            </a:solidFill>
            <a:latin typeface="宋体"/>
            <a:ea typeface="宋体"/>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0.76196</cdr:x>
      <cdr:y>0.17274</cdr:y>
    </cdr:from>
    <cdr:to>
      <cdr:x>0.92746</cdr:x>
      <cdr:y>0.30519</cdr:y>
    </cdr:to>
    <cdr:sp>
      <cdr:nvSpPr>
        <cdr:cNvPr id="2" name="矩形 1"/>
        <cdr:cNvSpPr/>
      </cdr:nvSpPr>
      <cdr:spPr xmlns:a="http://schemas.openxmlformats.org/drawingml/2006/main">
        <a:xfrm xmlns:a="http://schemas.openxmlformats.org/drawingml/2006/main">
          <a:off x="3497713" y="445670"/>
          <a:ext cx="759714" cy="341722"/>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900" b="0" i="0" u="none" strike="noStrike" baseline="0">
              <a:solidFill>
                <a:srgbClr val="000000"/>
              </a:solidFill>
              <a:latin typeface="宋体"/>
              <a:ea typeface="宋体"/>
            </a:rPr>
            <a:t>单位：万元</a:t>
          </a:r>
          <a:endParaRPr lang="zh-CN" altLang="en-US" sz="900" b="0" i="0" u="none" strike="noStrike" baseline="0">
            <a:solidFill>
              <a:srgbClr val="000000"/>
            </a:solidFill>
            <a:latin typeface="宋体"/>
            <a:ea typeface="宋体"/>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0.78069</cdr:x>
      <cdr:y>0.19977</cdr:y>
    </cdr:from>
    <cdr:to>
      <cdr:x>0.98681</cdr:x>
      <cdr:y>0.31881</cdr:y>
    </cdr:to>
    <cdr:sp>
      <cdr:nvSpPr>
        <cdr:cNvPr id="2" name="矩形 1"/>
        <cdr:cNvSpPr/>
      </cdr:nvSpPr>
      <cdr:spPr xmlns:a="http://schemas.openxmlformats.org/drawingml/2006/main">
        <a:xfrm xmlns:a="http://schemas.openxmlformats.org/drawingml/2006/main">
          <a:off x="2817776" y="534436"/>
          <a:ext cx="743957" cy="318462"/>
        </a:xfrm>
        <a:prstGeom xmlns:a="http://schemas.openxmlformats.org/drawingml/2006/main" prst="rect">
          <a:avLst/>
        </a:prstGeom>
        <a:noFill/>
        <a:ln>
          <a:noFill/>
        </a:ln>
      </cdr:spPr>
      <cdr:txBody xmlns:a="http://schemas.openxmlformats.org/drawingml/2006/main">
        <a:bodyPr vert="horz" wrap="square" lIns="27432" tIns="18288" rIns="0" bIns="0" anchor="t" anchorCtr="false" upright="true">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a:ea typeface="宋体"/>
            </a:rPr>
            <a:t>单位：万元</a:t>
          </a:r>
          <a:endParaRPr lang="zh-CN" altLang="en-US" sz="900" b="0" i="0" u="none" strike="noStrike" baseline="0">
            <a:solidFill>
              <a:srgbClr val="000000"/>
            </a:solidFill>
            <a:latin typeface="宋体"/>
            <a:ea typeface="宋体"/>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1293</Words>
  <Characters>7376</Characters>
  <Lines>61</Lines>
  <Paragraphs>17</Paragraphs>
  <TotalTime>938</TotalTime>
  <ScaleCrop>false</ScaleCrop>
  <LinksUpToDate>false</LinksUpToDate>
  <CharactersWithSpaces>8652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kylin</cp:lastModifiedBy>
  <cp:lastPrinted>2023-09-18T18:21:12Z</cp:lastPrinted>
  <dcterms:modified xsi:type="dcterms:W3CDTF">2023-09-19T09:55:22Z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