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color w:val="000000"/>
          <w:sz w:val="72"/>
          <w:szCs w:val="72"/>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bookmarkEnd w:id="0"/>
    <w:p>
      <w:pPr>
        <w:adjustRightInd w:val="0"/>
        <w:snapToGrid w:val="0"/>
        <w:spacing w:line="360" w:lineRule="auto"/>
        <w:jc w:val="center"/>
        <w:outlineLvl w:val="0"/>
        <w:rPr>
          <w:rFonts w:eastAsia="方正小标宋简体"/>
          <w:color w:val="000000"/>
          <w:sz w:val="72"/>
          <w:szCs w:val="72"/>
        </w:rPr>
      </w:pPr>
      <w:bookmarkStart w:id="1" w:name="_Toc15377194"/>
      <w:bookmarkStart w:id="2" w:name="_Toc15396476"/>
      <w:bookmarkStart w:id="3" w:name="_Toc15378442"/>
      <w:bookmarkStart w:id="4" w:name="_Toc15306268"/>
      <w:bookmarkStart w:id="5" w:name="_Toc15377426"/>
      <w:bookmarkStart w:id="6" w:name="_Toc15396598"/>
      <w:r>
        <w:rPr>
          <w:rFonts w:hint="eastAsia" w:eastAsia="方正小标宋简体"/>
          <w:color w:val="000000"/>
          <w:sz w:val="72"/>
          <w:szCs w:val="72"/>
        </w:rPr>
        <w:t>广安市第六幼儿园2022年</w:t>
      </w:r>
      <w:r>
        <w:rPr>
          <w:rFonts w:eastAsia="方正小标宋简体"/>
          <w:color w:val="000000"/>
          <w:sz w:val="72"/>
          <w:szCs w:val="72"/>
        </w:rPr>
        <w:t>部门决算</w:t>
      </w:r>
      <w:bookmarkEnd w:id="1"/>
      <w:bookmarkEnd w:id="2"/>
      <w:bookmarkEnd w:id="3"/>
      <w:bookmarkEnd w:id="4"/>
      <w:bookmarkEnd w:id="5"/>
      <w:bookmarkEnd w:id="6"/>
      <w:r>
        <w:rPr>
          <w:rFonts w:eastAsia="方正小标宋简体"/>
          <w:color w:val="000000"/>
          <w:sz w:val="72"/>
          <w:szCs w:val="72"/>
        </w:rPr>
        <w:t>编制说明</w:t>
      </w:r>
    </w:p>
    <w:p>
      <w:pPr>
        <w:widowControl/>
        <w:jc w:val="center"/>
        <w:rPr>
          <w:rFonts w:eastAsia="黑体"/>
          <w:color w:val="000000"/>
          <w:sz w:val="48"/>
          <w:szCs w:val="48"/>
        </w:rPr>
      </w:pPr>
    </w:p>
    <w:p/>
    <w:p/>
    <w:p/>
    <w:p/>
    <w:p/>
    <w:p/>
    <w:p/>
    <w:p>
      <w:pPr>
        <w:tabs>
          <w:tab w:val="left" w:pos="5738"/>
        </w:tabs>
        <w:jc w:val="left"/>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tab/>
      </w:r>
    </w:p>
    <w:p>
      <w:pPr>
        <w:widowControl/>
        <w:jc w:val="center"/>
        <w:rPr>
          <w:rFonts w:hint="eastAsia" w:eastAsia="黑体"/>
          <w:color w:val="000000"/>
          <w:sz w:val="48"/>
          <w:szCs w:val="48"/>
        </w:rPr>
      </w:pPr>
    </w:p>
    <w:p>
      <w:pPr>
        <w:widowControl/>
        <w:jc w:val="center"/>
        <w:rPr>
          <w:rFonts w:eastAsia="黑体"/>
          <w:color w:val="000000"/>
          <w:sz w:val="48"/>
          <w:szCs w:val="48"/>
        </w:rPr>
      </w:pPr>
      <w:r>
        <w:rPr>
          <w:rFonts w:eastAsia="黑体"/>
          <w:color w:val="000000"/>
          <w:sz w:val="48"/>
          <w:szCs w:val="48"/>
        </w:rPr>
        <w:t>目录</w:t>
      </w:r>
    </w:p>
    <w:p>
      <w:pPr>
        <w:widowControl/>
        <w:jc w:val="center"/>
        <w:rPr>
          <w:rFonts w:eastAsia="黑体"/>
          <w:sz w:val="28"/>
          <w:szCs w:val="28"/>
        </w:rPr>
      </w:pPr>
    </w:p>
    <w:p>
      <w:pPr>
        <w:pStyle w:val="11"/>
        <w:rPr>
          <w:rFonts w:ascii="Times New Roman" w:hAnsi="Times New Roman"/>
        </w:rPr>
      </w:pPr>
      <w:r>
        <w:rPr>
          <w:rFonts w:ascii="Times New Roman" w:hAnsi="Times New Roman"/>
        </w:rPr>
        <w:t>公开时间：2023年</w:t>
      </w:r>
      <w:r>
        <w:rPr>
          <w:rFonts w:hint="eastAsia" w:ascii="Times New Roman" w:hAnsi="Times New Roman"/>
        </w:rPr>
        <w:t>9</w:t>
      </w:r>
      <w:r>
        <w:rPr>
          <w:rFonts w:ascii="Times New Roman" w:hAnsi="Times New Roman"/>
        </w:rPr>
        <w:t>月</w:t>
      </w:r>
      <w:r>
        <w:rPr>
          <w:rFonts w:hint="eastAsia" w:ascii="Times New Roman" w:hAnsi="Times New Roman"/>
        </w:rPr>
        <w:t>14</w:t>
      </w:r>
      <w:r>
        <w:rPr>
          <w:rFonts w:ascii="Times New Roman" w:hAnsi="Times New Roman"/>
        </w:rPr>
        <w:t>日</w:t>
      </w:r>
    </w:p>
    <w:p>
      <w:pPr>
        <w:pStyle w:val="11"/>
        <w:adjustRightInd w:val="0"/>
        <w:snapToGrid w:val="0"/>
        <w:spacing w:before="0" w:line="440" w:lineRule="exact"/>
        <w:jc w:val="left"/>
        <w:rPr>
          <w:rFonts w:hint="eastAsia" w:ascii="Times New Roman" w:hAnsi="Times New Roman" w:eastAsia="仿宋"/>
          <w:sz w:val="24"/>
          <w:szCs w:val="24"/>
          <w:lang w:val="en-US" w:eastAsia="zh-CN"/>
        </w:rPr>
      </w:pPr>
      <w:r>
        <w:rPr>
          <w:rFonts w:ascii="Times New Roman" w:hAnsi="Times New Roman"/>
          <w:sz w:val="24"/>
        </w:rPr>
        <w:t>第一部分 部门概况</w:t>
      </w:r>
      <w:r>
        <w:rPr>
          <w:rFonts w:hint="eastAsia" w:ascii="Times New Roman" w:hAnsi="Times New Roman"/>
          <w:sz w:val="24"/>
        </w:rPr>
        <w:tab/>
      </w:r>
      <w:r>
        <w:rPr>
          <w:rFonts w:hint="eastAsia" w:ascii="Times New Roman" w:hAnsi="Times New Roman"/>
          <w:sz w:val="24"/>
          <w:lang w:val="en-US" w:eastAsia="zh-CN"/>
        </w:rPr>
        <w:t>1</w:t>
      </w:r>
    </w:p>
    <w:p>
      <w:pPr>
        <w:pStyle w:val="12"/>
        <w:adjustRightInd w:val="0"/>
        <w:snapToGrid w:val="0"/>
        <w:spacing w:line="440" w:lineRule="exact"/>
        <w:jc w:val="left"/>
        <w:rPr>
          <w:rFonts w:hint="eastAsia" w:eastAsia="宋体"/>
          <w:sz w:val="24"/>
          <w:lang w:val="en-US" w:eastAsia="zh-CN"/>
        </w:rPr>
      </w:pPr>
      <w:r>
        <w:rPr>
          <w:sz w:val="24"/>
        </w:rPr>
        <w:t>一、基本职能及主要工作</w:t>
      </w:r>
      <w:r>
        <w:rPr>
          <w:rFonts w:hint="eastAsia"/>
          <w:sz w:val="24"/>
        </w:rPr>
        <w:tab/>
      </w:r>
      <w:r>
        <w:rPr>
          <w:rFonts w:hint="eastAsia"/>
          <w:sz w:val="24"/>
          <w:lang w:val="en-US" w:eastAsia="zh-CN"/>
        </w:rPr>
        <w:t>1</w:t>
      </w:r>
    </w:p>
    <w:p>
      <w:pPr>
        <w:pStyle w:val="12"/>
        <w:adjustRightInd w:val="0"/>
        <w:snapToGrid w:val="0"/>
        <w:spacing w:line="440" w:lineRule="exact"/>
        <w:jc w:val="left"/>
        <w:rPr>
          <w:rFonts w:hint="eastAsia" w:eastAsia="宋体"/>
          <w:sz w:val="24"/>
          <w:lang w:val="en-US" w:eastAsia="zh-CN"/>
        </w:rPr>
      </w:pPr>
      <w:r>
        <w:rPr>
          <w:sz w:val="24"/>
        </w:rPr>
        <w:t>二、机构设置</w:t>
      </w:r>
      <w:r>
        <w:rPr>
          <w:rFonts w:hint="eastAsia"/>
          <w:sz w:val="24"/>
        </w:rPr>
        <w:tab/>
      </w:r>
      <w:r>
        <w:rPr>
          <w:rFonts w:hint="eastAsia"/>
          <w:sz w:val="24"/>
          <w:lang w:val="en-US" w:eastAsia="zh-CN"/>
        </w:rPr>
        <w:t>1</w:t>
      </w:r>
    </w:p>
    <w:p>
      <w:pPr>
        <w:pStyle w:val="11"/>
        <w:adjustRightInd w:val="0"/>
        <w:snapToGrid w:val="0"/>
        <w:spacing w:before="0" w:line="440" w:lineRule="exact"/>
        <w:jc w:val="left"/>
        <w:rPr>
          <w:rFonts w:hint="eastAsia" w:ascii="Times New Roman" w:hAnsi="Times New Roman" w:eastAsia="仿宋"/>
          <w:sz w:val="24"/>
          <w:szCs w:val="24"/>
          <w:lang w:val="en-US" w:eastAsia="zh-CN"/>
        </w:rPr>
      </w:pPr>
      <w:r>
        <w:rPr>
          <w:rFonts w:ascii="Times New Roman" w:hAnsi="Times New Roman"/>
          <w:sz w:val="24"/>
        </w:rPr>
        <w:t>第二部分 2022年度部门决算情况说明</w:t>
      </w:r>
      <w:r>
        <w:rPr>
          <w:rFonts w:hint="eastAsia" w:ascii="Times New Roman" w:hAnsi="Times New Roman"/>
          <w:sz w:val="24"/>
        </w:rPr>
        <w:tab/>
      </w:r>
      <w:r>
        <w:rPr>
          <w:rFonts w:hint="eastAsia" w:ascii="Times New Roman" w:hAnsi="Times New Roman"/>
          <w:sz w:val="24"/>
          <w:lang w:val="en-US" w:eastAsia="zh-CN"/>
        </w:rPr>
        <w:t>2</w:t>
      </w:r>
    </w:p>
    <w:p>
      <w:pPr>
        <w:pStyle w:val="12"/>
        <w:adjustRightInd w:val="0"/>
        <w:snapToGrid w:val="0"/>
        <w:spacing w:line="440" w:lineRule="exact"/>
        <w:jc w:val="left"/>
        <w:rPr>
          <w:rFonts w:hint="eastAsia" w:eastAsia="宋体"/>
          <w:sz w:val="24"/>
          <w:lang w:val="en-US" w:eastAsia="zh-CN"/>
        </w:rPr>
      </w:pPr>
      <w:r>
        <w:rPr>
          <w:sz w:val="24"/>
        </w:rPr>
        <w:t>一、收入支出决算总体情况说明</w:t>
      </w:r>
      <w:r>
        <w:rPr>
          <w:rFonts w:hint="eastAsia"/>
          <w:sz w:val="24"/>
        </w:rPr>
        <w:tab/>
      </w:r>
      <w:r>
        <w:rPr>
          <w:rFonts w:hint="eastAsia"/>
          <w:sz w:val="24"/>
          <w:lang w:val="en-US" w:eastAsia="zh-CN"/>
        </w:rPr>
        <w:t>2</w:t>
      </w:r>
    </w:p>
    <w:p>
      <w:pPr>
        <w:pStyle w:val="12"/>
        <w:adjustRightInd w:val="0"/>
        <w:snapToGrid w:val="0"/>
        <w:spacing w:line="440" w:lineRule="exact"/>
        <w:jc w:val="left"/>
        <w:rPr>
          <w:rFonts w:hint="eastAsia" w:eastAsia="宋体"/>
          <w:sz w:val="24"/>
          <w:lang w:val="en-US" w:eastAsia="zh-CN"/>
        </w:rPr>
      </w:pPr>
      <w:r>
        <w:rPr>
          <w:sz w:val="24"/>
        </w:rPr>
        <w:t>二、收入决算情况说明</w:t>
      </w:r>
      <w:r>
        <w:rPr>
          <w:rFonts w:hint="eastAsia"/>
          <w:sz w:val="24"/>
        </w:rPr>
        <w:tab/>
      </w:r>
      <w:r>
        <w:rPr>
          <w:rFonts w:hint="eastAsia"/>
          <w:sz w:val="24"/>
          <w:lang w:val="en-US" w:eastAsia="zh-CN"/>
        </w:rPr>
        <w:t>2</w:t>
      </w:r>
    </w:p>
    <w:p>
      <w:pPr>
        <w:pStyle w:val="12"/>
        <w:adjustRightInd w:val="0"/>
        <w:snapToGrid w:val="0"/>
        <w:spacing w:line="440" w:lineRule="exact"/>
        <w:jc w:val="left"/>
        <w:rPr>
          <w:rFonts w:hint="eastAsia" w:eastAsia="宋体"/>
          <w:sz w:val="24"/>
          <w:lang w:val="en-US" w:eastAsia="zh-CN"/>
        </w:rPr>
      </w:pPr>
      <w:r>
        <w:rPr>
          <w:sz w:val="24"/>
        </w:rPr>
        <w:t>三、支出决算情况说明</w:t>
      </w:r>
      <w:r>
        <w:rPr>
          <w:rFonts w:hint="eastAsia"/>
          <w:sz w:val="24"/>
        </w:rPr>
        <w:tab/>
      </w:r>
      <w:r>
        <w:rPr>
          <w:rFonts w:hint="eastAsia"/>
          <w:sz w:val="24"/>
          <w:lang w:val="en-US" w:eastAsia="zh-CN"/>
        </w:rPr>
        <w:t>3</w:t>
      </w:r>
    </w:p>
    <w:p>
      <w:pPr>
        <w:pStyle w:val="12"/>
        <w:adjustRightInd w:val="0"/>
        <w:snapToGrid w:val="0"/>
        <w:spacing w:line="440" w:lineRule="exact"/>
        <w:jc w:val="left"/>
        <w:rPr>
          <w:rFonts w:hint="eastAsia" w:eastAsia="宋体"/>
          <w:sz w:val="24"/>
          <w:lang w:val="en-US" w:eastAsia="zh-CN"/>
        </w:rPr>
      </w:pPr>
      <w:r>
        <w:rPr>
          <w:sz w:val="24"/>
        </w:rPr>
        <w:t>四、财政拨款收入支出决算总体情况说明</w:t>
      </w:r>
      <w:r>
        <w:rPr>
          <w:rFonts w:hint="eastAsia"/>
          <w:sz w:val="24"/>
        </w:rPr>
        <w:tab/>
      </w:r>
      <w:r>
        <w:rPr>
          <w:rFonts w:hint="eastAsia"/>
          <w:sz w:val="24"/>
          <w:lang w:val="en-US" w:eastAsia="zh-CN"/>
        </w:rPr>
        <w:t>3</w:t>
      </w:r>
    </w:p>
    <w:p>
      <w:pPr>
        <w:pStyle w:val="12"/>
        <w:adjustRightInd w:val="0"/>
        <w:snapToGrid w:val="0"/>
        <w:spacing w:line="440" w:lineRule="exact"/>
        <w:jc w:val="left"/>
        <w:rPr>
          <w:rFonts w:hint="eastAsia" w:eastAsia="宋体"/>
          <w:sz w:val="24"/>
          <w:lang w:val="en-US" w:eastAsia="zh-CN"/>
        </w:rPr>
      </w:pPr>
      <w:r>
        <w:rPr>
          <w:sz w:val="24"/>
        </w:rPr>
        <w:t>五、一般公共预算财政拨款支出决算情况说明</w:t>
      </w:r>
      <w:r>
        <w:rPr>
          <w:rFonts w:hint="eastAsia"/>
          <w:sz w:val="24"/>
        </w:rPr>
        <w:tab/>
      </w:r>
      <w:r>
        <w:rPr>
          <w:rFonts w:hint="eastAsia"/>
          <w:sz w:val="24"/>
          <w:lang w:val="en-US" w:eastAsia="zh-CN"/>
        </w:rPr>
        <w:t>4</w:t>
      </w:r>
    </w:p>
    <w:p>
      <w:pPr>
        <w:pStyle w:val="12"/>
        <w:adjustRightInd w:val="0"/>
        <w:snapToGrid w:val="0"/>
        <w:spacing w:line="440" w:lineRule="exact"/>
        <w:jc w:val="left"/>
        <w:rPr>
          <w:rFonts w:hint="eastAsia" w:eastAsia="宋体"/>
          <w:sz w:val="24"/>
          <w:lang w:val="en-US" w:eastAsia="zh-CN"/>
        </w:rPr>
      </w:pPr>
      <w:r>
        <w:rPr>
          <w:sz w:val="24"/>
        </w:rPr>
        <w:t>六、一般公共预算财政拨款基本支出决算情况说明</w:t>
      </w:r>
      <w:r>
        <w:rPr>
          <w:rFonts w:hint="eastAsia"/>
          <w:sz w:val="24"/>
        </w:rPr>
        <w:tab/>
      </w:r>
      <w:r>
        <w:rPr>
          <w:rFonts w:hint="eastAsia"/>
          <w:sz w:val="24"/>
          <w:lang w:val="en-US" w:eastAsia="zh-CN"/>
        </w:rPr>
        <w:t>6</w:t>
      </w:r>
    </w:p>
    <w:p>
      <w:pPr>
        <w:pStyle w:val="12"/>
        <w:adjustRightInd w:val="0"/>
        <w:snapToGrid w:val="0"/>
        <w:spacing w:line="440" w:lineRule="exact"/>
        <w:jc w:val="left"/>
        <w:rPr>
          <w:rFonts w:hint="eastAsia" w:eastAsia="宋体"/>
          <w:lang w:val="en-US" w:eastAsia="zh-CN"/>
        </w:rPr>
      </w:pPr>
      <w:r>
        <w:rPr>
          <w:sz w:val="24"/>
        </w:rPr>
        <w:t>七、一般公共预算财政拨款项目支出决算情况说明</w:t>
      </w:r>
      <w:r>
        <w:rPr>
          <w:rFonts w:hint="eastAsia"/>
          <w:sz w:val="24"/>
        </w:rPr>
        <w:tab/>
      </w:r>
      <w:r>
        <w:rPr>
          <w:rFonts w:hint="eastAsia"/>
          <w:sz w:val="24"/>
          <w:lang w:val="en-US" w:eastAsia="zh-CN"/>
        </w:rPr>
        <w:t>6</w:t>
      </w:r>
    </w:p>
    <w:p>
      <w:pPr>
        <w:pStyle w:val="12"/>
        <w:adjustRightInd w:val="0"/>
        <w:snapToGrid w:val="0"/>
        <w:spacing w:line="440" w:lineRule="exact"/>
        <w:jc w:val="left"/>
        <w:rPr>
          <w:rFonts w:hint="eastAsia" w:eastAsia="宋体"/>
          <w:sz w:val="24"/>
          <w:lang w:val="en-US" w:eastAsia="zh-CN"/>
        </w:rPr>
      </w:pPr>
      <w:r>
        <w:rPr>
          <w:sz w:val="24"/>
        </w:rPr>
        <w:t>八、财政拨款“三公”经费支出决算情况说明</w:t>
      </w:r>
      <w:r>
        <w:rPr>
          <w:rFonts w:hint="eastAsia"/>
          <w:sz w:val="24"/>
        </w:rPr>
        <w:tab/>
      </w:r>
      <w:r>
        <w:rPr>
          <w:rFonts w:hint="eastAsia"/>
          <w:sz w:val="24"/>
          <w:lang w:val="en-US" w:eastAsia="zh-CN"/>
        </w:rPr>
        <w:t>7</w:t>
      </w:r>
    </w:p>
    <w:p>
      <w:pPr>
        <w:pStyle w:val="12"/>
        <w:adjustRightInd w:val="0"/>
        <w:snapToGrid w:val="0"/>
        <w:spacing w:line="440" w:lineRule="exact"/>
        <w:jc w:val="left"/>
        <w:rPr>
          <w:rFonts w:hint="eastAsia" w:eastAsia="宋体"/>
          <w:sz w:val="24"/>
          <w:lang w:val="en-US" w:eastAsia="zh-CN"/>
        </w:rPr>
      </w:pPr>
      <w:r>
        <w:rPr>
          <w:sz w:val="24"/>
        </w:rPr>
        <w:t>九、政府性基金预算支出决算情况说明</w:t>
      </w:r>
      <w:r>
        <w:rPr>
          <w:rFonts w:hint="eastAsia"/>
          <w:sz w:val="24"/>
        </w:rPr>
        <w:tab/>
      </w:r>
      <w:r>
        <w:rPr>
          <w:rFonts w:hint="eastAsia"/>
          <w:sz w:val="24"/>
          <w:lang w:val="en-US" w:eastAsia="zh-CN"/>
        </w:rPr>
        <w:t>8</w:t>
      </w:r>
    </w:p>
    <w:p>
      <w:pPr>
        <w:pStyle w:val="12"/>
        <w:adjustRightInd w:val="0"/>
        <w:snapToGrid w:val="0"/>
        <w:spacing w:line="440" w:lineRule="exact"/>
        <w:ind w:leftChars="0"/>
        <w:jc w:val="left"/>
        <w:rPr>
          <w:rFonts w:hint="eastAsia" w:eastAsia="宋体"/>
          <w:sz w:val="24"/>
          <w:lang w:val="en-US" w:eastAsia="zh-CN"/>
        </w:rPr>
      </w:pPr>
      <w:r>
        <w:rPr>
          <w:rFonts w:eastAsia="仿宋"/>
          <w:sz w:val="24"/>
        </w:rPr>
        <w:t>十、</w:t>
      </w:r>
      <w:r>
        <w:rPr>
          <w:sz w:val="24"/>
        </w:rPr>
        <w:t xml:space="preserve"> 国有资本经营预算支出决算情况说明</w:t>
      </w:r>
      <w:r>
        <w:rPr>
          <w:rFonts w:hint="eastAsia"/>
          <w:sz w:val="24"/>
        </w:rPr>
        <w:tab/>
      </w:r>
      <w:r>
        <w:rPr>
          <w:rFonts w:hint="eastAsia"/>
          <w:sz w:val="24"/>
          <w:lang w:val="en-US" w:eastAsia="zh-CN"/>
        </w:rPr>
        <w:t>8</w:t>
      </w:r>
    </w:p>
    <w:p>
      <w:pPr>
        <w:tabs>
          <w:tab w:val="left" w:leader="dot" w:pos="8358"/>
        </w:tabs>
        <w:adjustRightInd w:val="0"/>
        <w:snapToGrid w:val="0"/>
        <w:spacing w:line="440" w:lineRule="exact"/>
        <w:ind w:firstLine="420" w:firstLineChars="175"/>
        <w:jc w:val="left"/>
        <w:rPr>
          <w:rFonts w:hint="eastAsia" w:eastAsia="宋体"/>
          <w:sz w:val="24"/>
          <w:lang w:val="en-US" w:eastAsia="zh-CN"/>
        </w:rPr>
      </w:pPr>
      <w:r>
        <w:rPr>
          <w:rStyle w:val="18"/>
          <w:rFonts w:eastAsia="仿宋"/>
          <w:color w:val="000000" w:themeColor="text1"/>
          <w:sz w:val="24"/>
          <w:u w:val="none"/>
        </w:rPr>
        <w:t>十一、</w:t>
      </w:r>
      <w:r>
        <w:rPr>
          <w:sz w:val="24"/>
        </w:rPr>
        <w:t>其他重要事项的情况说明</w:t>
      </w:r>
      <w:r>
        <w:rPr>
          <w:rFonts w:hint="eastAsia"/>
          <w:sz w:val="24"/>
          <w:lang w:val="en-US" w:eastAsia="zh-CN"/>
        </w:rPr>
        <w:t>.........................................................................8</w:t>
      </w:r>
    </w:p>
    <w:p>
      <w:pPr>
        <w:pStyle w:val="11"/>
        <w:adjustRightInd w:val="0"/>
        <w:snapToGrid w:val="0"/>
        <w:spacing w:before="0" w:line="440" w:lineRule="exact"/>
        <w:jc w:val="left"/>
        <w:rPr>
          <w:rFonts w:hint="default" w:ascii="Times New Roman" w:hAnsi="Times New Roman" w:eastAsia="仿宋"/>
          <w:sz w:val="24"/>
          <w:szCs w:val="24"/>
          <w:lang w:val="en-US" w:eastAsia="zh-CN"/>
        </w:rPr>
      </w:pPr>
      <w:r>
        <w:rPr>
          <w:rFonts w:ascii="Times New Roman" w:hAnsi="Times New Roman"/>
          <w:sz w:val="24"/>
        </w:rPr>
        <w:t>第三部分 名词解释</w:t>
      </w:r>
      <w:r>
        <w:rPr>
          <w:rFonts w:hint="eastAsia" w:ascii="Times New Roman" w:hAnsi="Times New Roman"/>
          <w:sz w:val="24"/>
        </w:rPr>
        <w:tab/>
      </w:r>
      <w:r>
        <w:rPr>
          <w:rFonts w:hint="eastAsia" w:ascii="Times New Roman" w:hAnsi="Times New Roman"/>
          <w:sz w:val="24"/>
          <w:lang w:val="en-US" w:eastAsia="zh-CN"/>
        </w:rPr>
        <w:t>11</w:t>
      </w:r>
    </w:p>
    <w:p>
      <w:pPr>
        <w:pStyle w:val="11"/>
        <w:adjustRightInd w:val="0"/>
        <w:snapToGrid w:val="0"/>
        <w:spacing w:before="0" w:line="440" w:lineRule="exact"/>
        <w:jc w:val="left"/>
        <w:rPr>
          <w:rFonts w:hint="default" w:ascii="Times New Roman" w:hAnsi="Times New Roman" w:eastAsia="仿宋"/>
          <w:sz w:val="24"/>
          <w:szCs w:val="24"/>
          <w:lang w:val="en-US" w:eastAsia="zh-CN"/>
        </w:rPr>
      </w:pPr>
      <w:r>
        <w:rPr>
          <w:rFonts w:ascii="Times New Roman" w:hAnsi="Times New Roman"/>
          <w:sz w:val="24"/>
        </w:rPr>
        <w:t>第四部分 附件</w:t>
      </w:r>
      <w:r>
        <w:rPr>
          <w:rFonts w:hint="eastAsia" w:ascii="Times New Roman" w:hAnsi="Times New Roman"/>
          <w:sz w:val="24"/>
        </w:rPr>
        <w:tab/>
      </w:r>
      <w:r>
        <w:rPr>
          <w:rFonts w:hint="eastAsia" w:ascii="Times New Roman" w:hAnsi="Times New Roman"/>
          <w:sz w:val="24"/>
          <w:lang w:val="en-US" w:eastAsia="zh-CN"/>
        </w:rPr>
        <w:t>14</w:t>
      </w:r>
    </w:p>
    <w:p>
      <w:pPr>
        <w:pStyle w:val="11"/>
        <w:adjustRightInd w:val="0"/>
        <w:snapToGrid w:val="0"/>
        <w:spacing w:before="0" w:line="440" w:lineRule="exact"/>
        <w:jc w:val="left"/>
        <w:rPr>
          <w:rFonts w:hint="default" w:ascii="Times New Roman" w:hAnsi="Times New Roman" w:eastAsia="仿宋"/>
          <w:sz w:val="24"/>
          <w:szCs w:val="24"/>
          <w:lang w:val="en-US" w:eastAsia="zh-CN"/>
        </w:rPr>
      </w:pPr>
      <w:r>
        <w:rPr>
          <w:rFonts w:ascii="Times New Roman" w:hAnsi="Times New Roman"/>
          <w:sz w:val="24"/>
        </w:rPr>
        <w:t>第五部分 附表</w:t>
      </w:r>
      <w:r>
        <w:rPr>
          <w:rFonts w:hint="eastAsia" w:ascii="Times New Roman" w:hAnsi="Times New Roman"/>
          <w:sz w:val="24"/>
        </w:rPr>
        <w:tab/>
      </w:r>
      <w:r>
        <w:rPr>
          <w:rFonts w:hint="eastAsia" w:ascii="Times New Roman" w:hAnsi="Times New Roman"/>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一、</w:t>
      </w:r>
      <w:r>
        <w:rPr>
          <w:sz w:val="24"/>
        </w:rPr>
        <w:t>收入支出决算总表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二、</w:t>
      </w:r>
      <w:r>
        <w:rPr>
          <w:sz w:val="24"/>
        </w:rPr>
        <w:t>收入</w:t>
      </w:r>
      <w:r>
        <w:rPr>
          <w:rFonts w:eastAsia="仿宋"/>
          <w:sz w:val="24"/>
        </w:rPr>
        <w:t>决算</w:t>
      </w:r>
      <w:r>
        <w:rPr>
          <w:sz w:val="24"/>
        </w:rPr>
        <w:t>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三、</w:t>
      </w:r>
      <w:r>
        <w:rPr>
          <w:sz w:val="24"/>
        </w:rPr>
        <w:t>支出</w:t>
      </w:r>
      <w:r>
        <w:rPr>
          <w:rFonts w:eastAsia="仿宋"/>
          <w:sz w:val="24"/>
        </w:rPr>
        <w:t>决算</w:t>
      </w:r>
      <w:r>
        <w:rPr>
          <w:sz w:val="24"/>
        </w:rPr>
        <w:t>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四、</w:t>
      </w:r>
      <w:r>
        <w:rPr>
          <w:sz w:val="24"/>
        </w:rPr>
        <w:t>财政拨款收入支出决算总表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五、</w:t>
      </w:r>
      <w:r>
        <w:rPr>
          <w:sz w:val="24"/>
        </w:rPr>
        <w:t>财政拨款支出决算明细表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六、</w:t>
      </w:r>
      <w:r>
        <w:rPr>
          <w:sz w:val="24"/>
        </w:rPr>
        <w:t>一般公共预算财政拨款支出决算表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七、</w:t>
      </w:r>
      <w:r>
        <w:rPr>
          <w:sz w:val="24"/>
        </w:rPr>
        <w:t>一般公共预算财政拨款支出决算明细表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八、</w:t>
      </w:r>
      <w:r>
        <w:rPr>
          <w:sz w:val="24"/>
        </w:rPr>
        <w:t>一般公共预算财政拨款基本支出决算表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九、</w:t>
      </w:r>
      <w:r>
        <w:rPr>
          <w:sz w:val="24"/>
        </w:rPr>
        <w:t>一般公共预算财政拨款项目支出决算表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十、</w:t>
      </w:r>
      <w:r>
        <w:rPr>
          <w:sz w:val="24"/>
        </w:rPr>
        <w:t>政府性基金预算财政拨款收入支出决算表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十一、</w:t>
      </w:r>
      <w:r>
        <w:rPr>
          <w:sz w:val="24"/>
        </w:rPr>
        <w:t>国有资本经营预算财政拨款收入支出决算表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十二、</w:t>
      </w:r>
      <w:r>
        <w:rPr>
          <w:sz w:val="24"/>
        </w:rPr>
        <w:t>国有资本经营预算财政拨款支出决算表</w:t>
      </w:r>
      <w:r>
        <w:rPr>
          <w:rFonts w:hint="eastAsia"/>
          <w:sz w:val="24"/>
        </w:rPr>
        <w:tab/>
      </w:r>
      <w:r>
        <w:rPr>
          <w:rFonts w:hint="eastAsia"/>
          <w:sz w:val="24"/>
          <w:lang w:val="en-US" w:eastAsia="zh-CN"/>
        </w:rPr>
        <w:t>34</w:t>
      </w:r>
    </w:p>
    <w:p>
      <w:pPr>
        <w:pStyle w:val="12"/>
        <w:adjustRightInd w:val="0"/>
        <w:snapToGrid w:val="0"/>
        <w:spacing w:line="440" w:lineRule="exact"/>
        <w:jc w:val="left"/>
        <w:rPr>
          <w:rFonts w:hint="default" w:eastAsia="宋体"/>
          <w:sz w:val="24"/>
          <w:lang w:val="en-US" w:eastAsia="zh-CN"/>
        </w:rPr>
      </w:pPr>
      <w:r>
        <w:rPr>
          <w:rFonts w:eastAsia="仿宋"/>
          <w:sz w:val="24"/>
        </w:rPr>
        <w:t>十三、</w:t>
      </w:r>
      <w:r>
        <w:rPr>
          <w:sz w:val="24"/>
        </w:rPr>
        <w:t>财政拨款“三公”经费支出决算表</w:t>
      </w:r>
      <w:r>
        <w:rPr>
          <w:rFonts w:hint="eastAsia"/>
          <w:sz w:val="24"/>
        </w:rPr>
        <w:tab/>
      </w:r>
      <w:r>
        <w:rPr>
          <w:rFonts w:hint="eastAsia"/>
          <w:sz w:val="24"/>
          <w:lang w:val="en-US" w:eastAsia="zh-CN"/>
        </w:rPr>
        <w:t>34</w:t>
      </w:r>
    </w:p>
    <w:p>
      <w:pPr>
        <w:pStyle w:val="2"/>
        <w:spacing w:before="93"/>
        <w:rPr>
          <w:rFonts w:ascii="Times New Roman" w:eastAsia="仿宋"/>
          <w:b/>
          <w:sz w:val="24"/>
          <w:highlight w:val="yellow"/>
        </w:rPr>
      </w:pPr>
      <w:bookmarkStart w:id="7" w:name="_Toc15377196"/>
      <w:bookmarkStart w:id="8" w:name="_Toc15396599"/>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2"/>
        <w:spacing w:before="93"/>
        <w:rPr>
          <w:rFonts w:ascii="Times New Roman" w:eastAsia="仿宋"/>
          <w:b/>
          <w:sz w:val="24"/>
          <w:highlight w:val="yellow"/>
        </w:rPr>
      </w:pPr>
    </w:p>
    <w:p>
      <w:pPr>
        <w:pStyle w:val="3"/>
        <w:jc w:val="center"/>
        <w:rPr>
          <w:rFonts w:eastAsia="黑体"/>
          <w:b w:val="0"/>
        </w:rPr>
        <w:sectPr>
          <w:footerReference r:id="rId7" w:type="first"/>
          <w:footerReference r:id="rId6" w:type="default"/>
          <w:pgSz w:w="11906" w:h="16838"/>
          <w:pgMar w:top="1440" w:right="1800" w:bottom="1440" w:left="1800" w:header="851" w:footer="992" w:gutter="0"/>
          <w:pgNumType w:start="2"/>
          <w:cols w:space="425" w:num="1"/>
          <w:titlePg/>
          <w:docGrid w:type="lines" w:linePitch="312" w:charSpace="0"/>
        </w:sectPr>
      </w:pPr>
    </w:p>
    <w:p>
      <w:pPr>
        <w:pStyle w:val="3"/>
        <w:jc w:val="center"/>
        <w:rPr>
          <w:rStyle w:val="27"/>
          <w:rFonts w:eastAsia="黑体"/>
          <w:b/>
          <w:bCs w:val="0"/>
        </w:rPr>
      </w:pPr>
      <w:r>
        <w:rPr>
          <w:rFonts w:eastAsia="黑体"/>
          <w:b w:val="0"/>
        </w:rPr>
        <w:t xml:space="preserve">第一部分 </w:t>
      </w:r>
      <w:r>
        <w:rPr>
          <w:rStyle w:val="27"/>
          <w:rFonts w:eastAsia="黑体"/>
          <w:b w:val="0"/>
          <w:bCs w:val="0"/>
        </w:rPr>
        <w:t>部门概况</w:t>
      </w:r>
      <w:bookmarkEnd w:id="7"/>
      <w:bookmarkEnd w:id="8"/>
    </w:p>
    <w:p>
      <w:pPr>
        <w:widowControl/>
        <w:jc w:val="left"/>
        <w:rPr>
          <w:rFonts w:eastAsia="黑体"/>
          <w:color w:val="000000"/>
          <w:sz w:val="32"/>
          <w:szCs w:val="32"/>
        </w:rPr>
      </w:pPr>
    </w:p>
    <w:p>
      <w:pPr>
        <w:pStyle w:val="4"/>
        <w:rPr>
          <w:rStyle w:val="28"/>
          <w:rFonts w:ascii="Times New Roman" w:hAnsi="Times New Roman" w:eastAsia="仿宋" w:cs="Times New Roman"/>
          <w:b w:val="0"/>
          <w:bCs w:val="0"/>
        </w:rPr>
      </w:pPr>
      <w:bookmarkStart w:id="9" w:name="_Toc15377197"/>
      <w:bookmarkStart w:id="10" w:name="_Toc15396600"/>
      <w:r>
        <w:rPr>
          <w:rFonts w:ascii="Times New Roman" w:hAnsi="Times New Roman" w:eastAsia="黑体" w:cs="Times New Roman"/>
          <w:b w:val="0"/>
          <w:color w:val="000000"/>
        </w:rPr>
        <w:t>一、基</w:t>
      </w:r>
      <w:r>
        <w:rPr>
          <w:rStyle w:val="28"/>
          <w:rFonts w:ascii="Times New Roman" w:hAnsi="Times New Roman" w:eastAsia="黑体" w:cs="Times New Roman"/>
          <w:b w:val="0"/>
          <w:bCs w:val="0"/>
        </w:rPr>
        <w:t>本职能及主要工作</w:t>
      </w:r>
      <w:bookmarkEnd w:id="9"/>
      <w:bookmarkEnd w:id="10"/>
    </w:p>
    <w:p>
      <w:pPr>
        <w:pStyle w:val="2"/>
        <w:adjustRightInd w:val="0"/>
        <w:snapToGrid w:val="0"/>
        <w:spacing w:before="93" w:line="600" w:lineRule="exact"/>
        <w:ind w:firstLine="672" w:firstLineChars="210"/>
        <w:outlineLvl w:val="2"/>
        <w:rPr>
          <w:rFonts w:ascii="Times New Roman" w:eastAsia="仿宋"/>
          <w:bCs/>
          <w:color w:val="000000"/>
          <w:sz w:val="32"/>
          <w:szCs w:val="32"/>
        </w:rPr>
      </w:pPr>
      <w:bookmarkStart w:id="11" w:name="_Toc15378445"/>
      <w:bookmarkStart w:id="12" w:name="_Toc15377198"/>
      <w:r>
        <w:rPr>
          <w:rFonts w:ascii="Times New Roman" w:eastAsia="仿宋"/>
          <w:bCs/>
          <w:color w:val="000000"/>
          <w:sz w:val="32"/>
          <w:szCs w:val="32"/>
        </w:rPr>
        <w:t>（一）主要职能。</w:t>
      </w:r>
      <w:bookmarkEnd w:id="11"/>
      <w:bookmarkEnd w:id="12"/>
    </w:p>
    <w:p>
      <w:pPr>
        <w:spacing w:line="590" w:lineRule="exact"/>
        <w:ind w:firstLine="640" w:firstLineChars="200"/>
        <w:rPr>
          <w:rFonts w:eastAsia="仿宋"/>
          <w:bCs/>
          <w:color w:val="000000"/>
          <w:sz w:val="32"/>
          <w:szCs w:val="32"/>
        </w:rPr>
      </w:pPr>
      <w:r>
        <w:rPr>
          <w:rFonts w:hint="eastAsia" w:ascii="仿宋_GB2312" w:eastAsia="仿宋_GB2312"/>
          <w:sz w:val="32"/>
        </w:rPr>
        <w:t>为学龄前儿童提供保育和教育服务。</w:t>
      </w:r>
    </w:p>
    <w:p>
      <w:pPr>
        <w:pStyle w:val="2"/>
        <w:adjustRightInd w:val="0"/>
        <w:snapToGrid w:val="0"/>
        <w:spacing w:before="93" w:line="600" w:lineRule="exact"/>
        <w:ind w:firstLine="672" w:firstLineChars="210"/>
        <w:outlineLvl w:val="2"/>
        <w:rPr>
          <w:rFonts w:ascii="Times New Roman" w:eastAsia="仿宋"/>
          <w:bCs/>
          <w:color w:val="000000"/>
          <w:sz w:val="32"/>
          <w:szCs w:val="32"/>
        </w:rPr>
      </w:pPr>
      <w:bookmarkStart w:id="13" w:name="_Toc15377199"/>
      <w:bookmarkStart w:id="14" w:name="_Toc15378446"/>
      <w:r>
        <w:rPr>
          <w:rFonts w:ascii="Times New Roman" w:eastAsia="仿宋"/>
          <w:bCs/>
          <w:color w:val="000000"/>
          <w:sz w:val="32"/>
          <w:szCs w:val="32"/>
        </w:rPr>
        <w:t>（二）2022年重点工作完成情况。</w:t>
      </w:r>
      <w:bookmarkEnd w:id="13"/>
      <w:bookmarkEnd w:id="14"/>
    </w:p>
    <w:p>
      <w:pPr>
        <w:pStyle w:val="2"/>
        <w:adjustRightInd w:val="0"/>
        <w:snapToGrid w:val="0"/>
        <w:spacing w:before="93" w:line="600" w:lineRule="exact"/>
        <w:ind w:firstLine="640" w:firstLineChars="200"/>
        <w:outlineLvl w:val="2"/>
        <w:rPr>
          <w:rFonts w:ascii="Times New Roman" w:eastAsia="仿宋"/>
          <w:bCs/>
          <w:color w:val="000000"/>
          <w:sz w:val="32"/>
          <w:szCs w:val="32"/>
        </w:rPr>
      </w:pPr>
      <w:r>
        <w:rPr>
          <w:rFonts w:hint="eastAsia" w:ascii="仿宋" w:hAnsi="仿宋" w:eastAsia="仿宋"/>
          <w:bCs/>
          <w:color w:val="000000"/>
          <w:sz w:val="32"/>
          <w:szCs w:val="32"/>
        </w:rPr>
        <w:t>广安市第六幼儿园建设项目于2018年12月开工建设，计划2019年12月竣工，期间幼儿园完善园内基础设施设备购置，于2020年9月开园，开设三个班，2022年9月新增3个小班，保证幼儿园正常运转。我园强化队伍建设，提升师资水平：加强师德师风建设，完善教职工岗位考核机制，加强教师培训学习管理。抓好幼儿园安全工作，促进其稳定、和谐地发展；加强信访、维稳等工作；积极开展精神文明建设工作，提高教职工文明素质。我园严格执行招生计划，不违规招生；顺利化解“大班额”，实现均衡发展。</w:t>
      </w:r>
    </w:p>
    <w:p>
      <w:pPr>
        <w:pStyle w:val="4"/>
        <w:rPr>
          <w:rStyle w:val="28"/>
          <w:rFonts w:ascii="Times New Roman" w:hAnsi="Times New Roman" w:cs="Times New Roman"/>
          <w:b w:val="0"/>
          <w:bCs w:val="0"/>
        </w:rPr>
      </w:pPr>
      <w:bookmarkStart w:id="15" w:name="_Toc15396601"/>
      <w:bookmarkStart w:id="16" w:name="_Toc15377200"/>
      <w:r>
        <w:rPr>
          <w:rFonts w:ascii="Times New Roman" w:hAnsi="Times New Roman" w:eastAsia="黑体" w:cs="Times New Roman"/>
          <w:b w:val="0"/>
          <w:color w:val="000000"/>
        </w:rPr>
        <w:t>二、机</w:t>
      </w:r>
      <w:r>
        <w:rPr>
          <w:rStyle w:val="28"/>
          <w:rFonts w:ascii="Times New Roman" w:hAnsi="Times New Roman" w:eastAsia="黑体" w:cs="Times New Roman"/>
          <w:b w:val="0"/>
          <w:bCs w:val="0"/>
        </w:rPr>
        <w:t>构设置</w:t>
      </w:r>
      <w:bookmarkEnd w:id="15"/>
      <w:bookmarkEnd w:id="16"/>
    </w:p>
    <w:p>
      <w:pPr>
        <w:ind w:firstLine="800" w:firstLineChars="250"/>
        <w:rPr>
          <w:rFonts w:ascii="仿宋_GB2312" w:eastAsia="仿宋_GB2312"/>
          <w:sz w:val="32"/>
          <w:szCs w:val="32"/>
        </w:rPr>
      </w:pPr>
      <w:r>
        <w:rPr>
          <w:rFonts w:hint="eastAsia" w:eastAsia="仿宋"/>
          <w:sz w:val="32"/>
          <w:szCs w:val="32"/>
        </w:rPr>
        <w:t>市六幼</w:t>
      </w:r>
      <w:r>
        <w:rPr>
          <w:rFonts w:eastAsia="仿宋"/>
          <w:sz w:val="32"/>
          <w:szCs w:val="32"/>
        </w:rPr>
        <w:t>下属二级单位</w:t>
      </w:r>
      <w:r>
        <w:rPr>
          <w:rFonts w:hint="eastAsia" w:eastAsia="仿宋"/>
          <w:sz w:val="32"/>
          <w:szCs w:val="32"/>
        </w:rPr>
        <w:t>1</w:t>
      </w:r>
      <w:r>
        <w:rPr>
          <w:rFonts w:eastAsia="仿宋"/>
          <w:sz w:val="32"/>
          <w:szCs w:val="32"/>
        </w:rPr>
        <w:t>个，参照公务员法管理的事业单位</w:t>
      </w:r>
      <w:r>
        <w:rPr>
          <w:rFonts w:hint="eastAsia" w:eastAsia="仿宋"/>
          <w:bCs/>
          <w:sz w:val="32"/>
          <w:szCs w:val="32"/>
        </w:rPr>
        <w:t>1</w:t>
      </w:r>
      <w:r>
        <w:rPr>
          <w:rFonts w:eastAsia="仿宋"/>
          <w:sz w:val="32"/>
          <w:szCs w:val="32"/>
        </w:rPr>
        <w:t>个。</w:t>
      </w:r>
      <w:r>
        <w:rPr>
          <w:rFonts w:hint="eastAsia" w:eastAsia="仿宋"/>
          <w:sz w:val="32"/>
          <w:szCs w:val="32"/>
        </w:rPr>
        <w:t>单位内设4个处室，主要包括：</w:t>
      </w:r>
      <w:r>
        <w:rPr>
          <w:rFonts w:hint="eastAsia" w:ascii="仿宋_GB2312" w:eastAsia="仿宋_GB2312"/>
          <w:sz w:val="32"/>
          <w:szCs w:val="32"/>
        </w:rPr>
        <w:t>后勤服务中心、综合办主任、安全保卫管理处等、教师服务中心等。</w:t>
      </w:r>
    </w:p>
    <w:p>
      <w:pPr>
        <w:ind w:firstLine="800" w:firstLineChars="250"/>
        <w:rPr>
          <w:rFonts w:ascii="仿宋_GB2312" w:eastAsia="仿宋_GB2312"/>
          <w:sz w:val="32"/>
          <w:szCs w:val="32"/>
        </w:rPr>
      </w:pPr>
    </w:p>
    <w:p>
      <w:pPr>
        <w:pStyle w:val="3"/>
        <w:ind w:right="440"/>
        <w:jc w:val="right"/>
        <w:rPr>
          <w:rStyle w:val="27"/>
          <w:rFonts w:eastAsia="黑体"/>
          <w:b w:val="0"/>
          <w:bCs w:val="0"/>
        </w:rPr>
      </w:pPr>
      <w:bookmarkStart w:id="17" w:name="_Toc15396602"/>
      <w:bookmarkStart w:id="18" w:name="_Toc15377204"/>
      <w:r>
        <w:rPr>
          <w:rFonts w:eastAsia="黑体"/>
          <w:b w:val="0"/>
          <w:color w:val="000000"/>
        </w:rPr>
        <w:t>第二部分</w:t>
      </w:r>
      <w:r>
        <w:rPr>
          <w:rFonts w:eastAsia="黑体"/>
          <w:color w:val="000000"/>
        </w:rPr>
        <w:t xml:space="preserve"> </w:t>
      </w:r>
      <w:r>
        <w:rPr>
          <w:rStyle w:val="27"/>
          <w:rFonts w:eastAsia="黑体"/>
          <w:b w:val="0"/>
          <w:bCs w:val="0"/>
        </w:rPr>
        <w:t>2022年度部门决算情况说明</w:t>
      </w:r>
      <w:bookmarkEnd w:id="17"/>
      <w:bookmarkEnd w:id="18"/>
    </w:p>
    <w:p/>
    <w:p>
      <w:pPr>
        <w:pStyle w:val="26"/>
        <w:numPr>
          <w:ilvl w:val="0"/>
          <w:numId w:val="1"/>
        </w:numPr>
        <w:spacing w:line="600" w:lineRule="exact"/>
        <w:ind w:firstLineChars="0"/>
        <w:outlineLvl w:val="1"/>
        <w:rPr>
          <w:rStyle w:val="28"/>
          <w:rFonts w:ascii="Times New Roman" w:hAnsi="Times New Roman" w:eastAsia="黑体" w:cs="Times New Roman"/>
          <w:b w:val="0"/>
        </w:rPr>
      </w:pPr>
      <w:bookmarkStart w:id="19" w:name="_Toc15396603"/>
      <w:bookmarkStart w:id="20" w:name="_Toc15377205"/>
      <w:r>
        <w:rPr>
          <w:rFonts w:eastAsia="黑体"/>
          <w:color w:val="000000"/>
          <w:sz w:val="32"/>
          <w:szCs w:val="32"/>
        </w:rPr>
        <w:t>收</w:t>
      </w:r>
      <w:r>
        <w:rPr>
          <w:rStyle w:val="28"/>
          <w:rFonts w:ascii="Times New Roman" w:hAnsi="Times New Roman" w:eastAsia="黑体" w:cs="Times New Roman"/>
          <w:b w:val="0"/>
        </w:rPr>
        <w:t>入支出决算总体情况说明</w:t>
      </w:r>
      <w:bookmarkEnd w:id="19"/>
      <w:bookmarkEnd w:id="20"/>
    </w:p>
    <w:p>
      <w:pPr>
        <w:spacing w:line="576" w:lineRule="exact"/>
        <w:ind w:firstLine="640"/>
        <w:rPr>
          <w:rFonts w:eastAsia="仿宋"/>
          <w:color w:val="000000" w:themeColor="text1"/>
          <w:sz w:val="32"/>
          <w:szCs w:val="32"/>
        </w:rPr>
      </w:pPr>
      <w:r>
        <w:pict>
          <v:group id="_x0000_s1027" o:spid="_x0000_s1027" o:spt="203" style="position:absolute;left:0pt;margin-left:81pt;margin-top:125.7pt;height:212.6pt;width:283.45pt;mso-wrap-distance-bottom:0pt;mso-wrap-distance-top:0pt;z-index:251663360;mso-width-relative:page;mso-height-relative:page;" coordorigin="8340,91" coordsize="5390,4844" o:gfxdata="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">
            <o:lock v:ext="edit"/>
            <v:shape id="图表 1" o:spid="_x0000_s1026" o:spt="75" type="#_x0000_t75" style="position:absolute;left:8333;top:82;height:4861;width:5308;" filled="f" coordsize="21600,21600" o:gfxdata="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iMab4A&#10;AADfAAAADwAAAAAAAAABACAAAAAiAAAAZHJzL2Rvd25yZXYueG1sUEsBAhQAFAAAAAgAh07iQDMv&#10;BZ47AAAAOQAAABAAAAAAAAAAAQAgAAAADQEAAGRycy9zaGFwZXhtbC54bWxQSwUGAAAAAAYABgBb&#10;AQAAtwMAAAAA&#10;">
              <v:path/>
              <v:fill on="f" focussize="0,0"/>
              <v:stroke/>
              <v:imagedata r:id="rId11" o:title=""/>
              <o:lock v:ext="edit" aspectratio="t"/>
            </v:shape>
            <v:shape id="Text Box 3073" o:spid="_x0000_s1028" o:spt="202" type="#_x0000_t202" style="position:absolute;left:12420;top:765;height:298;width:1310;" filled="f" stroked="f" coordsize="21600,21600" o:gfxdata="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aXqq8AAAA&#10;2gAAAA8AAAAAAAAAAQAgAAAAIgAAAGRycy9kb3ducmV2LnhtbFBLAQIUABQAAAAIAIdO4kAzLwWe&#10;OwAAADkAAAAQAAAAAAAAAAEAIAAAAAsBAABkcnMvc2hhcGV4bWwueG1sUEsFBgAAAAAGAAYAWwEA&#10;ALUDAAAAAA==&#10;">
              <v:path/>
              <v:fill on="f" focussize="0,0"/>
              <v:stroke on="f" joinstyle="miter"/>
              <v:imagedata o:title=""/>
              <o:lock v:ext="edit"/>
              <v:textbox inset="0.762mm,0.508mm,0mm,0mm">
                <w:txbxContent>
                  <w:p>
                    <w:pPr>
                      <w:pStyle w:val="13"/>
                      <w:jc w:val="left"/>
                    </w:pPr>
                    <w:r>
                      <w:rPr>
                        <w:rFonts w:ascii="宋体" w:hAnsiTheme="minorBidi"/>
                        <w:color w:val="000000"/>
                        <w:kern w:val="24"/>
                        <w:sz w:val="20"/>
                        <w:szCs w:val="20"/>
                      </w:rPr>
                      <w:t>单位：万元</w:t>
                    </w:r>
                  </w:p>
                </w:txbxContent>
              </v:textbox>
            </v:shape>
            <w10:wrap type="topAndBottom"/>
          </v:group>
        </w:pict>
      </w:r>
      <w:r>
        <w:rPr>
          <w:rFonts w:eastAsia="仿宋"/>
          <w:color w:val="000000"/>
          <w:sz w:val="32"/>
          <w:szCs w:val="32"/>
        </w:rPr>
        <w:t>2022年度收入、支出总计均为</w:t>
      </w:r>
      <w:r>
        <w:rPr>
          <w:rFonts w:hint="eastAsia" w:eastAsia="仿宋"/>
          <w:color w:val="000000"/>
          <w:sz w:val="32"/>
          <w:szCs w:val="32"/>
        </w:rPr>
        <w:t>267.53</w:t>
      </w:r>
      <w:r>
        <w:rPr>
          <w:rFonts w:eastAsia="仿宋"/>
          <w:color w:val="000000"/>
          <w:sz w:val="32"/>
          <w:szCs w:val="32"/>
        </w:rPr>
        <w:t>万元。与2021年相比，收入、支出总计各增加</w:t>
      </w:r>
      <w:r>
        <w:rPr>
          <w:rFonts w:hint="eastAsia" w:eastAsia="仿宋"/>
          <w:color w:val="000000"/>
          <w:sz w:val="32"/>
          <w:szCs w:val="32"/>
        </w:rPr>
        <w:t>46.67</w:t>
      </w:r>
      <w:r>
        <w:rPr>
          <w:rFonts w:eastAsia="仿宋"/>
          <w:color w:val="000000"/>
          <w:sz w:val="32"/>
          <w:szCs w:val="32"/>
        </w:rPr>
        <w:t>万元，增长</w:t>
      </w:r>
      <w:r>
        <w:rPr>
          <w:rFonts w:hint="eastAsia" w:eastAsia="仿宋"/>
          <w:color w:val="000000"/>
          <w:sz w:val="32"/>
          <w:szCs w:val="32"/>
        </w:rPr>
        <w:t>21.1</w:t>
      </w:r>
      <w:r>
        <w:rPr>
          <w:rFonts w:eastAsia="仿宋"/>
          <w:color w:val="000000"/>
          <w:sz w:val="32"/>
          <w:szCs w:val="32"/>
        </w:rPr>
        <w:t>%。</w:t>
      </w:r>
      <w:r>
        <w:rPr>
          <w:rFonts w:hint="eastAsia" w:ascii="仿宋_GB2312" w:hAnsi="仿宋_GB2312" w:eastAsia="仿宋_GB2312"/>
          <w:color w:val="000000"/>
          <w:sz w:val="32"/>
          <w:lang w:val="zh-CN"/>
        </w:rPr>
        <w:t>主要变动原因是</w:t>
      </w:r>
      <w:r>
        <w:rPr>
          <w:rFonts w:hint="eastAsia" w:ascii="仿宋_GB2312" w:hAnsi="仿宋_GB2312" w:eastAsia="仿宋_GB2312"/>
          <w:color w:val="000000"/>
          <w:sz w:val="32"/>
        </w:rPr>
        <w:t>2022 年9月新增班级、教师，为了能顺利开展教育教学活动，购置幼儿桌椅床铺、教师办公桌椅各一批</w:t>
      </w:r>
      <w:r>
        <w:rPr>
          <w:rFonts w:hint="eastAsia" w:ascii="仿宋_GB2312" w:hAnsi="仿宋_GB2312" w:eastAsia="仿宋_GB2312"/>
          <w:color w:val="000000"/>
          <w:sz w:val="32"/>
          <w:lang w:val="zh-CN"/>
        </w:rPr>
        <w:t>。</w:t>
      </w:r>
    </w:p>
    <w:p>
      <w:pPr>
        <w:spacing w:line="600" w:lineRule="exact"/>
        <w:ind w:firstLine="640" w:firstLineChars="200"/>
        <w:jc w:val="center"/>
        <w:rPr>
          <w:rFonts w:eastAsia="仿宋_GB2312"/>
          <w:color w:val="000000"/>
          <w:sz w:val="32"/>
          <w:szCs w:val="32"/>
        </w:rPr>
      </w:pPr>
      <w:r>
        <w:rPr>
          <w:rFonts w:eastAsia="仿宋"/>
          <w:color w:val="000000" w:themeColor="text1"/>
          <w:sz w:val="32"/>
          <w:szCs w:val="32"/>
        </w:rPr>
        <w:t>（图1：收、支决算总计变动情况图）</w:t>
      </w:r>
    </w:p>
    <w:p>
      <w:pPr>
        <w:pStyle w:val="26"/>
        <w:numPr>
          <w:ilvl w:val="0"/>
          <w:numId w:val="1"/>
        </w:numPr>
        <w:spacing w:line="600" w:lineRule="exact"/>
        <w:ind w:firstLineChars="0"/>
        <w:outlineLvl w:val="1"/>
        <w:rPr>
          <w:rStyle w:val="28"/>
          <w:rFonts w:ascii="Times New Roman" w:hAnsi="Times New Roman" w:eastAsia="黑体" w:cs="Times New Roman"/>
          <w:b w:val="0"/>
        </w:rPr>
      </w:pPr>
      <w:bookmarkStart w:id="21" w:name="_Toc15377206"/>
      <w:bookmarkStart w:id="22" w:name="_Toc15396604"/>
      <w:r>
        <w:rPr>
          <w:rFonts w:eastAsia="黑体"/>
          <w:color w:val="000000"/>
          <w:sz w:val="32"/>
          <w:szCs w:val="32"/>
        </w:rPr>
        <w:t>收</w:t>
      </w:r>
      <w:r>
        <w:rPr>
          <w:rStyle w:val="28"/>
          <w:rFonts w:ascii="Times New Roman" w:hAnsi="Times New Roman" w:eastAsia="黑体" w:cs="Times New Roman"/>
          <w:b w:val="0"/>
        </w:rPr>
        <w:t>入决算情况说明</w:t>
      </w:r>
      <w:bookmarkEnd w:id="21"/>
      <w:bookmarkEnd w:id="22"/>
    </w:p>
    <w:p>
      <w:pPr>
        <w:spacing w:line="600" w:lineRule="exact"/>
        <w:ind w:firstLine="640" w:firstLineChars="200"/>
        <w:outlineLvl w:val="1"/>
      </w:pPr>
      <w:r>
        <w:rPr>
          <w:rFonts w:eastAsia="仿宋"/>
          <w:color w:val="000000"/>
          <w:sz w:val="32"/>
          <w:szCs w:val="32"/>
        </w:rPr>
        <w:t>2022年本年收入合计</w:t>
      </w:r>
      <w:r>
        <w:rPr>
          <w:rFonts w:hint="eastAsia" w:eastAsia="仿宋"/>
          <w:color w:val="000000"/>
          <w:sz w:val="32"/>
          <w:szCs w:val="32"/>
        </w:rPr>
        <w:t>267.53</w:t>
      </w:r>
      <w:r>
        <w:rPr>
          <w:rFonts w:eastAsia="仿宋"/>
          <w:color w:val="000000"/>
          <w:sz w:val="32"/>
          <w:szCs w:val="32"/>
        </w:rPr>
        <w:t>万元，其中：一般公共预算财政拨款收入</w:t>
      </w:r>
      <w:r>
        <w:rPr>
          <w:rFonts w:hint="eastAsia" w:eastAsia="仿宋"/>
          <w:color w:val="000000"/>
          <w:sz w:val="32"/>
          <w:szCs w:val="32"/>
        </w:rPr>
        <w:t>267.53</w:t>
      </w:r>
      <w:r>
        <w:rPr>
          <w:rFonts w:eastAsia="仿宋"/>
          <w:color w:val="000000"/>
          <w:sz w:val="32"/>
          <w:szCs w:val="32"/>
        </w:rPr>
        <w:t>万元，占</w:t>
      </w:r>
      <w:r>
        <w:rPr>
          <w:rFonts w:hint="eastAsia" w:eastAsia="仿宋"/>
          <w:color w:val="000000"/>
          <w:sz w:val="32"/>
          <w:szCs w:val="32"/>
        </w:rPr>
        <w:t>100</w:t>
      </w:r>
      <w:r>
        <w:rPr>
          <w:rFonts w:eastAsia="仿宋"/>
          <w:color w:val="000000"/>
          <w:sz w:val="32"/>
          <w:szCs w:val="32"/>
        </w:rPr>
        <w:t>%</w:t>
      </w:r>
      <w:r>
        <w:rPr>
          <w:rFonts w:hint="eastAsia" w:eastAsia="仿宋"/>
          <w:color w:val="000000"/>
          <w:sz w:val="32"/>
          <w:szCs w:val="32"/>
        </w:rPr>
        <w:t>。</w:t>
      </w:r>
    </w:p>
    <w:p>
      <w:pPr>
        <w:spacing w:line="600" w:lineRule="exact"/>
        <w:ind w:firstLine="420" w:firstLineChars="200"/>
        <w:jc w:val="center"/>
        <w:rPr>
          <w:rFonts w:eastAsia="仿宋_GB2312"/>
          <w:color w:val="FF0000"/>
          <w:sz w:val="32"/>
          <w:szCs w:val="32"/>
        </w:rPr>
      </w:pPr>
      <w:r>
        <w:drawing>
          <wp:anchor distT="0" distB="0" distL="114300" distR="114300" simplePos="0" relativeHeight="251660288" behindDoc="0" locked="0" layoutInCell="1" allowOverlap="1">
            <wp:simplePos x="0" y="0"/>
            <wp:positionH relativeFrom="column">
              <wp:posOffset>719455</wp:posOffset>
            </wp:positionH>
            <wp:positionV relativeFrom="paragraph">
              <wp:posOffset>187960</wp:posOffset>
            </wp:positionV>
            <wp:extent cx="4319905" cy="2339975"/>
            <wp:effectExtent l="4445" t="4445" r="19050" b="17780"/>
            <wp:wrapTopAndBottom/>
            <wp:docPr id="13987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
          <w:color w:val="000000" w:themeColor="text1"/>
          <w:sz w:val="32"/>
          <w:szCs w:val="32"/>
        </w:rPr>
        <w:t>（图2：收入决算结构图）</w:t>
      </w:r>
    </w:p>
    <w:p>
      <w:pPr>
        <w:pStyle w:val="26"/>
        <w:numPr>
          <w:ilvl w:val="0"/>
          <w:numId w:val="1"/>
        </w:numPr>
        <w:spacing w:line="600" w:lineRule="exact"/>
        <w:ind w:firstLineChars="0"/>
        <w:outlineLvl w:val="1"/>
        <w:rPr>
          <w:rStyle w:val="28"/>
          <w:rFonts w:ascii="Times New Roman" w:hAnsi="Times New Roman" w:eastAsia="黑体" w:cs="Times New Roman"/>
          <w:b w:val="0"/>
        </w:rPr>
      </w:pPr>
      <w:bookmarkStart w:id="23" w:name="_Toc15396605"/>
      <w:bookmarkStart w:id="24" w:name="_Toc15377207"/>
      <w:r>
        <w:rPr>
          <w:rFonts w:eastAsia="黑体"/>
          <w:color w:val="000000"/>
          <w:sz w:val="32"/>
          <w:szCs w:val="32"/>
        </w:rPr>
        <w:t>支</w:t>
      </w:r>
      <w:r>
        <w:rPr>
          <w:rStyle w:val="28"/>
          <w:rFonts w:ascii="Times New Roman" w:hAnsi="Times New Roman" w:eastAsia="黑体" w:cs="Times New Roman"/>
          <w:b w:val="0"/>
        </w:rPr>
        <w:t>出决算情况说明</w:t>
      </w:r>
      <w:bookmarkEnd w:id="23"/>
      <w:bookmarkEnd w:id="24"/>
    </w:p>
    <w:p>
      <w:pPr>
        <w:spacing w:line="600" w:lineRule="exact"/>
        <w:ind w:firstLine="640" w:firstLineChars="200"/>
        <w:outlineLvl w:val="1"/>
        <w:rPr>
          <w:rFonts w:eastAsia="仿宋"/>
          <w:color w:val="000000"/>
          <w:sz w:val="32"/>
          <w:szCs w:val="32"/>
          <w:shd w:val="pct10" w:color="auto" w:fill="FFFFFF"/>
        </w:rPr>
      </w:pPr>
      <w:r>
        <w:rPr>
          <w:rFonts w:eastAsia="仿宋"/>
          <w:color w:val="000000"/>
          <w:sz w:val="32"/>
          <w:szCs w:val="32"/>
        </w:rPr>
        <w:t>2022年本年支出合计</w:t>
      </w:r>
      <w:r>
        <w:rPr>
          <w:rFonts w:hint="eastAsia" w:eastAsia="仿宋"/>
          <w:color w:val="000000"/>
          <w:sz w:val="32"/>
          <w:szCs w:val="32"/>
        </w:rPr>
        <w:t>267.53</w:t>
      </w:r>
      <w:r>
        <w:rPr>
          <w:rFonts w:eastAsia="仿宋"/>
          <w:color w:val="000000"/>
          <w:sz w:val="32"/>
          <w:szCs w:val="32"/>
        </w:rPr>
        <w:t>万元，其中：基本支出</w:t>
      </w:r>
      <w:r>
        <w:rPr>
          <w:rFonts w:hint="eastAsia" w:eastAsia="仿宋"/>
          <w:color w:val="000000"/>
          <w:sz w:val="32"/>
          <w:szCs w:val="32"/>
        </w:rPr>
        <w:t>50.33</w:t>
      </w:r>
      <w:r>
        <w:rPr>
          <w:rFonts w:eastAsia="仿宋"/>
          <w:color w:val="000000"/>
          <w:sz w:val="32"/>
          <w:szCs w:val="32"/>
        </w:rPr>
        <w:t>万元，占</w:t>
      </w:r>
      <w:r>
        <w:rPr>
          <w:rFonts w:hint="eastAsia" w:eastAsia="仿宋"/>
          <w:color w:val="000000"/>
          <w:sz w:val="32"/>
          <w:szCs w:val="32"/>
        </w:rPr>
        <w:t>18.8</w:t>
      </w:r>
      <w:r>
        <w:rPr>
          <w:rFonts w:eastAsia="仿宋"/>
          <w:color w:val="000000"/>
          <w:sz w:val="32"/>
          <w:szCs w:val="32"/>
        </w:rPr>
        <w:t>%；项目支出</w:t>
      </w:r>
      <w:r>
        <w:rPr>
          <w:rFonts w:hint="eastAsia" w:eastAsia="仿宋"/>
          <w:color w:val="000000"/>
          <w:sz w:val="32"/>
          <w:szCs w:val="32"/>
        </w:rPr>
        <w:t>217.21</w:t>
      </w:r>
      <w:r>
        <w:rPr>
          <w:rFonts w:eastAsia="仿宋"/>
          <w:color w:val="000000"/>
          <w:sz w:val="32"/>
          <w:szCs w:val="32"/>
        </w:rPr>
        <w:t>万元，占</w:t>
      </w:r>
      <w:r>
        <w:rPr>
          <w:rFonts w:hint="eastAsia" w:eastAsia="仿宋"/>
          <w:color w:val="000000"/>
          <w:sz w:val="32"/>
          <w:szCs w:val="32"/>
        </w:rPr>
        <w:t>81.2</w:t>
      </w:r>
      <w:r>
        <w:rPr>
          <w:rFonts w:eastAsia="仿宋"/>
          <w:color w:val="000000"/>
          <w:sz w:val="32"/>
          <w:szCs w:val="32"/>
        </w:rPr>
        <w:t>%。</w:t>
      </w:r>
    </w:p>
    <w:p>
      <w:pPr>
        <w:spacing w:line="600" w:lineRule="exact"/>
        <w:ind w:firstLine="420" w:firstLineChars="200"/>
        <w:jc w:val="center"/>
        <w:rPr>
          <w:rFonts w:eastAsia="仿宋_GB2312"/>
          <w:color w:val="FF0000"/>
          <w:sz w:val="32"/>
          <w:szCs w:val="32"/>
        </w:rPr>
      </w:pPr>
      <w:r>
        <w:drawing>
          <wp:anchor distT="0" distB="0" distL="114300" distR="114300" simplePos="0" relativeHeight="251661312" behindDoc="0" locked="0" layoutInCell="1" allowOverlap="1">
            <wp:simplePos x="0" y="0"/>
            <wp:positionH relativeFrom="column">
              <wp:posOffset>902970</wp:posOffset>
            </wp:positionH>
            <wp:positionV relativeFrom="paragraph">
              <wp:posOffset>147320</wp:posOffset>
            </wp:positionV>
            <wp:extent cx="3959860" cy="2339975"/>
            <wp:effectExtent l="4445" t="4445" r="13335" b="17780"/>
            <wp:wrapTopAndBottom/>
            <wp:docPr id="13987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
          <w:color w:val="000000" w:themeColor="text1"/>
          <w:sz w:val="32"/>
          <w:szCs w:val="32"/>
        </w:rPr>
        <w:t>（图3：支出决算结构图）</w:t>
      </w:r>
    </w:p>
    <w:p>
      <w:pPr>
        <w:spacing w:line="600" w:lineRule="exact"/>
        <w:ind w:firstLine="640" w:firstLineChars="200"/>
        <w:outlineLvl w:val="1"/>
        <w:rPr>
          <w:rStyle w:val="28"/>
          <w:rFonts w:ascii="Times New Roman" w:hAnsi="Times New Roman" w:eastAsia="黑体" w:cs="Times New Roman"/>
          <w:b w:val="0"/>
        </w:rPr>
      </w:pPr>
      <w:bookmarkStart w:id="25" w:name="_Toc15396606"/>
      <w:bookmarkStart w:id="26" w:name="_Toc15377208"/>
      <w:r>
        <w:rPr>
          <w:rFonts w:eastAsia="黑体"/>
          <w:color w:val="000000"/>
          <w:sz w:val="32"/>
          <w:szCs w:val="32"/>
        </w:rPr>
        <w:t>四、财</w:t>
      </w:r>
      <w:r>
        <w:rPr>
          <w:rStyle w:val="28"/>
          <w:rFonts w:ascii="Times New Roman" w:hAnsi="Times New Roman" w:eastAsia="黑体" w:cs="Times New Roman"/>
          <w:b w:val="0"/>
        </w:rPr>
        <w:t>政拨款收入支出决算总体情况说明</w:t>
      </w:r>
      <w:bookmarkEnd w:id="25"/>
      <w:bookmarkEnd w:id="26"/>
    </w:p>
    <w:p>
      <w:pPr>
        <w:spacing w:line="576" w:lineRule="exact"/>
        <w:ind w:firstLine="640"/>
        <w:rPr>
          <w:rFonts w:eastAsia="仿宋"/>
          <w:color w:val="000000"/>
          <w:sz w:val="32"/>
          <w:szCs w:val="32"/>
        </w:rPr>
      </w:pPr>
      <w:r>
        <w:rPr>
          <w:rFonts w:eastAsia="仿宋"/>
          <w:color w:val="000000"/>
          <w:sz w:val="32"/>
          <w:szCs w:val="32"/>
        </w:rPr>
        <w:t>2022年财政拨款收入、支出总计</w:t>
      </w:r>
      <w:r>
        <w:rPr>
          <w:rFonts w:hint="eastAsia" w:eastAsia="仿宋"/>
          <w:color w:val="000000"/>
          <w:sz w:val="32"/>
          <w:szCs w:val="32"/>
        </w:rPr>
        <w:t>267.53</w:t>
      </w:r>
      <w:r>
        <w:rPr>
          <w:rFonts w:eastAsia="仿宋"/>
          <w:color w:val="000000"/>
          <w:sz w:val="32"/>
          <w:szCs w:val="32"/>
        </w:rPr>
        <w:t>万元。与2021年相比，财政拨款收入、支出总计各增加</w:t>
      </w:r>
      <w:r>
        <w:rPr>
          <w:rFonts w:hint="eastAsia" w:eastAsia="仿宋"/>
          <w:color w:val="000000"/>
          <w:sz w:val="32"/>
          <w:szCs w:val="32"/>
        </w:rPr>
        <w:t>46.67</w:t>
      </w:r>
      <w:r>
        <w:rPr>
          <w:rFonts w:eastAsia="仿宋"/>
          <w:color w:val="000000"/>
          <w:sz w:val="32"/>
          <w:szCs w:val="32"/>
        </w:rPr>
        <w:t>万元，增长</w:t>
      </w:r>
      <w:r>
        <w:rPr>
          <w:rFonts w:hint="eastAsia" w:eastAsia="仿宋"/>
          <w:color w:val="000000"/>
          <w:sz w:val="32"/>
          <w:szCs w:val="32"/>
        </w:rPr>
        <w:t>21.1</w:t>
      </w:r>
      <w:r>
        <w:rPr>
          <w:rFonts w:eastAsia="仿宋"/>
          <w:color w:val="000000"/>
          <w:sz w:val="32"/>
          <w:szCs w:val="32"/>
        </w:rPr>
        <w:t>%。</w:t>
      </w:r>
      <w:r>
        <w:rPr>
          <w:rFonts w:hint="eastAsia" w:ascii="仿宋_GB2312" w:hAnsi="仿宋_GB2312" w:eastAsia="仿宋_GB2312"/>
          <w:color w:val="000000"/>
          <w:sz w:val="32"/>
          <w:lang w:val="zh-CN"/>
        </w:rPr>
        <w:t>主要变动原因是</w:t>
      </w:r>
      <w:r>
        <w:rPr>
          <w:rFonts w:hint="eastAsia" w:eastAsia="仿宋"/>
          <w:color w:val="000000"/>
          <w:sz w:val="32"/>
          <w:szCs w:val="32"/>
        </w:rPr>
        <w:t xml:space="preserve">2022 </w:t>
      </w:r>
      <w:r>
        <w:rPr>
          <w:rFonts w:hint="eastAsia" w:ascii="仿宋_GB2312" w:hAnsi="仿宋_GB2312" w:eastAsia="仿宋_GB2312"/>
          <w:color w:val="000000"/>
          <w:sz w:val="32"/>
        </w:rPr>
        <w:t>年9月新增班级、教师，为了能顺利开展教育教学活动，购置幼儿桌椅床铺、教师办公桌椅各一批</w:t>
      </w:r>
      <w:r>
        <w:rPr>
          <w:rFonts w:hint="eastAsia" w:ascii="仿宋_GB2312" w:hAnsi="仿宋_GB2312" w:eastAsia="仿宋_GB2312"/>
          <w:color w:val="000000"/>
          <w:sz w:val="32"/>
          <w:lang w:val="zh-CN"/>
        </w:rPr>
        <w:t>。</w:t>
      </w:r>
    </w:p>
    <w:p>
      <w:pPr>
        <w:spacing w:line="600" w:lineRule="exact"/>
        <w:ind w:firstLine="420" w:firstLineChars="200"/>
        <w:jc w:val="center"/>
        <w:rPr>
          <w:rFonts w:eastAsia="仿宋"/>
          <w:b/>
          <w:color w:val="00B050"/>
          <w:sz w:val="32"/>
          <w:szCs w:val="32"/>
        </w:rPr>
      </w:pPr>
      <w:r>
        <w:drawing>
          <wp:anchor distT="0" distB="0" distL="114300" distR="114300" simplePos="0" relativeHeight="251662336" behindDoc="0" locked="0" layoutInCell="1" allowOverlap="1">
            <wp:simplePos x="0" y="0"/>
            <wp:positionH relativeFrom="column">
              <wp:posOffset>935355</wp:posOffset>
            </wp:positionH>
            <wp:positionV relativeFrom="paragraph">
              <wp:posOffset>172720</wp:posOffset>
            </wp:positionV>
            <wp:extent cx="3599815" cy="2303780"/>
            <wp:effectExtent l="5080" t="4445" r="6985" b="8255"/>
            <wp:wrapTopAndBottom/>
            <wp:docPr id="13988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仿宋"/>
          <w:color w:val="000000" w:themeColor="text1"/>
          <w:sz w:val="32"/>
          <w:szCs w:val="32"/>
        </w:rPr>
        <w:t>（图4：财政拨款收、支决算总计变动情况）</w:t>
      </w:r>
    </w:p>
    <w:p>
      <w:pPr>
        <w:spacing w:line="600" w:lineRule="exact"/>
        <w:ind w:firstLine="640" w:firstLineChars="200"/>
        <w:outlineLvl w:val="1"/>
        <w:rPr>
          <w:rStyle w:val="28"/>
          <w:rFonts w:ascii="Times New Roman" w:hAnsi="Times New Roman" w:eastAsia="黑体" w:cs="Times New Roman"/>
          <w:b w:val="0"/>
        </w:rPr>
      </w:pPr>
      <w:bookmarkStart w:id="27" w:name="_Toc15377209"/>
      <w:bookmarkStart w:id="28" w:name="_Toc15396607"/>
      <w:r>
        <w:rPr>
          <w:rFonts w:eastAsia="黑体"/>
          <w:color w:val="000000"/>
          <w:sz w:val="32"/>
          <w:szCs w:val="32"/>
        </w:rPr>
        <w:t>五、</w:t>
      </w:r>
      <w:r>
        <w:rPr>
          <w:rFonts w:eastAsia="黑体"/>
          <w:b/>
          <w:color w:val="000000"/>
          <w:sz w:val="32"/>
          <w:szCs w:val="32"/>
        </w:rPr>
        <w:t>一</w:t>
      </w:r>
      <w:r>
        <w:rPr>
          <w:rStyle w:val="28"/>
          <w:rFonts w:ascii="Times New Roman" w:hAnsi="Times New Roman" w:eastAsia="黑体" w:cs="Times New Roman"/>
          <w:b w:val="0"/>
        </w:rPr>
        <w:t>般公共预算财政拨款支出决算情况说明</w:t>
      </w:r>
      <w:bookmarkEnd w:id="27"/>
      <w:bookmarkEnd w:id="28"/>
    </w:p>
    <w:p>
      <w:pPr>
        <w:spacing w:line="600" w:lineRule="exact"/>
        <w:ind w:firstLine="643" w:firstLineChars="200"/>
        <w:outlineLvl w:val="2"/>
        <w:rPr>
          <w:rFonts w:eastAsia="仿宋"/>
          <w:b/>
          <w:color w:val="000000"/>
          <w:sz w:val="32"/>
          <w:szCs w:val="32"/>
        </w:rPr>
      </w:pPr>
      <w:bookmarkStart w:id="29" w:name="_Toc15377210"/>
      <w:r>
        <w:rPr>
          <w:rFonts w:eastAsia="仿宋"/>
          <w:b/>
          <w:color w:val="000000"/>
          <w:sz w:val="32"/>
          <w:szCs w:val="32"/>
        </w:rPr>
        <w:t>（一）一般公共预算财政拨款支出决算总体情况</w:t>
      </w:r>
      <w:bookmarkEnd w:id="29"/>
    </w:p>
    <w:p>
      <w:pPr>
        <w:spacing w:line="576" w:lineRule="exact"/>
        <w:ind w:firstLine="640"/>
        <w:rPr>
          <w:rFonts w:hint="eastAsia" w:eastAsia="仿宋"/>
          <w:color w:val="000000"/>
          <w:sz w:val="32"/>
          <w:szCs w:val="32"/>
        </w:rPr>
      </w:pPr>
      <w:r>
        <w:rPr>
          <w:rFonts w:eastAsia="仿宋"/>
          <w:color w:val="000000"/>
          <w:sz w:val="32"/>
          <w:szCs w:val="32"/>
        </w:rPr>
        <w:t>2022年一般公共预算财政拨款支出</w:t>
      </w:r>
      <w:r>
        <w:rPr>
          <w:rFonts w:hint="eastAsia" w:eastAsia="仿宋"/>
          <w:color w:val="000000"/>
          <w:sz w:val="32"/>
          <w:szCs w:val="32"/>
        </w:rPr>
        <w:t>267.53</w:t>
      </w:r>
      <w:r>
        <w:rPr>
          <w:rFonts w:eastAsia="仿宋"/>
          <w:color w:val="000000"/>
          <w:sz w:val="32"/>
          <w:szCs w:val="32"/>
        </w:rPr>
        <w:t>万元，占本年支出合计的</w:t>
      </w:r>
      <w:r>
        <w:rPr>
          <w:rFonts w:hint="eastAsia" w:eastAsia="仿宋"/>
          <w:color w:val="000000"/>
          <w:sz w:val="32"/>
          <w:szCs w:val="32"/>
        </w:rPr>
        <w:t>100</w:t>
      </w:r>
      <w:r>
        <w:rPr>
          <w:rFonts w:eastAsia="仿宋"/>
          <w:color w:val="000000"/>
          <w:sz w:val="32"/>
          <w:szCs w:val="32"/>
        </w:rPr>
        <w:t>%。与2021年相比，一般公共预算财政拨款支出增加</w:t>
      </w:r>
      <w:r>
        <w:rPr>
          <w:rFonts w:hint="eastAsia" w:eastAsia="仿宋"/>
          <w:color w:val="000000"/>
          <w:sz w:val="32"/>
          <w:szCs w:val="32"/>
        </w:rPr>
        <w:t>46.67</w:t>
      </w:r>
      <w:r>
        <w:rPr>
          <w:rFonts w:eastAsia="仿宋"/>
          <w:color w:val="000000"/>
          <w:sz w:val="32"/>
          <w:szCs w:val="32"/>
        </w:rPr>
        <w:t>万元，增长</w:t>
      </w:r>
      <w:r>
        <w:rPr>
          <w:rFonts w:hint="eastAsia" w:eastAsia="仿宋"/>
          <w:color w:val="000000"/>
          <w:sz w:val="32"/>
          <w:szCs w:val="32"/>
        </w:rPr>
        <w:t>21.1</w:t>
      </w:r>
      <w:r>
        <w:rPr>
          <w:rFonts w:eastAsia="仿宋"/>
          <w:color w:val="000000"/>
          <w:sz w:val="32"/>
          <w:szCs w:val="32"/>
        </w:rPr>
        <w:t>%。</w:t>
      </w:r>
      <w:r>
        <w:rPr>
          <w:rFonts w:hint="eastAsia" w:ascii="仿宋_GB2312" w:hAnsi="仿宋_GB2312" w:eastAsia="仿宋_GB2312"/>
          <w:color w:val="000000"/>
          <w:sz w:val="32"/>
          <w:lang w:val="zh-CN"/>
        </w:rPr>
        <w:t>主要变动原因是</w:t>
      </w:r>
      <w:r>
        <w:rPr>
          <w:rFonts w:hint="eastAsia" w:ascii="仿宋_GB2312" w:hAnsi="仿宋_GB2312" w:eastAsia="仿宋_GB2312"/>
          <w:color w:val="000000"/>
          <w:sz w:val="32"/>
        </w:rPr>
        <w:t>2022 年9月新增班级、教师，为了能顺利开展教育教学活动，购置幼儿桌椅床铺、教师办公桌椅各一批</w:t>
      </w:r>
      <w:r>
        <w:rPr>
          <w:rFonts w:hint="eastAsia" w:ascii="仿宋_GB2312" w:hAnsi="仿宋_GB2312" w:eastAsia="仿宋_GB2312"/>
          <w:color w:val="000000"/>
          <w:sz w:val="32"/>
          <w:lang w:val="zh-CN"/>
        </w:rPr>
        <w:t>。</w:t>
      </w:r>
    </w:p>
    <w:p>
      <w:pPr>
        <w:pStyle w:val="14"/>
        <w:ind w:left="0" w:leftChars="0" w:firstLine="0" w:firstLineChars="0"/>
        <w:jc w:val="center"/>
        <w:rPr>
          <w:rFonts w:hint="eastAsia"/>
        </w:rPr>
      </w:pPr>
      <w:r>
        <w:drawing>
          <wp:inline distT="0" distB="0" distL="0" distR="0">
            <wp:extent cx="3638550" cy="230505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rPr>
          <w:rFonts w:eastAsia="仿宋"/>
          <w:color w:val="000000" w:themeColor="text1"/>
          <w:sz w:val="32"/>
          <w:szCs w:val="32"/>
        </w:rPr>
      </w:pPr>
      <w:r>
        <w:rPr>
          <w:rFonts w:eastAsia="仿宋"/>
          <w:color w:val="000000" w:themeColor="text1"/>
          <w:sz w:val="32"/>
          <w:szCs w:val="32"/>
        </w:rPr>
        <w:t>（图5：一般公共预算财政拨款支出决算变动情况）</w:t>
      </w:r>
    </w:p>
    <w:p>
      <w:pPr>
        <w:spacing w:line="600" w:lineRule="exact"/>
        <w:ind w:firstLine="643" w:firstLineChars="200"/>
        <w:outlineLvl w:val="2"/>
        <w:rPr>
          <w:rFonts w:eastAsia="仿宋"/>
          <w:b/>
          <w:color w:val="000000"/>
          <w:sz w:val="32"/>
          <w:szCs w:val="32"/>
        </w:rPr>
      </w:pPr>
      <w:bookmarkStart w:id="30" w:name="_Toc15377211"/>
      <w:r>
        <w:rPr>
          <w:rFonts w:eastAsia="仿宋"/>
          <w:b/>
          <w:color w:val="000000"/>
          <w:sz w:val="32"/>
          <w:szCs w:val="32"/>
        </w:rPr>
        <w:t>（二）一般公共预算财政拨款支出决算结构情况</w:t>
      </w:r>
      <w:bookmarkEnd w:id="30"/>
    </w:p>
    <w:p>
      <w:pPr>
        <w:spacing w:line="600" w:lineRule="exact"/>
        <w:ind w:firstLine="640"/>
        <w:rPr>
          <w:rFonts w:eastAsia="仿宋"/>
          <w:color w:val="000000" w:themeColor="text1"/>
          <w:sz w:val="32"/>
          <w:szCs w:val="32"/>
        </w:rPr>
      </w:pPr>
      <w:r>
        <w:rPr>
          <w:rFonts w:eastAsia="仿宋"/>
          <w:color w:val="000000"/>
          <w:sz w:val="32"/>
          <w:szCs w:val="32"/>
        </w:rPr>
        <w:t>2022年一般公共预算财</w:t>
      </w:r>
      <w:r>
        <w:rPr>
          <w:rFonts w:eastAsia="仿宋"/>
          <w:color w:val="000000" w:themeColor="text1"/>
          <w:sz w:val="32"/>
          <w:szCs w:val="32"/>
        </w:rPr>
        <w:t>政拨款支出</w:t>
      </w:r>
      <w:r>
        <w:rPr>
          <w:rFonts w:hint="eastAsia" w:eastAsia="仿宋"/>
          <w:color w:val="000000" w:themeColor="text1"/>
          <w:sz w:val="32"/>
          <w:szCs w:val="32"/>
        </w:rPr>
        <w:t>267.53</w:t>
      </w:r>
      <w:r>
        <w:rPr>
          <w:rFonts w:eastAsia="仿宋"/>
          <w:color w:val="000000" w:themeColor="text1"/>
          <w:sz w:val="32"/>
          <w:szCs w:val="32"/>
        </w:rPr>
        <w:t>万元，主要用于以下方面:</w:t>
      </w:r>
      <w:r>
        <w:rPr>
          <w:rFonts w:eastAsia="仿宋"/>
          <w:b/>
          <w:color w:val="000000" w:themeColor="text1"/>
          <w:sz w:val="32"/>
          <w:szCs w:val="32"/>
        </w:rPr>
        <w:t>教育支出</w:t>
      </w:r>
      <w:r>
        <w:rPr>
          <w:rFonts w:hint="eastAsia" w:eastAsia="仿宋"/>
          <w:color w:val="000000" w:themeColor="text1"/>
          <w:sz w:val="32"/>
          <w:szCs w:val="32"/>
        </w:rPr>
        <w:t>263.81</w:t>
      </w:r>
      <w:r>
        <w:rPr>
          <w:rFonts w:eastAsia="仿宋"/>
          <w:color w:val="000000" w:themeColor="text1"/>
          <w:sz w:val="32"/>
          <w:szCs w:val="32"/>
        </w:rPr>
        <w:t>万元，占</w:t>
      </w:r>
      <w:r>
        <w:rPr>
          <w:rFonts w:hint="eastAsia" w:eastAsia="仿宋"/>
          <w:color w:val="000000" w:themeColor="text1"/>
          <w:sz w:val="32"/>
          <w:szCs w:val="32"/>
        </w:rPr>
        <w:t>98.6</w:t>
      </w:r>
      <w:r>
        <w:rPr>
          <w:rFonts w:eastAsia="仿宋"/>
          <w:color w:val="000000" w:themeColor="text1"/>
          <w:sz w:val="32"/>
          <w:szCs w:val="32"/>
        </w:rPr>
        <w:t>%；</w:t>
      </w:r>
      <w:r>
        <w:rPr>
          <w:rFonts w:eastAsia="仿宋"/>
          <w:b/>
          <w:color w:val="000000" w:themeColor="text1"/>
          <w:sz w:val="32"/>
          <w:szCs w:val="32"/>
        </w:rPr>
        <w:t>社会保障和就业</w:t>
      </w:r>
      <w:r>
        <w:rPr>
          <w:rFonts w:eastAsia="仿宋"/>
          <w:b/>
          <w:bCs/>
          <w:color w:val="000000" w:themeColor="text1"/>
          <w:sz w:val="32"/>
          <w:szCs w:val="32"/>
        </w:rPr>
        <w:t>支出</w:t>
      </w:r>
      <w:r>
        <w:rPr>
          <w:rFonts w:hint="eastAsia" w:eastAsia="仿宋"/>
          <w:color w:val="000000" w:themeColor="text1"/>
          <w:sz w:val="32"/>
          <w:szCs w:val="32"/>
        </w:rPr>
        <w:t>2.45</w:t>
      </w:r>
      <w:r>
        <w:rPr>
          <w:rFonts w:eastAsia="仿宋"/>
          <w:color w:val="000000" w:themeColor="text1"/>
          <w:sz w:val="32"/>
          <w:szCs w:val="32"/>
        </w:rPr>
        <w:t>万元，占</w:t>
      </w:r>
      <w:r>
        <w:rPr>
          <w:rFonts w:hint="eastAsia" w:eastAsia="仿宋"/>
          <w:color w:val="000000" w:themeColor="text1"/>
          <w:sz w:val="32"/>
          <w:szCs w:val="32"/>
        </w:rPr>
        <w:t>0.9</w:t>
      </w:r>
      <w:r>
        <w:rPr>
          <w:rFonts w:eastAsia="仿宋"/>
          <w:color w:val="000000" w:themeColor="text1"/>
          <w:sz w:val="32"/>
          <w:szCs w:val="32"/>
        </w:rPr>
        <w:t>%；</w:t>
      </w:r>
      <w:r>
        <w:rPr>
          <w:rFonts w:eastAsia="仿宋"/>
          <w:b/>
          <w:bCs/>
          <w:color w:val="000000" w:themeColor="text1"/>
          <w:sz w:val="32"/>
          <w:szCs w:val="32"/>
        </w:rPr>
        <w:t>卫生健康支出</w:t>
      </w:r>
      <w:r>
        <w:rPr>
          <w:rFonts w:hint="eastAsia" w:eastAsia="仿宋"/>
          <w:color w:val="000000" w:themeColor="text1"/>
          <w:sz w:val="32"/>
          <w:szCs w:val="32"/>
        </w:rPr>
        <w:t>1.27</w:t>
      </w:r>
      <w:r>
        <w:rPr>
          <w:rFonts w:eastAsia="仿宋"/>
          <w:color w:val="000000" w:themeColor="text1"/>
          <w:sz w:val="32"/>
          <w:szCs w:val="32"/>
        </w:rPr>
        <w:t>万元，占</w:t>
      </w:r>
      <w:r>
        <w:rPr>
          <w:rFonts w:hint="eastAsia" w:eastAsia="仿宋"/>
          <w:color w:val="000000" w:themeColor="text1"/>
          <w:sz w:val="32"/>
          <w:szCs w:val="32"/>
        </w:rPr>
        <w:t>0.5</w:t>
      </w:r>
      <w:r>
        <w:rPr>
          <w:rFonts w:eastAsia="仿宋"/>
          <w:color w:val="000000" w:themeColor="text1"/>
          <w:sz w:val="32"/>
          <w:szCs w:val="32"/>
        </w:rPr>
        <w:t>%。</w:t>
      </w:r>
    </w:p>
    <w:p>
      <w:pPr>
        <w:spacing w:line="600" w:lineRule="exact"/>
        <w:ind w:firstLine="420" w:firstLineChars="200"/>
        <w:jc w:val="center"/>
        <w:rPr>
          <w:rFonts w:eastAsia="仿宋"/>
          <w:color w:val="000000"/>
          <w:sz w:val="32"/>
          <w:szCs w:val="32"/>
        </w:rPr>
      </w:pPr>
      <w:r>
        <w:drawing>
          <wp:anchor distT="0" distB="0" distL="114300" distR="114300" simplePos="0" relativeHeight="251665408" behindDoc="0" locked="0" layoutInCell="1" allowOverlap="1">
            <wp:simplePos x="0" y="0"/>
            <wp:positionH relativeFrom="column">
              <wp:posOffset>974725</wp:posOffset>
            </wp:positionH>
            <wp:positionV relativeFrom="paragraph">
              <wp:posOffset>122555</wp:posOffset>
            </wp:positionV>
            <wp:extent cx="3599815" cy="2303780"/>
            <wp:effectExtent l="5080" t="4445" r="6985" b="8255"/>
            <wp:wrapTopAndBottom/>
            <wp:docPr id="13987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eastAsia="仿宋"/>
          <w:color w:val="000000"/>
          <w:sz w:val="32"/>
          <w:szCs w:val="32"/>
        </w:rPr>
        <w:t>（图6：一般公共预算财政拨款支出决算结构）</w:t>
      </w:r>
    </w:p>
    <w:p>
      <w:pPr>
        <w:spacing w:line="600" w:lineRule="exact"/>
        <w:ind w:firstLine="643" w:firstLineChars="200"/>
        <w:outlineLvl w:val="2"/>
        <w:rPr>
          <w:rFonts w:eastAsia="仿宋"/>
          <w:b/>
          <w:color w:val="000000"/>
          <w:sz w:val="32"/>
          <w:szCs w:val="32"/>
        </w:rPr>
      </w:pPr>
      <w:bookmarkStart w:id="31" w:name="_Toc15377212"/>
      <w:r>
        <w:rPr>
          <w:rFonts w:eastAsia="仿宋"/>
          <w:b/>
          <w:color w:val="000000"/>
          <w:sz w:val="32"/>
          <w:szCs w:val="32"/>
        </w:rPr>
        <w:t>（三）一般公共预算财政拨款支出决算具体情况</w:t>
      </w:r>
      <w:bookmarkEnd w:id="31"/>
    </w:p>
    <w:p>
      <w:pPr>
        <w:spacing w:line="600" w:lineRule="exact"/>
        <w:ind w:firstLine="643" w:firstLineChars="200"/>
        <w:outlineLvl w:val="2"/>
        <w:rPr>
          <w:rFonts w:eastAsia="仿宋"/>
          <w:color w:val="FF0000"/>
          <w:sz w:val="32"/>
          <w:szCs w:val="32"/>
        </w:rPr>
      </w:pPr>
      <w:bookmarkStart w:id="32" w:name="_Toc15377213"/>
      <w:bookmarkStart w:id="33" w:name="_Toc15378460"/>
      <w:bookmarkStart w:id="34" w:name="_Toc15377444"/>
      <w:r>
        <w:rPr>
          <w:rFonts w:eastAsia="仿宋"/>
          <w:b/>
          <w:color w:val="000000" w:themeColor="text1"/>
          <w:sz w:val="32"/>
          <w:szCs w:val="32"/>
        </w:rPr>
        <w:t>2022年一般公共预算支出决算数为</w:t>
      </w:r>
      <w:r>
        <w:rPr>
          <w:rFonts w:hint="eastAsia" w:eastAsia="仿宋"/>
          <w:b/>
          <w:color w:val="000000" w:themeColor="text1"/>
          <w:sz w:val="32"/>
          <w:szCs w:val="32"/>
        </w:rPr>
        <w:t>267.53万元</w:t>
      </w:r>
      <w:r>
        <w:rPr>
          <w:rFonts w:eastAsia="仿宋"/>
          <w:color w:val="000000" w:themeColor="text1"/>
          <w:sz w:val="32"/>
          <w:szCs w:val="32"/>
        </w:rPr>
        <w:t>，</w:t>
      </w:r>
      <w:r>
        <w:rPr>
          <w:rStyle w:val="17"/>
          <w:rFonts w:eastAsia="仿宋"/>
          <w:bCs/>
          <w:color w:val="000000" w:themeColor="text1"/>
          <w:sz w:val="32"/>
          <w:szCs w:val="32"/>
        </w:rPr>
        <w:t>完成</w:t>
      </w:r>
      <w:r>
        <w:rPr>
          <w:rStyle w:val="17"/>
          <w:rFonts w:eastAsia="仿宋"/>
          <w:bCs/>
          <w:color w:val="000000"/>
          <w:sz w:val="32"/>
          <w:szCs w:val="32"/>
        </w:rPr>
        <w:t>预算</w:t>
      </w:r>
      <w:r>
        <w:rPr>
          <w:rStyle w:val="17"/>
          <w:rFonts w:hint="eastAsia" w:eastAsia="仿宋"/>
          <w:bCs/>
          <w:color w:val="000000"/>
          <w:sz w:val="32"/>
          <w:szCs w:val="32"/>
        </w:rPr>
        <w:t>100</w:t>
      </w:r>
      <w:r>
        <w:rPr>
          <w:rStyle w:val="17"/>
          <w:rFonts w:eastAsia="仿宋"/>
          <w:bCs/>
          <w:color w:val="000000"/>
          <w:sz w:val="32"/>
          <w:szCs w:val="32"/>
        </w:rPr>
        <w:t>%。其中：</w:t>
      </w:r>
      <w:bookmarkEnd w:id="32"/>
      <w:bookmarkEnd w:id="33"/>
      <w:bookmarkEnd w:id="34"/>
    </w:p>
    <w:p>
      <w:pPr>
        <w:spacing w:line="600" w:lineRule="exact"/>
        <w:ind w:firstLine="643" w:firstLineChars="200"/>
        <w:rPr>
          <w:rFonts w:eastAsia="仿宋"/>
          <w:b/>
          <w:color w:val="000000"/>
          <w:sz w:val="32"/>
          <w:szCs w:val="32"/>
        </w:rPr>
      </w:pPr>
      <w:r>
        <w:rPr>
          <w:rStyle w:val="17"/>
          <w:rFonts w:hint="eastAsia" w:eastAsia="仿宋"/>
          <w:bCs/>
          <w:color w:val="000000"/>
          <w:sz w:val="32"/>
          <w:szCs w:val="32"/>
        </w:rPr>
        <w:t>1</w:t>
      </w:r>
      <w:r>
        <w:rPr>
          <w:rStyle w:val="17"/>
          <w:rFonts w:eastAsia="仿宋"/>
          <w:bCs/>
          <w:color w:val="000000"/>
          <w:sz w:val="32"/>
          <w:szCs w:val="32"/>
        </w:rPr>
        <w:t>.教育</w:t>
      </w:r>
      <w:r>
        <w:rPr>
          <w:rStyle w:val="17"/>
          <w:rFonts w:hint="eastAsia" w:eastAsia="仿宋"/>
          <w:bCs/>
          <w:color w:val="000000"/>
          <w:sz w:val="32"/>
          <w:szCs w:val="32"/>
        </w:rPr>
        <w:t>支出</w:t>
      </w:r>
      <w:r>
        <w:rPr>
          <w:rStyle w:val="17"/>
          <w:rFonts w:eastAsia="仿宋"/>
          <w:bCs/>
          <w:color w:val="000000"/>
          <w:sz w:val="32"/>
          <w:szCs w:val="32"/>
        </w:rPr>
        <w:t>（类）</w:t>
      </w:r>
      <w:r>
        <w:rPr>
          <w:rStyle w:val="17"/>
          <w:rFonts w:hint="eastAsia" w:eastAsia="仿宋"/>
          <w:bCs/>
          <w:color w:val="000000"/>
          <w:sz w:val="32"/>
          <w:szCs w:val="32"/>
        </w:rPr>
        <w:t>普通教育</w:t>
      </w:r>
      <w:r>
        <w:rPr>
          <w:rStyle w:val="17"/>
          <w:rFonts w:eastAsia="仿宋"/>
          <w:bCs/>
          <w:color w:val="000000"/>
          <w:sz w:val="32"/>
          <w:szCs w:val="32"/>
        </w:rPr>
        <w:t>（款）</w:t>
      </w:r>
      <w:r>
        <w:rPr>
          <w:rStyle w:val="17"/>
          <w:rFonts w:hint="eastAsia" w:eastAsia="仿宋"/>
          <w:bCs/>
          <w:color w:val="000000"/>
          <w:sz w:val="32"/>
          <w:szCs w:val="32"/>
        </w:rPr>
        <w:t>学前教育</w:t>
      </w:r>
      <w:r>
        <w:rPr>
          <w:rStyle w:val="17"/>
          <w:rFonts w:eastAsia="仿宋"/>
          <w:bCs/>
          <w:color w:val="000000"/>
          <w:sz w:val="32"/>
          <w:szCs w:val="32"/>
        </w:rPr>
        <w:t>（项）:</w:t>
      </w:r>
      <w:r>
        <w:rPr>
          <w:rStyle w:val="17"/>
          <w:rFonts w:eastAsia="仿宋"/>
          <w:b w:val="0"/>
          <w:bCs/>
          <w:color w:val="000000"/>
          <w:sz w:val="32"/>
          <w:szCs w:val="32"/>
        </w:rPr>
        <w:t xml:space="preserve"> 支出决算为</w:t>
      </w:r>
      <w:r>
        <w:rPr>
          <w:rStyle w:val="17"/>
          <w:rFonts w:hint="eastAsia" w:eastAsia="仿宋"/>
          <w:b w:val="0"/>
          <w:bCs/>
          <w:color w:val="000000"/>
          <w:sz w:val="32"/>
          <w:szCs w:val="32"/>
        </w:rPr>
        <w:t>263.81</w:t>
      </w:r>
      <w:r>
        <w:rPr>
          <w:rStyle w:val="17"/>
          <w:rFonts w:eastAsia="仿宋"/>
          <w:b w:val="0"/>
          <w:bCs/>
          <w:color w:val="000000"/>
          <w:sz w:val="32"/>
          <w:szCs w:val="32"/>
        </w:rPr>
        <w:t>万元，完成预算</w:t>
      </w:r>
      <w:r>
        <w:rPr>
          <w:rStyle w:val="17"/>
          <w:rFonts w:hint="eastAsia" w:eastAsia="仿宋"/>
          <w:b w:val="0"/>
          <w:bCs/>
          <w:color w:val="000000"/>
          <w:sz w:val="32"/>
          <w:szCs w:val="32"/>
        </w:rPr>
        <w:t>100</w:t>
      </w:r>
      <w:r>
        <w:rPr>
          <w:rStyle w:val="17"/>
          <w:rFonts w:eastAsia="仿宋"/>
          <w:b w:val="0"/>
          <w:bCs/>
          <w:color w:val="000000"/>
          <w:sz w:val="32"/>
          <w:szCs w:val="32"/>
        </w:rPr>
        <w:t>%，决算数等于预算数。</w:t>
      </w:r>
    </w:p>
    <w:p>
      <w:pPr>
        <w:spacing w:line="600" w:lineRule="exact"/>
        <w:ind w:firstLine="643" w:firstLineChars="200"/>
        <w:rPr>
          <w:rFonts w:eastAsia="仿宋"/>
          <w:b/>
          <w:color w:val="000000"/>
          <w:sz w:val="32"/>
          <w:szCs w:val="32"/>
        </w:rPr>
      </w:pPr>
      <w:r>
        <w:rPr>
          <w:rStyle w:val="17"/>
          <w:rFonts w:hint="eastAsia" w:eastAsia="仿宋"/>
          <w:bCs/>
          <w:color w:val="000000"/>
          <w:sz w:val="32"/>
          <w:szCs w:val="32"/>
        </w:rPr>
        <w:t>2</w:t>
      </w:r>
      <w:r>
        <w:rPr>
          <w:rStyle w:val="17"/>
          <w:rFonts w:eastAsia="仿宋"/>
          <w:bCs/>
          <w:color w:val="000000"/>
          <w:sz w:val="32"/>
          <w:szCs w:val="32"/>
        </w:rPr>
        <w:t>.社会保障和就业（类）</w:t>
      </w:r>
      <w:r>
        <w:rPr>
          <w:rStyle w:val="17"/>
          <w:rFonts w:hint="eastAsia" w:eastAsia="仿宋"/>
          <w:bCs/>
          <w:color w:val="000000"/>
          <w:sz w:val="32"/>
          <w:szCs w:val="32"/>
        </w:rPr>
        <w:t>行政事业单位养老支出</w:t>
      </w:r>
      <w:r>
        <w:rPr>
          <w:rStyle w:val="17"/>
          <w:rFonts w:eastAsia="仿宋"/>
          <w:bCs/>
          <w:color w:val="000000"/>
          <w:sz w:val="32"/>
          <w:szCs w:val="32"/>
        </w:rPr>
        <w:t>（款）</w:t>
      </w:r>
      <w:r>
        <w:rPr>
          <w:rStyle w:val="17"/>
          <w:rFonts w:hint="eastAsia" w:eastAsia="仿宋"/>
          <w:bCs/>
          <w:color w:val="000000"/>
          <w:sz w:val="32"/>
          <w:szCs w:val="32"/>
        </w:rPr>
        <w:t>机关事业单位基本养老保险缴费支出</w:t>
      </w:r>
      <w:r>
        <w:rPr>
          <w:rStyle w:val="17"/>
          <w:rFonts w:eastAsia="仿宋"/>
          <w:bCs/>
          <w:color w:val="000000"/>
          <w:sz w:val="32"/>
          <w:szCs w:val="32"/>
        </w:rPr>
        <w:t>（项）:</w:t>
      </w:r>
      <w:r>
        <w:rPr>
          <w:rStyle w:val="17"/>
          <w:rFonts w:eastAsia="仿宋"/>
          <w:b w:val="0"/>
          <w:bCs/>
          <w:color w:val="000000"/>
          <w:sz w:val="32"/>
          <w:szCs w:val="32"/>
        </w:rPr>
        <w:t xml:space="preserve"> 支出决算为</w:t>
      </w:r>
      <w:r>
        <w:rPr>
          <w:rStyle w:val="17"/>
          <w:rFonts w:hint="eastAsia" w:eastAsia="仿宋"/>
          <w:b w:val="0"/>
          <w:bCs/>
          <w:color w:val="000000"/>
          <w:sz w:val="32"/>
          <w:szCs w:val="32"/>
        </w:rPr>
        <w:t>2.45</w:t>
      </w:r>
      <w:r>
        <w:rPr>
          <w:rStyle w:val="17"/>
          <w:rFonts w:eastAsia="仿宋"/>
          <w:b w:val="0"/>
          <w:bCs/>
          <w:color w:val="000000"/>
          <w:sz w:val="32"/>
          <w:szCs w:val="32"/>
        </w:rPr>
        <w:t>万元，完成预算</w:t>
      </w:r>
      <w:r>
        <w:rPr>
          <w:rStyle w:val="17"/>
          <w:rFonts w:hint="eastAsia" w:eastAsia="仿宋"/>
          <w:b w:val="0"/>
          <w:bCs/>
          <w:color w:val="000000"/>
          <w:sz w:val="32"/>
          <w:szCs w:val="32"/>
        </w:rPr>
        <w:t>100</w:t>
      </w:r>
      <w:r>
        <w:rPr>
          <w:rStyle w:val="17"/>
          <w:rFonts w:eastAsia="仿宋"/>
          <w:b w:val="0"/>
          <w:bCs/>
          <w:color w:val="000000"/>
          <w:sz w:val="32"/>
          <w:szCs w:val="32"/>
        </w:rPr>
        <w:t>%，决算数等于预算数。</w:t>
      </w:r>
    </w:p>
    <w:p>
      <w:pPr>
        <w:spacing w:line="600" w:lineRule="exact"/>
        <w:ind w:firstLine="643" w:firstLineChars="200"/>
        <w:rPr>
          <w:rStyle w:val="17"/>
          <w:rFonts w:eastAsia="仿宋"/>
          <w:b w:val="0"/>
          <w:bCs/>
          <w:color w:val="000000"/>
          <w:sz w:val="32"/>
          <w:szCs w:val="32"/>
        </w:rPr>
      </w:pPr>
      <w:r>
        <w:rPr>
          <w:rStyle w:val="17"/>
          <w:rFonts w:hint="eastAsia" w:eastAsia="仿宋"/>
          <w:bCs/>
          <w:color w:val="000000"/>
          <w:sz w:val="32"/>
          <w:szCs w:val="32"/>
        </w:rPr>
        <w:t>3</w:t>
      </w:r>
      <w:r>
        <w:rPr>
          <w:rStyle w:val="17"/>
          <w:rFonts w:eastAsia="仿宋"/>
          <w:bCs/>
          <w:color w:val="000000"/>
          <w:sz w:val="32"/>
          <w:szCs w:val="32"/>
        </w:rPr>
        <w:t>.</w:t>
      </w:r>
      <w:r>
        <w:rPr>
          <w:rFonts w:eastAsia="仿宋"/>
          <w:b/>
          <w:bCs/>
          <w:color w:val="000000" w:themeColor="text1"/>
          <w:sz w:val="32"/>
          <w:szCs w:val="32"/>
        </w:rPr>
        <w:t>卫生健康</w:t>
      </w:r>
      <w:r>
        <w:rPr>
          <w:rStyle w:val="17"/>
          <w:rFonts w:eastAsia="仿宋"/>
          <w:bCs/>
          <w:color w:val="000000"/>
          <w:sz w:val="32"/>
          <w:szCs w:val="32"/>
        </w:rPr>
        <w:t>（类）</w:t>
      </w:r>
      <w:r>
        <w:rPr>
          <w:rFonts w:hint="eastAsia" w:ascii="仿宋_GB2312" w:hAnsi="仿宋_GB2312" w:eastAsia="仿宋_GB2312"/>
          <w:b/>
          <w:color w:val="000000"/>
          <w:sz w:val="32"/>
        </w:rPr>
        <w:t>行政事业单位医疗</w:t>
      </w:r>
      <w:r>
        <w:rPr>
          <w:rStyle w:val="17"/>
          <w:rFonts w:eastAsia="仿宋"/>
          <w:bCs/>
          <w:color w:val="000000"/>
          <w:sz w:val="32"/>
          <w:szCs w:val="32"/>
        </w:rPr>
        <w:t>（款）</w:t>
      </w:r>
      <w:r>
        <w:rPr>
          <w:rFonts w:hint="eastAsia" w:ascii="仿宋_GB2312" w:hAnsi="仿宋_GB2312" w:eastAsia="仿宋_GB2312"/>
          <w:b/>
          <w:color w:val="000000"/>
          <w:sz w:val="32"/>
        </w:rPr>
        <w:t>事业单位医疗</w:t>
      </w:r>
      <w:r>
        <w:rPr>
          <w:rStyle w:val="17"/>
          <w:rFonts w:eastAsia="仿宋"/>
          <w:bCs/>
          <w:color w:val="000000"/>
          <w:sz w:val="32"/>
          <w:szCs w:val="32"/>
        </w:rPr>
        <w:t>（项）:</w:t>
      </w:r>
      <w:r>
        <w:rPr>
          <w:rStyle w:val="17"/>
          <w:rFonts w:eastAsia="仿宋"/>
          <w:b w:val="0"/>
          <w:bCs/>
          <w:color w:val="000000"/>
          <w:sz w:val="32"/>
          <w:szCs w:val="32"/>
        </w:rPr>
        <w:t>支出决算为</w:t>
      </w:r>
      <w:r>
        <w:rPr>
          <w:rStyle w:val="17"/>
          <w:rFonts w:hint="eastAsia" w:eastAsia="仿宋"/>
          <w:b w:val="0"/>
          <w:bCs/>
          <w:color w:val="000000"/>
          <w:sz w:val="32"/>
          <w:szCs w:val="32"/>
          <w:lang w:val="en-US" w:eastAsia="zh-CN"/>
        </w:rPr>
        <w:t>1.07</w:t>
      </w:r>
      <w:r>
        <w:rPr>
          <w:rStyle w:val="17"/>
          <w:rFonts w:eastAsia="仿宋"/>
          <w:b w:val="0"/>
          <w:bCs/>
          <w:color w:val="000000"/>
          <w:sz w:val="32"/>
          <w:szCs w:val="32"/>
        </w:rPr>
        <w:t>万元，完成预算</w:t>
      </w:r>
      <w:r>
        <w:rPr>
          <w:rStyle w:val="17"/>
          <w:rFonts w:hint="eastAsia" w:eastAsia="仿宋"/>
          <w:b w:val="0"/>
          <w:bCs/>
          <w:color w:val="000000"/>
          <w:sz w:val="32"/>
          <w:szCs w:val="32"/>
        </w:rPr>
        <w:t>100</w:t>
      </w:r>
      <w:r>
        <w:rPr>
          <w:rStyle w:val="17"/>
          <w:rFonts w:eastAsia="仿宋"/>
          <w:b w:val="0"/>
          <w:bCs/>
          <w:color w:val="000000"/>
          <w:sz w:val="32"/>
          <w:szCs w:val="32"/>
        </w:rPr>
        <w:t>%，决算数等于预算数。</w:t>
      </w:r>
    </w:p>
    <w:p>
      <w:pPr>
        <w:spacing w:line="600" w:lineRule="exact"/>
        <w:ind w:firstLine="643" w:firstLineChars="200"/>
      </w:pPr>
      <w:r>
        <w:rPr>
          <w:rStyle w:val="17"/>
          <w:rFonts w:hint="eastAsia" w:eastAsia="仿宋"/>
          <w:bCs/>
          <w:color w:val="000000"/>
          <w:sz w:val="32"/>
          <w:szCs w:val="32"/>
          <w:lang w:val="en-US" w:eastAsia="zh-CN"/>
        </w:rPr>
        <w:t>4</w:t>
      </w:r>
      <w:r>
        <w:rPr>
          <w:rStyle w:val="17"/>
          <w:rFonts w:eastAsia="仿宋"/>
          <w:bCs/>
          <w:color w:val="000000"/>
          <w:sz w:val="32"/>
          <w:szCs w:val="32"/>
        </w:rPr>
        <w:t>.</w:t>
      </w:r>
      <w:r>
        <w:rPr>
          <w:rFonts w:eastAsia="仿宋"/>
          <w:b/>
          <w:bCs/>
          <w:color w:val="000000" w:themeColor="text1"/>
          <w:sz w:val="32"/>
          <w:szCs w:val="32"/>
        </w:rPr>
        <w:t>卫生健康</w:t>
      </w:r>
      <w:r>
        <w:rPr>
          <w:rStyle w:val="17"/>
          <w:rFonts w:eastAsia="仿宋"/>
          <w:bCs/>
          <w:color w:val="000000"/>
          <w:sz w:val="32"/>
          <w:szCs w:val="32"/>
        </w:rPr>
        <w:t>（类）</w:t>
      </w:r>
      <w:r>
        <w:rPr>
          <w:rFonts w:hint="eastAsia" w:ascii="仿宋_GB2312" w:hAnsi="仿宋_GB2312" w:eastAsia="仿宋_GB2312"/>
          <w:b/>
          <w:color w:val="000000"/>
          <w:sz w:val="32"/>
        </w:rPr>
        <w:t>行政事业单位医疗</w:t>
      </w:r>
      <w:r>
        <w:rPr>
          <w:rStyle w:val="17"/>
          <w:rFonts w:eastAsia="仿宋"/>
          <w:bCs/>
          <w:color w:val="000000"/>
          <w:sz w:val="32"/>
          <w:szCs w:val="32"/>
        </w:rPr>
        <w:t>（款）</w:t>
      </w:r>
      <w:r>
        <w:rPr>
          <w:rFonts w:hint="eastAsia" w:ascii="仿宋_GB2312" w:hAnsi="仿宋_GB2312" w:eastAsia="仿宋_GB2312"/>
          <w:b/>
          <w:color w:val="000000"/>
          <w:sz w:val="32"/>
        </w:rPr>
        <w:t xml:space="preserve">  公务员医疗补助</w:t>
      </w:r>
      <w:r>
        <w:rPr>
          <w:rStyle w:val="17"/>
          <w:rFonts w:eastAsia="仿宋"/>
          <w:bCs/>
          <w:color w:val="000000"/>
          <w:sz w:val="32"/>
          <w:szCs w:val="32"/>
        </w:rPr>
        <w:t>（项）:</w:t>
      </w:r>
      <w:r>
        <w:rPr>
          <w:rStyle w:val="17"/>
          <w:rFonts w:eastAsia="仿宋"/>
          <w:b w:val="0"/>
          <w:bCs/>
          <w:color w:val="000000"/>
          <w:sz w:val="32"/>
          <w:szCs w:val="32"/>
        </w:rPr>
        <w:t>支出决算为</w:t>
      </w:r>
      <w:r>
        <w:rPr>
          <w:rStyle w:val="17"/>
          <w:rFonts w:hint="eastAsia" w:eastAsia="仿宋"/>
          <w:b w:val="0"/>
          <w:bCs/>
          <w:color w:val="000000"/>
          <w:sz w:val="32"/>
          <w:szCs w:val="32"/>
          <w:lang w:val="en-US" w:eastAsia="zh-CN"/>
        </w:rPr>
        <w:t>0.2</w:t>
      </w:r>
      <w:r>
        <w:rPr>
          <w:rStyle w:val="17"/>
          <w:rFonts w:eastAsia="仿宋"/>
          <w:b w:val="0"/>
          <w:bCs/>
          <w:color w:val="000000"/>
          <w:sz w:val="32"/>
          <w:szCs w:val="32"/>
        </w:rPr>
        <w:t>万元，完成预算</w:t>
      </w:r>
      <w:r>
        <w:rPr>
          <w:rStyle w:val="17"/>
          <w:rFonts w:hint="eastAsia" w:eastAsia="仿宋"/>
          <w:b w:val="0"/>
          <w:bCs/>
          <w:color w:val="000000"/>
          <w:sz w:val="32"/>
          <w:szCs w:val="32"/>
        </w:rPr>
        <w:t>100</w:t>
      </w:r>
      <w:r>
        <w:rPr>
          <w:rStyle w:val="17"/>
          <w:rFonts w:eastAsia="仿宋"/>
          <w:b w:val="0"/>
          <w:bCs/>
          <w:color w:val="000000"/>
          <w:sz w:val="32"/>
          <w:szCs w:val="32"/>
        </w:rPr>
        <w:t>%，决算数等于预算数。</w:t>
      </w:r>
    </w:p>
    <w:p>
      <w:pPr>
        <w:tabs>
          <w:tab w:val="right" w:pos="8306"/>
        </w:tabs>
        <w:spacing w:line="600" w:lineRule="exact"/>
        <w:ind w:firstLine="640"/>
        <w:outlineLvl w:val="1"/>
        <w:rPr>
          <w:rStyle w:val="28"/>
          <w:rFonts w:ascii="Times New Roman" w:hAnsi="Times New Roman" w:cs="Times New Roman"/>
        </w:rPr>
      </w:pPr>
      <w:bookmarkStart w:id="35" w:name="_Toc15377214"/>
      <w:bookmarkStart w:id="36" w:name="_Toc15396608"/>
      <w:r>
        <w:rPr>
          <w:rFonts w:eastAsia="黑体"/>
          <w:color w:val="000000"/>
          <w:sz w:val="32"/>
          <w:szCs w:val="32"/>
        </w:rPr>
        <w:t>六</w:t>
      </w:r>
      <w:r>
        <w:rPr>
          <w:rFonts w:eastAsia="黑体"/>
          <w:b/>
          <w:color w:val="000000"/>
          <w:sz w:val="32"/>
          <w:szCs w:val="32"/>
        </w:rPr>
        <w:t>、一</w:t>
      </w:r>
      <w:r>
        <w:rPr>
          <w:rStyle w:val="28"/>
          <w:rFonts w:ascii="Times New Roman" w:hAnsi="Times New Roman" w:eastAsia="黑体" w:cs="Times New Roman"/>
          <w:b w:val="0"/>
        </w:rPr>
        <w:t>般公共预算财政拨款基本支出决算情况说明</w:t>
      </w:r>
      <w:bookmarkEnd w:id="35"/>
      <w:bookmarkEnd w:id="36"/>
      <w:r>
        <w:rPr>
          <w:rStyle w:val="28"/>
          <w:rFonts w:ascii="Times New Roman" w:hAnsi="Times New Roman" w:eastAsia="黑体" w:cs="Times New Roman"/>
          <w:b w:val="0"/>
        </w:rPr>
        <w:tab/>
      </w:r>
    </w:p>
    <w:p>
      <w:pPr>
        <w:spacing w:line="600" w:lineRule="exact"/>
        <w:ind w:firstLine="645"/>
        <w:rPr>
          <w:rFonts w:eastAsia="仿宋"/>
          <w:color w:val="000000"/>
          <w:sz w:val="32"/>
          <w:szCs w:val="32"/>
        </w:rPr>
      </w:pPr>
      <w:r>
        <w:rPr>
          <w:rFonts w:eastAsia="仿宋"/>
          <w:color w:val="000000"/>
          <w:sz w:val="32"/>
          <w:szCs w:val="32"/>
        </w:rPr>
        <w:t>2022年一般公共预算财政拨款基本支出</w:t>
      </w:r>
      <w:r>
        <w:rPr>
          <w:rFonts w:hint="eastAsia" w:eastAsia="仿宋"/>
          <w:color w:val="000000"/>
          <w:sz w:val="32"/>
          <w:szCs w:val="32"/>
        </w:rPr>
        <w:t>50.33</w:t>
      </w:r>
      <w:r>
        <w:rPr>
          <w:rFonts w:eastAsia="仿宋"/>
          <w:color w:val="000000"/>
          <w:sz w:val="32"/>
          <w:szCs w:val="32"/>
        </w:rPr>
        <w:t>万元，其中：</w:t>
      </w:r>
    </w:p>
    <w:p>
      <w:pPr>
        <w:spacing w:line="600" w:lineRule="exact"/>
        <w:ind w:firstLine="645"/>
      </w:pPr>
      <w:r>
        <w:rPr>
          <w:rFonts w:eastAsia="仿宋"/>
          <w:color w:val="000000"/>
          <w:sz w:val="32"/>
          <w:szCs w:val="32"/>
        </w:rPr>
        <w:t>人员经费</w:t>
      </w:r>
      <w:r>
        <w:rPr>
          <w:rFonts w:hint="eastAsia" w:eastAsia="仿宋"/>
          <w:color w:val="000000"/>
          <w:sz w:val="32"/>
          <w:szCs w:val="32"/>
        </w:rPr>
        <w:t>32.69</w:t>
      </w:r>
      <w:r>
        <w:rPr>
          <w:rFonts w:eastAsia="仿宋"/>
          <w:color w:val="000000"/>
          <w:sz w:val="32"/>
          <w:szCs w:val="32"/>
        </w:rPr>
        <w:t>万元，主要包括：基本工资、津贴补贴、奖金、绩效工资、机关事业单位基本养老保险缴费、</w:t>
      </w:r>
      <w:r>
        <w:rPr>
          <w:rFonts w:hint="eastAsia" w:eastAsia="仿宋"/>
          <w:color w:val="000000"/>
          <w:sz w:val="32"/>
          <w:szCs w:val="32"/>
        </w:rPr>
        <w:t>职工基本医疗保险缴费、公务员医疗补助缴费、</w:t>
      </w:r>
      <w:r>
        <w:rPr>
          <w:rFonts w:eastAsia="仿宋"/>
          <w:color w:val="000000"/>
          <w:sz w:val="32"/>
          <w:szCs w:val="32"/>
        </w:rPr>
        <w:t>其他社会保障缴费、其他工资福利支出、奖励金等。</w:t>
      </w:r>
      <w:r>
        <w:rPr>
          <w:rFonts w:eastAsia="仿宋"/>
          <w:color w:val="000000"/>
          <w:sz w:val="32"/>
          <w:szCs w:val="32"/>
        </w:rPr>
        <w:br w:type="textWrapping"/>
      </w:r>
      <w:r>
        <w:rPr>
          <w:rFonts w:eastAsia="仿宋"/>
          <w:color w:val="000000"/>
          <w:sz w:val="32"/>
          <w:szCs w:val="32"/>
        </w:rPr>
        <w:t>　　日常公用经费</w:t>
      </w:r>
      <w:r>
        <w:rPr>
          <w:rFonts w:hint="eastAsia" w:eastAsia="仿宋"/>
          <w:color w:val="000000"/>
          <w:sz w:val="32"/>
          <w:szCs w:val="32"/>
        </w:rPr>
        <w:t>17.64</w:t>
      </w:r>
      <w:r>
        <w:rPr>
          <w:rFonts w:eastAsia="仿宋"/>
          <w:color w:val="000000"/>
          <w:sz w:val="32"/>
          <w:szCs w:val="32"/>
        </w:rPr>
        <w:t>万元，主要包括：办公费、印刷费、水费、电费、邮电费、物业管理费、差旅费、维修（护）费、会议费、培训费、劳务费、工会经费、福利费、其他商品和服务支出、办公设备购置、专用设备购置、其他资本性支出等。</w:t>
      </w:r>
    </w:p>
    <w:p>
      <w:pPr>
        <w:numPr>
          <w:ilvl w:val="0"/>
          <w:numId w:val="2"/>
        </w:numPr>
        <w:spacing w:line="600" w:lineRule="exact"/>
        <w:ind w:firstLine="640"/>
        <w:rPr>
          <w:rStyle w:val="28"/>
          <w:rFonts w:ascii="Times New Roman" w:hAnsi="Times New Roman" w:eastAsia="黑体" w:cs="Times New Roman"/>
          <w:b w:val="0"/>
        </w:rPr>
      </w:pPr>
      <w:r>
        <w:rPr>
          <w:rFonts w:eastAsia="黑体"/>
          <w:bCs/>
          <w:color w:val="000000"/>
          <w:sz w:val="32"/>
          <w:szCs w:val="32"/>
        </w:rPr>
        <w:t>一</w:t>
      </w:r>
      <w:r>
        <w:rPr>
          <w:rStyle w:val="28"/>
          <w:rFonts w:ascii="Times New Roman" w:hAnsi="Times New Roman" w:eastAsia="黑体" w:cs="Times New Roman"/>
          <w:b w:val="0"/>
        </w:rPr>
        <w:t>般公共预算财政拨款项目支出决算情况说明</w:t>
      </w:r>
    </w:p>
    <w:p>
      <w:pPr>
        <w:spacing w:line="600" w:lineRule="exact"/>
        <w:ind w:firstLine="645"/>
        <w:rPr>
          <w:rFonts w:eastAsia="仿宋"/>
          <w:color w:val="000000"/>
          <w:sz w:val="32"/>
          <w:szCs w:val="32"/>
        </w:rPr>
      </w:pPr>
      <w:r>
        <w:rPr>
          <w:rFonts w:eastAsia="仿宋"/>
          <w:color w:val="000000"/>
          <w:sz w:val="32"/>
          <w:szCs w:val="32"/>
        </w:rPr>
        <w:t>2022年一般公共预算财政拨款项目支出</w:t>
      </w:r>
      <w:r>
        <w:rPr>
          <w:rFonts w:hint="eastAsia" w:eastAsia="仿宋"/>
          <w:color w:val="000000"/>
          <w:sz w:val="32"/>
          <w:szCs w:val="32"/>
        </w:rPr>
        <w:t>217.20</w:t>
      </w:r>
      <w:r>
        <w:rPr>
          <w:rFonts w:eastAsia="仿宋"/>
          <w:color w:val="000000"/>
          <w:sz w:val="32"/>
          <w:szCs w:val="32"/>
        </w:rPr>
        <w:t>万元，其中：</w:t>
      </w:r>
    </w:p>
    <w:p>
      <w:pPr>
        <w:spacing w:line="600" w:lineRule="exact"/>
        <w:ind w:firstLine="645"/>
        <w:rPr>
          <w:rFonts w:hint="eastAsia" w:eastAsia="仿宋"/>
          <w:color w:val="000000" w:themeColor="text1"/>
          <w:sz w:val="32"/>
          <w:szCs w:val="32"/>
        </w:rPr>
      </w:pPr>
      <w:r>
        <w:rPr>
          <w:rFonts w:hint="eastAsia" w:eastAsia="仿宋_GB2312"/>
          <w:b/>
          <w:color w:val="000000" w:themeColor="text1"/>
          <w:sz w:val="32"/>
          <w:szCs w:val="32"/>
        </w:rPr>
        <w:t>合同制教师及保育员工资项目</w:t>
      </w:r>
      <w:r>
        <w:rPr>
          <w:rFonts w:hint="eastAsia" w:eastAsia="仿宋_GB2312"/>
          <w:color w:val="000000" w:themeColor="text1"/>
          <w:sz w:val="32"/>
          <w:szCs w:val="32"/>
        </w:rPr>
        <w:t>支出125.05万元，主要用于项目人员支出125.05万元，包括</w:t>
      </w:r>
      <w:r>
        <w:rPr>
          <w:rFonts w:eastAsia="仿宋"/>
          <w:color w:val="000000" w:themeColor="text1"/>
          <w:sz w:val="32"/>
          <w:szCs w:val="32"/>
        </w:rPr>
        <w:t>其他工资福利支出等</w:t>
      </w:r>
      <w:r>
        <w:rPr>
          <w:rFonts w:hint="eastAsia" w:eastAsia="仿宋"/>
          <w:color w:val="000000" w:themeColor="text1"/>
          <w:sz w:val="32"/>
          <w:szCs w:val="32"/>
        </w:rPr>
        <w:t>。</w:t>
      </w:r>
    </w:p>
    <w:p>
      <w:pPr>
        <w:spacing w:line="600" w:lineRule="exact"/>
        <w:ind w:firstLine="643" w:firstLineChars="200"/>
        <w:rPr>
          <w:rFonts w:hint="eastAsia" w:eastAsia="仿宋"/>
          <w:color w:val="000000" w:themeColor="text1"/>
          <w:sz w:val="32"/>
          <w:szCs w:val="32"/>
        </w:rPr>
      </w:pPr>
      <w:r>
        <w:rPr>
          <w:rFonts w:hint="eastAsia" w:eastAsia="仿宋_GB2312"/>
          <w:b/>
          <w:color w:val="000000" w:themeColor="text1"/>
          <w:sz w:val="32"/>
        </w:rPr>
        <w:t>保教费</w:t>
      </w:r>
      <w:r>
        <w:rPr>
          <w:rFonts w:hint="eastAsia" w:eastAsia="仿宋_GB2312"/>
          <w:b/>
          <w:color w:val="000000" w:themeColor="text1"/>
          <w:sz w:val="32"/>
          <w:szCs w:val="32"/>
        </w:rPr>
        <w:t>项目</w:t>
      </w:r>
      <w:r>
        <w:rPr>
          <w:rFonts w:hint="eastAsia" w:eastAsia="仿宋_GB2312"/>
          <w:color w:val="000000" w:themeColor="text1"/>
          <w:sz w:val="32"/>
          <w:szCs w:val="32"/>
        </w:rPr>
        <w:t>支出</w:t>
      </w:r>
      <w:r>
        <w:rPr>
          <w:rFonts w:hint="eastAsia" w:eastAsia="仿宋_GB2312"/>
          <w:color w:val="000000" w:themeColor="text1"/>
          <w:sz w:val="32"/>
        </w:rPr>
        <w:t>82.34万元，</w:t>
      </w:r>
      <w:r>
        <w:rPr>
          <w:rFonts w:hint="eastAsia" w:eastAsia="仿宋_GB2312"/>
          <w:color w:val="000000" w:themeColor="text1"/>
          <w:sz w:val="32"/>
          <w:szCs w:val="32"/>
        </w:rPr>
        <w:t>主要用于项目人员支出18.36万元，包括</w:t>
      </w:r>
      <w:r>
        <w:rPr>
          <w:rFonts w:eastAsia="仿宋"/>
          <w:color w:val="000000" w:themeColor="text1"/>
          <w:sz w:val="32"/>
          <w:szCs w:val="32"/>
        </w:rPr>
        <w:t>其他工资福利支出等</w:t>
      </w:r>
      <w:r>
        <w:rPr>
          <w:rFonts w:hint="eastAsia" w:eastAsia="仿宋"/>
          <w:color w:val="000000" w:themeColor="text1"/>
          <w:sz w:val="32"/>
          <w:szCs w:val="32"/>
        </w:rPr>
        <w:t>。</w:t>
      </w:r>
      <w:r>
        <w:rPr>
          <w:rFonts w:eastAsia="仿宋"/>
          <w:color w:val="000000" w:themeColor="text1"/>
          <w:sz w:val="32"/>
          <w:szCs w:val="32"/>
        </w:rPr>
        <w:t>项目经费支出</w:t>
      </w:r>
      <w:r>
        <w:rPr>
          <w:rFonts w:hint="eastAsia" w:eastAsia="仿宋"/>
          <w:color w:val="000000" w:themeColor="text1"/>
          <w:sz w:val="32"/>
          <w:szCs w:val="32"/>
        </w:rPr>
        <w:t>63.98万元，</w:t>
      </w:r>
      <w:r>
        <w:rPr>
          <w:rFonts w:eastAsia="仿宋"/>
          <w:color w:val="000000" w:themeColor="text1"/>
          <w:sz w:val="32"/>
          <w:szCs w:val="32"/>
        </w:rPr>
        <w:t>包括办公费、印刷费、水费、电费、邮电费、物业管理费、差旅费、维修（护）费、会议费、培训费、劳务费、工会经费、福利费、其他商品和服务支出、办公设备购置、专用设备购置、其他资本性支出等。</w:t>
      </w:r>
    </w:p>
    <w:p>
      <w:pPr>
        <w:pStyle w:val="14"/>
        <w:ind w:left="199" w:leftChars="95" w:firstLine="421" w:firstLineChars="131"/>
        <w:rPr>
          <w:rFonts w:hint="eastAsia" w:ascii="Times New Roman" w:eastAsia="仿宋_GB2312"/>
          <w:color w:val="000000" w:themeColor="text1"/>
          <w:sz w:val="32"/>
          <w:szCs w:val="24"/>
        </w:rPr>
      </w:pPr>
      <w:r>
        <w:rPr>
          <w:rFonts w:hint="eastAsia" w:ascii="Times New Roman" w:eastAsia="仿宋_GB2312"/>
          <w:b/>
          <w:color w:val="000000" w:themeColor="text1"/>
          <w:sz w:val="32"/>
          <w:szCs w:val="24"/>
        </w:rPr>
        <w:t>班级物资采购</w:t>
      </w:r>
      <w:r>
        <w:rPr>
          <w:rFonts w:hint="eastAsia" w:eastAsia="仿宋_GB2312"/>
          <w:b/>
          <w:color w:val="000000" w:themeColor="text1"/>
          <w:sz w:val="32"/>
        </w:rPr>
        <w:t>项目</w:t>
      </w:r>
      <w:r>
        <w:rPr>
          <w:rFonts w:hint="eastAsia" w:eastAsia="仿宋_GB2312"/>
          <w:color w:val="000000" w:themeColor="text1"/>
          <w:sz w:val="32"/>
        </w:rPr>
        <w:t>支出9.81万元，主要用于</w:t>
      </w:r>
      <w:r>
        <w:rPr>
          <w:rFonts w:eastAsia="仿宋"/>
          <w:color w:val="000000" w:themeColor="text1"/>
          <w:sz w:val="32"/>
        </w:rPr>
        <w:t>项目经费支出</w:t>
      </w:r>
      <w:r>
        <w:rPr>
          <w:rFonts w:hint="eastAsia" w:eastAsia="仿宋"/>
          <w:color w:val="000000" w:themeColor="text1"/>
          <w:sz w:val="32"/>
        </w:rPr>
        <w:t>9.81万元，</w:t>
      </w:r>
      <w:r>
        <w:rPr>
          <w:rFonts w:eastAsia="仿宋"/>
          <w:color w:val="000000" w:themeColor="text1"/>
          <w:sz w:val="32"/>
        </w:rPr>
        <w:t>包括办公设备购置</w:t>
      </w:r>
      <w:r>
        <w:rPr>
          <w:rFonts w:hint="eastAsia" w:eastAsia="仿宋"/>
          <w:color w:val="000000" w:themeColor="text1"/>
          <w:sz w:val="32"/>
        </w:rPr>
        <w:t>等。</w:t>
      </w:r>
    </w:p>
    <w:p>
      <w:pPr>
        <w:spacing w:line="600" w:lineRule="exact"/>
        <w:ind w:firstLine="640"/>
        <w:outlineLvl w:val="1"/>
        <w:rPr>
          <w:rStyle w:val="28"/>
          <w:rFonts w:ascii="Times New Roman" w:hAnsi="Times New Roman" w:eastAsia="黑体" w:cs="Times New Roman"/>
          <w:b w:val="0"/>
        </w:rPr>
      </w:pPr>
      <w:bookmarkStart w:id="37" w:name="_Toc15396609"/>
      <w:bookmarkStart w:id="38" w:name="_Toc15377215"/>
      <w:r>
        <w:rPr>
          <w:rFonts w:eastAsia="黑体"/>
          <w:color w:val="000000"/>
          <w:sz w:val="32"/>
          <w:szCs w:val="32"/>
        </w:rPr>
        <w:t>八、</w:t>
      </w:r>
      <w:r>
        <w:rPr>
          <w:rStyle w:val="28"/>
          <w:rFonts w:ascii="Times New Roman" w:hAnsi="Times New Roman" w:eastAsia="黑体" w:cs="Times New Roman"/>
        </w:rPr>
        <w:t>“</w:t>
      </w:r>
      <w:r>
        <w:rPr>
          <w:rStyle w:val="28"/>
          <w:rFonts w:ascii="Times New Roman" w:hAnsi="Times New Roman" w:eastAsia="黑体" w:cs="Times New Roman"/>
          <w:b w:val="0"/>
        </w:rPr>
        <w:t>三公”经费财政拨款支出决算情况说明</w:t>
      </w:r>
      <w:bookmarkEnd w:id="37"/>
      <w:bookmarkEnd w:id="38"/>
    </w:p>
    <w:p>
      <w:pPr>
        <w:spacing w:line="600" w:lineRule="exact"/>
        <w:ind w:firstLine="640"/>
        <w:outlineLvl w:val="2"/>
        <w:rPr>
          <w:rFonts w:eastAsia="仿宋"/>
          <w:b/>
          <w:color w:val="000000"/>
          <w:sz w:val="32"/>
          <w:szCs w:val="32"/>
        </w:rPr>
      </w:pPr>
      <w:bookmarkStart w:id="39" w:name="_Toc15377216"/>
      <w:r>
        <w:rPr>
          <w:rFonts w:eastAsia="仿宋"/>
          <w:b/>
          <w:color w:val="000000"/>
          <w:sz w:val="32"/>
          <w:szCs w:val="32"/>
        </w:rPr>
        <w:t>（一）“三公”经费财政拨款支出决算总体情况说明</w:t>
      </w:r>
      <w:bookmarkEnd w:id="39"/>
    </w:p>
    <w:p>
      <w:pPr>
        <w:spacing w:line="600" w:lineRule="exact"/>
        <w:ind w:firstLine="640"/>
        <w:rPr>
          <w:rFonts w:eastAsia="仿宋"/>
          <w:color w:val="000000"/>
          <w:sz w:val="32"/>
          <w:szCs w:val="32"/>
        </w:rPr>
      </w:pPr>
      <w:r>
        <w:rPr>
          <w:rFonts w:eastAsia="仿宋"/>
          <w:color w:val="000000"/>
          <w:sz w:val="32"/>
          <w:szCs w:val="32"/>
        </w:rPr>
        <w:t>2022年“三公”经费财政拨款支出决算为</w:t>
      </w:r>
      <w:r>
        <w:rPr>
          <w:rFonts w:hint="eastAsia" w:eastAsia="仿宋"/>
          <w:color w:val="000000"/>
          <w:sz w:val="32"/>
          <w:szCs w:val="32"/>
        </w:rPr>
        <w:t>0</w:t>
      </w:r>
      <w:r>
        <w:rPr>
          <w:rFonts w:eastAsia="仿宋"/>
          <w:color w:val="000000"/>
          <w:sz w:val="32"/>
          <w:szCs w:val="32"/>
        </w:rPr>
        <w:t>万元，完成预算</w:t>
      </w:r>
      <w:r>
        <w:rPr>
          <w:rFonts w:hint="eastAsia" w:eastAsia="仿宋"/>
          <w:color w:val="000000"/>
          <w:sz w:val="32"/>
          <w:szCs w:val="32"/>
        </w:rPr>
        <w:t>0</w:t>
      </w:r>
      <w:r>
        <w:rPr>
          <w:rFonts w:eastAsia="仿宋"/>
          <w:color w:val="000000"/>
          <w:sz w:val="32"/>
          <w:szCs w:val="32"/>
        </w:rPr>
        <w:t>%</w:t>
      </w:r>
      <w:r>
        <w:rPr>
          <w:rFonts w:hint="eastAsia" w:eastAsia="仿宋"/>
          <w:color w:val="000000"/>
          <w:sz w:val="32"/>
          <w:szCs w:val="32"/>
        </w:rPr>
        <w:t>。与2021年持平，主要原因是无“三公”经费开支项目。</w:t>
      </w:r>
      <w:r>
        <w:rPr>
          <w:rFonts w:eastAsia="仿宋"/>
          <w:color w:val="000000"/>
          <w:sz w:val="32"/>
          <w:szCs w:val="32"/>
        </w:rPr>
        <w:t>决算数</w:t>
      </w:r>
      <w:r>
        <w:rPr>
          <w:rFonts w:hint="eastAsia" w:eastAsia="仿宋"/>
          <w:color w:val="000000"/>
          <w:sz w:val="32"/>
          <w:szCs w:val="32"/>
        </w:rPr>
        <w:t>与</w:t>
      </w:r>
      <w:r>
        <w:rPr>
          <w:rFonts w:eastAsia="仿宋"/>
          <w:color w:val="000000"/>
          <w:sz w:val="32"/>
          <w:szCs w:val="32"/>
        </w:rPr>
        <w:t>预算数</w:t>
      </w:r>
      <w:r>
        <w:rPr>
          <w:rFonts w:hint="eastAsia" w:eastAsia="仿宋"/>
          <w:color w:val="000000"/>
          <w:sz w:val="32"/>
          <w:szCs w:val="32"/>
        </w:rPr>
        <w:t>持平，主要原因是无“三公”经费开支项目</w:t>
      </w:r>
      <w:r>
        <w:rPr>
          <w:rFonts w:eastAsia="仿宋"/>
          <w:color w:val="000000"/>
          <w:sz w:val="32"/>
          <w:szCs w:val="32"/>
        </w:rPr>
        <w:t>。</w:t>
      </w:r>
    </w:p>
    <w:p>
      <w:pPr>
        <w:spacing w:line="600" w:lineRule="exact"/>
        <w:ind w:firstLine="640"/>
        <w:outlineLvl w:val="2"/>
        <w:rPr>
          <w:rFonts w:eastAsia="仿宋"/>
          <w:b/>
          <w:color w:val="000000"/>
          <w:sz w:val="32"/>
          <w:szCs w:val="32"/>
        </w:rPr>
      </w:pPr>
      <w:bookmarkStart w:id="40" w:name="_Toc15377217"/>
      <w:r>
        <w:rPr>
          <w:rFonts w:eastAsia="仿宋"/>
          <w:b/>
          <w:color w:val="000000"/>
          <w:sz w:val="32"/>
          <w:szCs w:val="32"/>
        </w:rPr>
        <w:t>（二）“三公”经费财政拨款支出决算具体情况说明</w:t>
      </w:r>
      <w:bookmarkEnd w:id="40"/>
    </w:p>
    <w:p>
      <w:pPr>
        <w:spacing w:line="600" w:lineRule="exact"/>
        <w:ind w:firstLine="640"/>
        <w:rPr>
          <w:rFonts w:eastAsia="仿宋"/>
          <w:color w:val="000000"/>
          <w:sz w:val="32"/>
          <w:szCs w:val="32"/>
        </w:rPr>
      </w:pPr>
      <w:r>
        <w:rPr>
          <w:rFonts w:eastAsia="仿宋"/>
          <w:color w:val="000000"/>
          <w:sz w:val="32"/>
          <w:szCs w:val="32"/>
        </w:rPr>
        <w:t>2022年“三公”经费财政拨款支出</w:t>
      </w:r>
      <w:r>
        <w:rPr>
          <w:rFonts w:hint="eastAsia" w:eastAsia="仿宋_GB2312"/>
          <w:color w:val="0C0C0C" w:themeColor="text1" w:themeTint="F2"/>
          <w:sz w:val="32"/>
          <w:szCs w:val="32"/>
        </w:rPr>
        <w:t>0</w:t>
      </w:r>
      <w:r>
        <w:rPr>
          <w:rFonts w:eastAsia="仿宋_GB2312"/>
          <w:color w:val="0C0C0C" w:themeColor="text1" w:themeTint="F2"/>
          <w:sz w:val="32"/>
          <w:szCs w:val="32"/>
        </w:rPr>
        <w:t>万元，</w:t>
      </w:r>
      <w:r>
        <w:rPr>
          <w:rFonts w:hint="eastAsia" w:eastAsia="仿宋_GB2312"/>
          <w:color w:val="0C0C0C" w:themeColor="text1" w:themeTint="F2"/>
          <w:sz w:val="32"/>
          <w:szCs w:val="32"/>
        </w:rPr>
        <w:t>与</w:t>
      </w:r>
      <w:r>
        <w:rPr>
          <w:rFonts w:eastAsia="仿宋_GB2312"/>
          <w:color w:val="0C0C0C" w:themeColor="text1" w:themeTint="F2"/>
          <w:sz w:val="32"/>
          <w:szCs w:val="32"/>
        </w:rPr>
        <w:t>2021年</w:t>
      </w:r>
      <w:r>
        <w:rPr>
          <w:rFonts w:hint="eastAsia" w:eastAsia="仿宋_GB2312"/>
          <w:color w:val="0C0C0C" w:themeColor="text1" w:themeTint="F2"/>
          <w:sz w:val="32"/>
          <w:szCs w:val="32"/>
        </w:rPr>
        <w:t>持平，</w:t>
      </w:r>
      <w:r>
        <w:rPr>
          <w:rFonts w:hint="eastAsia" w:eastAsia="仿宋"/>
          <w:color w:val="000000"/>
          <w:sz w:val="32"/>
          <w:szCs w:val="32"/>
        </w:rPr>
        <w:t>主要原因是无“三公”经费开支项目</w:t>
      </w:r>
      <w:r>
        <w:rPr>
          <w:rFonts w:eastAsia="仿宋"/>
          <w:color w:val="0C0C0C" w:themeColor="text1" w:themeTint="F2"/>
          <w:sz w:val="32"/>
          <w:szCs w:val="32"/>
        </w:rPr>
        <w:t>。其中：因公出国（境）费支出决算</w:t>
      </w:r>
      <w:r>
        <w:rPr>
          <w:rFonts w:hint="eastAsia" w:eastAsia="仿宋"/>
          <w:color w:val="000000"/>
          <w:sz w:val="32"/>
          <w:szCs w:val="32"/>
        </w:rPr>
        <w:t>0</w:t>
      </w:r>
      <w:r>
        <w:rPr>
          <w:rFonts w:eastAsia="仿宋"/>
          <w:color w:val="000000"/>
          <w:sz w:val="32"/>
          <w:szCs w:val="32"/>
        </w:rPr>
        <w:t>万元；公务用车购置及运行维护费支出决算</w:t>
      </w:r>
      <w:r>
        <w:rPr>
          <w:rFonts w:hint="eastAsia" w:eastAsia="仿宋"/>
          <w:color w:val="000000"/>
          <w:sz w:val="32"/>
          <w:szCs w:val="32"/>
        </w:rPr>
        <w:t>0</w:t>
      </w:r>
      <w:r>
        <w:rPr>
          <w:rFonts w:eastAsia="仿宋"/>
          <w:color w:val="000000"/>
          <w:sz w:val="32"/>
          <w:szCs w:val="32"/>
        </w:rPr>
        <w:t>万元；公务接待费支出决算</w:t>
      </w:r>
      <w:r>
        <w:rPr>
          <w:rFonts w:hint="eastAsia" w:eastAsia="仿宋"/>
          <w:color w:val="000000"/>
          <w:sz w:val="32"/>
          <w:szCs w:val="32"/>
        </w:rPr>
        <w:t>0</w:t>
      </w:r>
      <w:r>
        <w:rPr>
          <w:rFonts w:eastAsia="仿宋"/>
          <w:color w:val="000000"/>
          <w:sz w:val="32"/>
          <w:szCs w:val="32"/>
        </w:rPr>
        <w:t>万元。具体情况如下：</w:t>
      </w:r>
    </w:p>
    <w:p>
      <w:pPr>
        <w:pStyle w:val="14"/>
      </w:pPr>
      <w:r>
        <w:rPr>
          <w:rFonts w:hint="eastAsia"/>
          <w:lang w:val="en-US" w:eastAsia="zh-CN"/>
        </w:rPr>
        <w:t xml:space="preserve">              </w:t>
      </w:r>
      <w:r>
        <w:drawing>
          <wp:inline distT="0" distB="0" distL="114300" distR="114300">
            <wp:extent cx="2879725" cy="1440180"/>
            <wp:effectExtent l="4445" t="4445" r="11430" b="18415"/>
            <wp:docPr id="13988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4"/>
        <w:jc w:val="center"/>
      </w:pPr>
      <w:r>
        <w:rPr>
          <w:rFonts w:hint="eastAsia" w:eastAsia="仿宋"/>
          <w:color w:val="000000"/>
          <w:sz w:val="32"/>
          <w:szCs w:val="32"/>
          <w:lang w:eastAsia="zh-CN"/>
        </w:rPr>
        <w:t>（</w:t>
      </w:r>
      <w:r>
        <w:rPr>
          <w:rFonts w:eastAsia="仿宋"/>
          <w:color w:val="000000"/>
          <w:sz w:val="32"/>
          <w:szCs w:val="32"/>
        </w:rPr>
        <w:t>图</w:t>
      </w:r>
      <w:r>
        <w:rPr>
          <w:rFonts w:hint="eastAsia" w:eastAsia="仿宋"/>
          <w:color w:val="000000"/>
          <w:sz w:val="32"/>
          <w:szCs w:val="32"/>
          <w:lang w:val="en-US" w:eastAsia="zh-CN"/>
        </w:rPr>
        <w:t>7</w:t>
      </w:r>
      <w:r>
        <w:rPr>
          <w:rFonts w:eastAsia="仿宋"/>
          <w:color w:val="000000"/>
          <w:sz w:val="32"/>
          <w:szCs w:val="32"/>
        </w:rPr>
        <w:t>：</w:t>
      </w:r>
      <w:r>
        <w:rPr>
          <w:rFonts w:hint="eastAsia" w:eastAsia="仿宋"/>
          <w:color w:val="000000"/>
          <w:sz w:val="32"/>
          <w:szCs w:val="32"/>
          <w:lang w:eastAsia="zh-CN"/>
        </w:rPr>
        <w:t>“</w:t>
      </w:r>
      <w:r>
        <w:rPr>
          <w:rFonts w:hint="eastAsia" w:eastAsia="仿宋"/>
          <w:color w:val="000000"/>
          <w:sz w:val="32"/>
          <w:szCs w:val="32"/>
          <w:lang w:val="en-US" w:eastAsia="zh-CN"/>
        </w:rPr>
        <w:t>三公</w:t>
      </w:r>
      <w:r>
        <w:rPr>
          <w:rFonts w:hint="eastAsia" w:eastAsia="仿宋"/>
          <w:color w:val="000000"/>
          <w:sz w:val="32"/>
          <w:szCs w:val="32"/>
          <w:lang w:eastAsia="zh-CN"/>
        </w:rPr>
        <w:t>”</w:t>
      </w:r>
      <w:r>
        <w:rPr>
          <w:rFonts w:hint="eastAsia" w:eastAsia="仿宋"/>
          <w:color w:val="000000"/>
          <w:sz w:val="32"/>
          <w:szCs w:val="32"/>
          <w:lang w:val="en-US" w:eastAsia="zh-CN"/>
        </w:rPr>
        <w:t>经费</w:t>
      </w:r>
      <w:r>
        <w:rPr>
          <w:rFonts w:eastAsia="仿宋"/>
          <w:color w:val="000000"/>
          <w:sz w:val="32"/>
          <w:szCs w:val="32"/>
        </w:rPr>
        <w:t>财政拨款支出结构）</w:t>
      </w:r>
    </w:p>
    <w:p>
      <w:pPr>
        <w:spacing w:line="600" w:lineRule="exact"/>
        <w:ind w:firstLine="640"/>
        <w:rPr>
          <w:rFonts w:eastAsia="仿宋"/>
          <w:color w:val="FF0000"/>
          <w:sz w:val="32"/>
          <w:szCs w:val="32"/>
          <w:highlight w:val="yellow"/>
        </w:rPr>
      </w:pPr>
      <w:r>
        <w:rPr>
          <w:rFonts w:eastAsia="仿宋_GB2312"/>
          <w:b/>
          <w:color w:val="000000"/>
          <w:sz w:val="32"/>
          <w:szCs w:val="32"/>
        </w:rPr>
        <w:t>1.因公出国（境）经费支出</w:t>
      </w:r>
      <w:r>
        <w:rPr>
          <w:rFonts w:hint="eastAsia" w:eastAsia="仿宋_GB2312"/>
          <w:color w:val="000000"/>
          <w:sz w:val="32"/>
          <w:szCs w:val="32"/>
        </w:rPr>
        <w:t>0</w:t>
      </w:r>
      <w:r>
        <w:rPr>
          <w:rFonts w:eastAsia="仿宋_GB2312"/>
          <w:color w:val="000000"/>
          <w:sz w:val="32"/>
          <w:szCs w:val="32"/>
        </w:rPr>
        <w:t>万元</w:t>
      </w:r>
      <w:r>
        <w:rPr>
          <w:rStyle w:val="17"/>
          <w:rFonts w:eastAsia="仿宋"/>
          <w:b w:val="0"/>
          <w:bCs/>
          <w:color w:val="000000"/>
          <w:sz w:val="32"/>
          <w:szCs w:val="32"/>
        </w:rPr>
        <w:t>。</w:t>
      </w:r>
      <w:r>
        <w:rPr>
          <w:rFonts w:eastAsia="仿宋_GB2312"/>
          <w:color w:val="000000"/>
          <w:sz w:val="32"/>
          <w:szCs w:val="32"/>
        </w:rPr>
        <w:t>全年安排因公出国（境）团组</w:t>
      </w:r>
      <w:r>
        <w:rPr>
          <w:rFonts w:hint="eastAsia" w:eastAsia="仿宋_GB2312"/>
          <w:color w:val="000000"/>
          <w:sz w:val="32"/>
          <w:szCs w:val="32"/>
        </w:rPr>
        <w:t>0</w:t>
      </w:r>
      <w:r>
        <w:rPr>
          <w:rFonts w:eastAsia="仿宋_GB2312"/>
          <w:color w:val="000000"/>
          <w:sz w:val="32"/>
          <w:szCs w:val="32"/>
        </w:rPr>
        <w:t>次，出国（境）</w:t>
      </w:r>
      <w:r>
        <w:rPr>
          <w:rFonts w:hint="eastAsia" w:eastAsia="仿宋_GB2312"/>
          <w:color w:val="000000"/>
          <w:sz w:val="32"/>
          <w:szCs w:val="32"/>
        </w:rPr>
        <w:t>0</w:t>
      </w:r>
      <w:r>
        <w:rPr>
          <w:rFonts w:eastAsia="仿宋_GB2312"/>
          <w:color w:val="000000"/>
          <w:sz w:val="32"/>
          <w:szCs w:val="32"/>
        </w:rPr>
        <w:t>人。因公出国（境）支出决算</w:t>
      </w:r>
      <w:r>
        <w:rPr>
          <w:rFonts w:hint="eastAsia" w:eastAsia="仿宋_GB2312"/>
          <w:color w:val="000000"/>
          <w:sz w:val="32"/>
          <w:szCs w:val="32"/>
        </w:rPr>
        <w:t>与2021年持平，主要原因是无因公出国（境）</w:t>
      </w:r>
      <w:r>
        <w:rPr>
          <w:rFonts w:hint="eastAsia" w:eastAsia="仿宋"/>
          <w:color w:val="000000"/>
          <w:sz w:val="32"/>
          <w:szCs w:val="32"/>
        </w:rPr>
        <w:t>经费开支项目</w:t>
      </w:r>
      <w:r>
        <w:rPr>
          <w:rFonts w:hint="eastAsia" w:eastAsia="仿宋_GB2312"/>
          <w:color w:val="000000"/>
          <w:sz w:val="32"/>
          <w:szCs w:val="32"/>
        </w:rPr>
        <w:t>。</w:t>
      </w:r>
    </w:p>
    <w:p>
      <w:pPr>
        <w:spacing w:line="600" w:lineRule="exact"/>
        <w:ind w:firstLine="640"/>
        <w:rPr>
          <w:rFonts w:eastAsia="仿宋"/>
          <w:color w:val="FF0000"/>
          <w:sz w:val="32"/>
          <w:szCs w:val="32"/>
          <w:highlight w:val="yellow"/>
        </w:rPr>
      </w:pPr>
      <w:r>
        <w:rPr>
          <w:rFonts w:eastAsia="仿宋_GB2312"/>
          <w:b/>
          <w:color w:val="000000"/>
          <w:sz w:val="32"/>
          <w:szCs w:val="32"/>
        </w:rPr>
        <w:t>2.公务用车购置及运行维护费支出</w:t>
      </w:r>
      <w:r>
        <w:rPr>
          <w:rFonts w:hint="eastAsia" w:eastAsia="仿宋_GB2312"/>
          <w:color w:val="000000"/>
          <w:sz w:val="32"/>
          <w:szCs w:val="32"/>
        </w:rPr>
        <w:t>0</w:t>
      </w:r>
      <w:r>
        <w:rPr>
          <w:rFonts w:eastAsia="仿宋_GB2312"/>
          <w:color w:val="000000"/>
          <w:sz w:val="32"/>
          <w:szCs w:val="32"/>
        </w:rPr>
        <w:t>万元</w:t>
      </w:r>
      <w:r>
        <w:rPr>
          <w:rStyle w:val="17"/>
          <w:rFonts w:eastAsia="仿宋"/>
          <w:b w:val="0"/>
          <w:bCs/>
          <w:color w:val="000000"/>
          <w:sz w:val="32"/>
          <w:szCs w:val="32"/>
        </w:rPr>
        <w:t>。</w:t>
      </w:r>
      <w:r>
        <w:rPr>
          <w:rFonts w:eastAsia="仿宋_GB2312"/>
          <w:color w:val="000000"/>
          <w:sz w:val="32"/>
          <w:szCs w:val="32"/>
        </w:rPr>
        <w:t>公务用车购置及运行维护费支出决算</w:t>
      </w:r>
      <w:r>
        <w:rPr>
          <w:rFonts w:hint="eastAsia" w:eastAsia="仿宋_GB2312"/>
          <w:color w:val="000000"/>
          <w:sz w:val="32"/>
          <w:szCs w:val="32"/>
        </w:rPr>
        <w:t>与</w:t>
      </w:r>
      <w:r>
        <w:rPr>
          <w:rFonts w:eastAsia="仿宋_GB2312"/>
          <w:color w:val="000000"/>
          <w:sz w:val="32"/>
          <w:szCs w:val="32"/>
        </w:rPr>
        <w:t>2021</w:t>
      </w:r>
      <w:r>
        <w:rPr>
          <w:rFonts w:hint="eastAsia" w:eastAsia="仿宋_GB2312"/>
          <w:color w:val="000000"/>
          <w:sz w:val="32"/>
          <w:szCs w:val="32"/>
        </w:rPr>
        <w:t>持平。主要原因是无公务用此车购置及运行维护</w:t>
      </w:r>
      <w:r>
        <w:rPr>
          <w:rFonts w:hint="eastAsia" w:eastAsia="仿宋"/>
          <w:color w:val="000000"/>
          <w:sz w:val="32"/>
          <w:szCs w:val="32"/>
        </w:rPr>
        <w:t>经费开支项目</w:t>
      </w:r>
      <w:r>
        <w:rPr>
          <w:rFonts w:hint="eastAsia" w:eastAsia="仿宋_GB2312"/>
          <w:color w:val="000000"/>
          <w:sz w:val="32"/>
          <w:szCs w:val="32"/>
        </w:rPr>
        <w:t>。</w:t>
      </w:r>
    </w:p>
    <w:p>
      <w:pPr>
        <w:spacing w:line="600" w:lineRule="exact"/>
        <w:ind w:firstLine="640" w:firstLineChars="20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hint="eastAsia" w:eastAsia="仿宋_GB2312"/>
          <w:sz w:val="32"/>
          <w:szCs w:val="32"/>
        </w:rPr>
        <w:t>0</w:t>
      </w:r>
      <w:r>
        <w:rPr>
          <w:rFonts w:eastAsia="仿宋_GB2312"/>
          <w:sz w:val="32"/>
          <w:szCs w:val="32"/>
        </w:rPr>
        <w:t>万元，</w:t>
      </w:r>
      <w:r>
        <w:rPr>
          <w:rFonts w:hint="eastAsia" w:eastAsia="仿宋_GB2312"/>
          <w:sz w:val="32"/>
          <w:szCs w:val="32"/>
        </w:rPr>
        <w:t>与2021年持平，无公务用车购置需求。</w:t>
      </w:r>
      <w:r>
        <w:rPr>
          <w:rFonts w:eastAsia="仿宋_GB2312"/>
          <w:color w:val="000000"/>
          <w:sz w:val="32"/>
          <w:szCs w:val="32"/>
        </w:rPr>
        <w:t>全年按规定更新购置公务用车</w:t>
      </w:r>
      <w:r>
        <w:rPr>
          <w:rFonts w:hint="eastAsia" w:eastAsia="仿宋_GB2312"/>
          <w:color w:val="000000"/>
          <w:sz w:val="32"/>
          <w:szCs w:val="32"/>
        </w:rPr>
        <w:t>0</w:t>
      </w:r>
      <w:r>
        <w:rPr>
          <w:rFonts w:eastAsia="仿宋_GB2312"/>
          <w:color w:val="000000"/>
          <w:sz w:val="32"/>
          <w:szCs w:val="32"/>
        </w:rPr>
        <w:t>辆。截至2022年12月底，单位共有公务用车</w:t>
      </w:r>
      <w:r>
        <w:rPr>
          <w:rFonts w:hint="eastAsia" w:eastAsia="仿宋_GB2312"/>
          <w:color w:val="000000"/>
          <w:sz w:val="32"/>
          <w:szCs w:val="32"/>
        </w:rPr>
        <w:t>0</w:t>
      </w:r>
      <w:r>
        <w:rPr>
          <w:rFonts w:eastAsia="仿宋_GB2312"/>
          <w:color w:val="000000"/>
          <w:sz w:val="32"/>
          <w:szCs w:val="32"/>
        </w:rPr>
        <w:t>辆。</w:t>
      </w:r>
    </w:p>
    <w:p>
      <w:pPr>
        <w:spacing w:line="600" w:lineRule="exact"/>
        <w:ind w:firstLine="640"/>
        <w:rPr>
          <w:rFonts w:eastAsia="仿宋_GB2312"/>
          <w:color w:val="000000"/>
          <w:sz w:val="32"/>
          <w:szCs w:val="32"/>
        </w:rPr>
      </w:pPr>
      <w:r>
        <w:rPr>
          <w:rFonts w:eastAsia="仿宋_GB2312"/>
          <w:b/>
          <w:color w:val="000000"/>
          <w:sz w:val="32"/>
          <w:szCs w:val="32"/>
        </w:rPr>
        <w:t>公务用车运行维护费支出</w:t>
      </w:r>
      <w:r>
        <w:rPr>
          <w:rFonts w:hint="eastAsia" w:eastAsia="仿宋_GB2312"/>
          <w:sz w:val="32"/>
          <w:szCs w:val="32"/>
        </w:rPr>
        <w:t>0</w:t>
      </w:r>
      <w:r>
        <w:rPr>
          <w:rFonts w:eastAsia="仿宋_GB2312"/>
          <w:sz w:val="32"/>
          <w:szCs w:val="32"/>
        </w:rPr>
        <w:t>万元，</w:t>
      </w:r>
      <w:r>
        <w:rPr>
          <w:rFonts w:hint="eastAsia" w:eastAsia="仿宋_GB2312"/>
          <w:sz w:val="32"/>
          <w:szCs w:val="32"/>
        </w:rPr>
        <w:t>与2021年持平，主要原因是无公务用</w:t>
      </w:r>
      <w:r>
        <w:rPr>
          <w:rFonts w:eastAsia="仿宋_GB2312"/>
          <w:sz w:val="32"/>
          <w:szCs w:val="32"/>
        </w:rPr>
        <w:t>车运行维护费支出</w:t>
      </w:r>
      <w:r>
        <w:rPr>
          <w:rFonts w:hint="eastAsia" w:eastAsia="仿宋_GB2312"/>
          <w:sz w:val="32"/>
          <w:szCs w:val="32"/>
        </w:rPr>
        <w:t>。</w:t>
      </w:r>
    </w:p>
    <w:p>
      <w:pPr>
        <w:spacing w:line="600" w:lineRule="exact"/>
        <w:ind w:firstLine="640"/>
        <w:rPr>
          <w:rFonts w:eastAsia="仿宋_GB2312"/>
          <w:color w:val="000000"/>
          <w:sz w:val="32"/>
          <w:szCs w:val="32"/>
        </w:rPr>
      </w:pPr>
      <w:r>
        <w:rPr>
          <w:rFonts w:eastAsia="仿宋_GB2312"/>
          <w:b/>
          <w:color w:val="000000"/>
          <w:sz w:val="32"/>
          <w:szCs w:val="32"/>
        </w:rPr>
        <w:t>3.公务接待费支出</w:t>
      </w:r>
      <w:r>
        <w:rPr>
          <w:rFonts w:hint="eastAsia" w:eastAsia="仿宋_GB2312"/>
          <w:color w:val="000000"/>
          <w:sz w:val="32"/>
          <w:szCs w:val="32"/>
        </w:rPr>
        <w:t>0</w:t>
      </w:r>
      <w:r>
        <w:rPr>
          <w:rFonts w:eastAsia="仿宋_GB2312"/>
          <w:color w:val="000000"/>
          <w:sz w:val="32"/>
          <w:szCs w:val="32"/>
        </w:rPr>
        <w:t>万元</w:t>
      </w:r>
      <w:r>
        <w:rPr>
          <w:rStyle w:val="17"/>
          <w:rFonts w:eastAsia="仿宋"/>
          <w:b w:val="0"/>
          <w:bCs/>
          <w:color w:val="000000"/>
          <w:sz w:val="32"/>
          <w:szCs w:val="32"/>
        </w:rPr>
        <w:t>。</w:t>
      </w:r>
      <w:r>
        <w:rPr>
          <w:rFonts w:eastAsia="仿宋_GB2312"/>
          <w:color w:val="000000"/>
          <w:sz w:val="32"/>
          <w:szCs w:val="32"/>
        </w:rPr>
        <w:t>公务接待费支出决算</w:t>
      </w:r>
      <w:r>
        <w:rPr>
          <w:rFonts w:hint="eastAsia" w:eastAsia="仿宋_GB2312"/>
          <w:color w:val="000000"/>
          <w:sz w:val="32"/>
          <w:szCs w:val="32"/>
        </w:rPr>
        <w:t>与</w:t>
      </w:r>
      <w:r>
        <w:rPr>
          <w:rFonts w:eastAsia="仿宋_GB2312"/>
          <w:color w:val="000000"/>
          <w:sz w:val="32"/>
          <w:szCs w:val="32"/>
        </w:rPr>
        <w:t>2021</w:t>
      </w:r>
      <w:r>
        <w:rPr>
          <w:rFonts w:hint="eastAsia" w:eastAsia="仿宋_GB2312"/>
          <w:color w:val="000000"/>
          <w:sz w:val="32"/>
          <w:szCs w:val="32"/>
        </w:rPr>
        <w:t>持平，主要原因是无</w:t>
      </w:r>
      <w:r>
        <w:rPr>
          <w:rFonts w:eastAsia="仿宋_GB2312"/>
          <w:color w:val="000000"/>
          <w:sz w:val="32"/>
          <w:szCs w:val="32"/>
        </w:rPr>
        <w:t>公务接待费支出。其中：</w:t>
      </w:r>
    </w:p>
    <w:p>
      <w:pPr>
        <w:spacing w:line="600" w:lineRule="exact"/>
        <w:ind w:firstLine="640"/>
        <w:rPr>
          <w:rFonts w:eastAsia="仿宋_GB2312"/>
          <w:color w:val="000000"/>
          <w:sz w:val="32"/>
          <w:szCs w:val="32"/>
        </w:rPr>
      </w:pPr>
      <w:r>
        <w:rPr>
          <w:rFonts w:eastAsia="仿宋"/>
          <w:b/>
          <w:color w:val="000000"/>
          <w:sz w:val="32"/>
          <w:szCs w:val="32"/>
        </w:rPr>
        <w:t>国内公务接待支出</w:t>
      </w:r>
      <w:r>
        <w:rPr>
          <w:rFonts w:hint="eastAsia" w:eastAsia="仿宋"/>
          <w:color w:val="000000"/>
          <w:sz w:val="32"/>
          <w:szCs w:val="32"/>
        </w:rPr>
        <w:t>0</w:t>
      </w:r>
      <w:r>
        <w:rPr>
          <w:rFonts w:eastAsia="仿宋_GB2312"/>
          <w:color w:val="000000"/>
          <w:sz w:val="32"/>
          <w:szCs w:val="32"/>
        </w:rPr>
        <w:t>万元，</w:t>
      </w:r>
      <w:r>
        <w:rPr>
          <w:rFonts w:hint="eastAsia" w:eastAsia="仿宋_GB2312"/>
          <w:color w:val="000000"/>
          <w:sz w:val="32"/>
          <w:szCs w:val="32"/>
        </w:rPr>
        <w:t>与2021年持平，主要原因是无</w:t>
      </w:r>
      <w:r>
        <w:rPr>
          <w:rFonts w:eastAsia="仿宋"/>
          <w:color w:val="000000"/>
          <w:sz w:val="32"/>
          <w:szCs w:val="32"/>
        </w:rPr>
        <w:t>国内公务接待支出</w:t>
      </w:r>
      <w:r>
        <w:rPr>
          <w:rFonts w:hint="eastAsia" w:eastAsia="仿宋_GB2312"/>
          <w:color w:val="000000"/>
          <w:sz w:val="32"/>
          <w:szCs w:val="32"/>
        </w:rPr>
        <w:t>。</w:t>
      </w:r>
    </w:p>
    <w:p>
      <w:pPr>
        <w:spacing w:line="600" w:lineRule="exact"/>
        <w:ind w:firstLine="643" w:firstLineChars="200"/>
        <w:rPr>
          <w:rFonts w:eastAsia="黑体"/>
          <w:color w:val="000000"/>
          <w:sz w:val="32"/>
          <w:szCs w:val="32"/>
        </w:rPr>
      </w:pPr>
      <w:r>
        <w:rPr>
          <w:rFonts w:eastAsia="仿宋"/>
          <w:b/>
          <w:color w:val="000000"/>
          <w:sz w:val="32"/>
          <w:szCs w:val="32"/>
        </w:rPr>
        <w:t>外事接待支出</w:t>
      </w:r>
      <w:r>
        <w:rPr>
          <w:rFonts w:hint="eastAsia" w:eastAsia="仿宋"/>
          <w:color w:val="000000"/>
          <w:sz w:val="32"/>
          <w:szCs w:val="32"/>
        </w:rPr>
        <w:t>0</w:t>
      </w:r>
      <w:r>
        <w:rPr>
          <w:rFonts w:eastAsia="仿宋_GB2312"/>
          <w:color w:val="000000"/>
          <w:sz w:val="32"/>
          <w:szCs w:val="32"/>
        </w:rPr>
        <w:t>万元</w:t>
      </w:r>
      <w:r>
        <w:rPr>
          <w:rFonts w:eastAsia="仿宋_GB2312"/>
          <w:color w:val="000000" w:themeColor="text1"/>
          <w:sz w:val="32"/>
          <w:szCs w:val="32"/>
        </w:rPr>
        <w:t>，</w:t>
      </w:r>
      <w:r>
        <w:rPr>
          <w:rFonts w:hint="eastAsia" w:eastAsia="仿宋_GB2312"/>
          <w:color w:val="000000" w:themeColor="text1"/>
          <w:sz w:val="32"/>
          <w:szCs w:val="32"/>
        </w:rPr>
        <w:t>与2021年持平</w:t>
      </w:r>
      <w:r>
        <w:rPr>
          <w:rFonts w:hint="eastAsia" w:eastAsia="仿宋_GB2312"/>
          <w:color w:val="000000"/>
          <w:sz w:val="32"/>
          <w:szCs w:val="32"/>
        </w:rPr>
        <w:t>，主要原因是无</w:t>
      </w:r>
      <w:r>
        <w:rPr>
          <w:rFonts w:eastAsia="仿宋"/>
          <w:color w:val="000000"/>
          <w:sz w:val="32"/>
          <w:szCs w:val="32"/>
        </w:rPr>
        <w:t>外事接待支出</w:t>
      </w:r>
      <w:r>
        <w:rPr>
          <w:rFonts w:hint="eastAsia" w:eastAsia="仿宋_GB2312"/>
          <w:color w:val="000000" w:themeColor="text1"/>
          <w:sz w:val="32"/>
          <w:szCs w:val="32"/>
        </w:rPr>
        <w:t>。</w:t>
      </w:r>
      <w:bookmarkStart w:id="41" w:name="_Toc15377218"/>
      <w:bookmarkStart w:id="42" w:name="_Toc15396610"/>
    </w:p>
    <w:p>
      <w:pPr>
        <w:spacing w:line="600" w:lineRule="exact"/>
        <w:ind w:firstLine="640"/>
        <w:outlineLvl w:val="1"/>
        <w:rPr>
          <w:rStyle w:val="28"/>
          <w:rFonts w:ascii="Times New Roman" w:hAnsi="Times New Roman" w:eastAsia="黑体" w:cs="Times New Roman"/>
        </w:rPr>
      </w:pPr>
      <w:r>
        <w:rPr>
          <w:rFonts w:eastAsia="黑体"/>
          <w:color w:val="000000"/>
          <w:sz w:val="32"/>
          <w:szCs w:val="32"/>
        </w:rPr>
        <w:t>九、</w:t>
      </w:r>
      <w:r>
        <w:rPr>
          <w:rStyle w:val="28"/>
          <w:rFonts w:ascii="Times New Roman" w:hAnsi="Times New Roman" w:eastAsia="黑体" w:cs="Times New Roman"/>
          <w:b w:val="0"/>
        </w:rPr>
        <w:t>政府性基金预算支出决算情况说明</w:t>
      </w:r>
      <w:bookmarkEnd w:id="41"/>
      <w:bookmarkEnd w:id="42"/>
    </w:p>
    <w:p>
      <w:pPr>
        <w:spacing w:line="600" w:lineRule="exact"/>
        <w:ind w:firstLine="640"/>
        <w:rPr>
          <w:rFonts w:eastAsia="仿宋_GB2312"/>
          <w:color w:val="000000"/>
          <w:sz w:val="32"/>
          <w:szCs w:val="32"/>
        </w:rPr>
      </w:pPr>
      <w:r>
        <w:rPr>
          <w:rFonts w:eastAsia="仿宋_GB2312"/>
          <w:color w:val="000000"/>
          <w:sz w:val="32"/>
          <w:szCs w:val="32"/>
        </w:rPr>
        <w:t>2022年政府性基金预算拨款支出</w:t>
      </w:r>
      <w:r>
        <w:rPr>
          <w:rFonts w:hint="eastAsia" w:eastAsia="仿宋_GB2312"/>
          <w:color w:val="000000"/>
          <w:sz w:val="32"/>
          <w:szCs w:val="32"/>
        </w:rPr>
        <w:t>0</w:t>
      </w:r>
      <w:r>
        <w:rPr>
          <w:rFonts w:eastAsia="仿宋_GB2312"/>
          <w:color w:val="000000"/>
          <w:sz w:val="32"/>
          <w:szCs w:val="32"/>
        </w:rPr>
        <w:t>万元。</w:t>
      </w:r>
    </w:p>
    <w:p>
      <w:pPr>
        <w:spacing w:line="600" w:lineRule="exact"/>
        <w:ind w:firstLine="640" w:firstLineChars="200"/>
        <w:outlineLvl w:val="1"/>
        <w:rPr>
          <w:rStyle w:val="28"/>
          <w:rFonts w:ascii="Times New Roman" w:hAnsi="Times New Roman" w:eastAsia="黑体" w:cs="Times New Roman"/>
          <w:b w:val="0"/>
        </w:rPr>
      </w:pPr>
      <w:bookmarkStart w:id="43" w:name="_Toc15396611"/>
      <w:bookmarkStart w:id="44" w:name="_Toc15377219"/>
      <w:r>
        <w:rPr>
          <w:rStyle w:val="28"/>
          <w:rFonts w:ascii="Times New Roman" w:hAnsi="Times New Roman" w:eastAsia="黑体" w:cs="Times New Roman"/>
          <w:b w:val="0"/>
        </w:rPr>
        <w:t>十、国有资本经营预算支出决算情况说明</w:t>
      </w:r>
      <w:bookmarkEnd w:id="43"/>
      <w:bookmarkEnd w:id="44"/>
    </w:p>
    <w:p>
      <w:pPr>
        <w:spacing w:line="600" w:lineRule="exact"/>
        <w:ind w:firstLine="640"/>
        <w:rPr>
          <w:rFonts w:eastAsia="方正小标宋简体"/>
          <w:sz w:val="44"/>
          <w:szCs w:val="44"/>
        </w:rPr>
      </w:pPr>
      <w:r>
        <w:rPr>
          <w:rFonts w:eastAsia="仿宋_GB2312"/>
          <w:color w:val="000000"/>
          <w:sz w:val="32"/>
          <w:szCs w:val="32"/>
        </w:rPr>
        <w:t>2022年国有资本经营预算拨款支出</w:t>
      </w:r>
      <w:r>
        <w:rPr>
          <w:rFonts w:hint="eastAsia" w:eastAsia="仿宋_GB2312"/>
          <w:color w:val="000000"/>
          <w:sz w:val="32"/>
          <w:szCs w:val="32"/>
        </w:rPr>
        <w:t>0</w:t>
      </w:r>
      <w:r>
        <w:rPr>
          <w:rFonts w:eastAsia="仿宋_GB2312"/>
          <w:color w:val="000000"/>
          <w:sz w:val="32"/>
          <w:szCs w:val="32"/>
        </w:rPr>
        <w:t>万元。</w:t>
      </w:r>
    </w:p>
    <w:p>
      <w:pPr>
        <w:spacing w:line="600" w:lineRule="exact"/>
        <w:ind w:firstLine="640" w:firstLineChars="200"/>
        <w:outlineLvl w:val="1"/>
        <w:rPr>
          <w:rStyle w:val="28"/>
          <w:rFonts w:ascii="Times New Roman" w:hAnsi="Times New Roman" w:eastAsia="黑体" w:cs="Times New Roman"/>
        </w:rPr>
      </w:pPr>
      <w:bookmarkStart w:id="45" w:name="_Toc15377221"/>
      <w:bookmarkStart w:id="46" w:name="_Toc15396612"/>
      <w:r>
        <w:rPr>
          <w:rFonts w:eastAsia="黑体"/>
          <w:color w:val="000000"/>
          <w:sz w:val="32"/>
          <w:szCs w:val="32"/>
        </w:rPr>
        <w:t>十一</w:t>
      </w:r>
      <w:r>
        <w:rPr>
          <w:rStyle w:val="28"/>
          <w:rFonts w:ascii="Times New Roman" w:hAnsi="Times New Roman" w:eastAsia="黑体" w:cs="Times New Roman"/>
        </w:rPr>
        <w:t>、</w:t>
      </w:r>
      <w:r>
        <w:rPr>
          <w:rStyle w:val="28"/>
          <w:rFonts w:ascii="Times New Roman" w:hAnsi="Times New Roman" w:eastAsia="黑体" w:cs="Times New Roman"/>
          <w:b w:val="0"/>
        </w:rPr>
        <w:t>其他重要事项的情况说明</w:t>
      </w:r>
      <w:bookmarkEnd w:id="45"/>
      <w:bookmarkEnd w:id="46"/>
    </w:p>
    <w:p>
      <w:pPr>
        <w:spacing w:line="600" w:lineRule="exact"/>
        <w:ind w:firstLine="643" w:firstLineChars="200"/>
        <w:outlineLvl w:val="2"/>
        <w:rPr>
          <w:rFonts w:eastAsia="仿宋"/>
          <w:color w:val="000000"/>
          <w:sz w:val="32"/>
          <w:szCs w:val="32"/>
        </w:rPr>
      </w:pPr>
      <w:bookmarkStart w:id="47" w:name="_Toc15377222"/>
      <w:r>
        <w:rPr>
          <w:rFonts w:eastAsia="仿宋"/>
          <w:b/>
          <w:color w:val="000000"/>
          <w:sz w:val="32"/>
          <w:szCs w:val="32"/>
        </w:rPr>
        <w:t>（一）机关运行经费支出情况</w:t>
      </w:r>
      <w:bookmarkEnd w:id="47"/>
    </w:p>
    <w:p>
      <w:pPr>
        <w:spacing w:line="600" w:lineRule="exact"/>
        <w:ind w:firstLine="640" w:firstLineChars="200"/>
        <w:rPr>
          <w:rFonts w:eastAsia="仿宋_GB2312"/>
          <w:color w:val="000000" w:themeColor="text1"/>
          <w:sz w:val="32"/>
          <w:szCs w:val="32"/>
        </w:rPr>
      </w:pPr>
      <w:r>
        <w:rPr>
          <w:rFonts w:eastAsia="仿宋_GB2312"/>
          <w:color w:val="000000"/>
          <w:sz w:val="32"/>
          <w:szCs w:val="32"/>
        </w:rPr>
        <w:t>2022年，</w:t>
      </w:r>
      <w:r>
        <w:rPr>
          <w:rFonts w:hint="eastAsia" w:eastAsia="仿宋_GB2312"/>
          <w:color w:val="000000"/>
          <w:sz w:val="32"/>
          <w:szCs w:val="32"/>
        </w:rPr>
        <w:t>广安市第六幼儿园</w:t>
      </w:r>
      <w:r>
        <w:rPr>
          <w:rFonts w:eastAsia="仿宋_GB2312"/>
          <w:color w:val="000000"/>
          <w:sz w:val="32"/>
          <w:szCs w:val="32"/>
        </w:rPr>
        <w:t>机关运行经费支出</w:t>
      </w:r>
      <w:r>
        <w:rPr>
          <w:rFonts w:hint="eastAsia" w:eastAsia="仿宋_GB2312"/>
          <w:color w:val="000000"/>
          <w:sz w:val="32"/>
          <w:szCs w:val="32"/>
        </w:rPr>
        <w:t>0</w:t>
      </w:r>
      <w:r>
        <w:rPr>
          <w:rFonts w:eastAsia="仿宋_GB2312"/>
          <w:color w:val="000000"/>
          <w:sz w:val="32"/>
          <w:szCs w:val="32"/>
        </w:rPr>
        <w:t>万元，与2021年决算数持平</w:t>
      </w:r>
      <w:r>
        <w:rPr>
          <w:rFonts w:hint="eastAsia" w:eastAsia="仿宋_GB2312"/>
          <w:color w:val="000000"/>
          <w:sz w:val="32"/>
          <w:szCs w:val="32"/>
        </w:rPr>
        <w:t>。主要原因是本单位是事业单位，无机关运行经费支出。</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48" w:name="_Toc15377223"/>
      <w:r>
        <w:rPr>
          <w:rFonts w:eastAsia="仿宋"/>
          <w:b/>
          <w:color w:val="000000"/>
          <w:sz w:val="32"/>
          <w:szCs w:val="32"/>
        </w:rPr>
        <w:t>（二）政府采购支出情况</w:t>
      </w:r>
      <w:bookmarkEnd w:id="48"/>
    </w:p>
    <w:p>
      <w:pPr>
        <w:spacing w:line="600" w:lineRule="exact"/>
        <w:ind w:firstLine="640" w:firstLineChars="200"/>
        <w:rPr>
          <w:rFonts w:eastAsia="仿宋_GB2312"/>
          <w:color w:val="000000"/>
          <w:sz w:val="32"/>
          <w:szCs w:val="32"/>
        </w:rPr>
      </w:pPr>
      <w:r>
        <w:rPr>
          <w:rFonts w:eastAsia="仿宋_GB2312"/>
          <w:color w:val="000000"/>
          <w:sz w:val="32"/>
          <w:szCs w:val="32"/>
        </w:rPr>
        <w:t>2022年，</w:t>
      </w:r>
      <w:r>
        <w:rPr>
          <w:rFonts w:hint="eastAsia" w:eastAsia="仿宋_GB2312"/>
          <w:color w:val="000000"/>
          <w:sz w:val="32"/>
          <w:szCs w:val="32"/>
        </w:rPr>
        <w:t>广安市第六幼儿园</w:t>
      </w:r>
      <w:r>
        <w:rPr>
          <w:rFonts w:eastAsia="仿宋_GB2312"/>
          <w:color w:val="000000"/>
          <w:sz w:val="32"/>
          <w:szCs w:val="32"/>
        </w:rPr>
        <w:t>政府采购支出总额</w:t>
      </w:r>
      <w:r>
        <w:rPr>
          <w:rFonts w:hint="eastAsia" w:eastAsia="仿宋_GB2312"/>
          <w:color w:val="000000"/>
          <w:sz w:val="32"/>
          <w:szCs w:val="32"/>
        </w:rPr>
        <w:t>0</w:t>
      </w:r>
      <w:r>
        <w:rPr>
          <w:rFonts w:eastAsia="仿宋_GB2312"/>
          <w:color w:val="000000"/>
          <w:sz w:val="32"/>
          <w:szCs w:val="32"/>
        </w:rPr>
        <w:t>万元，其中：政府采购货物支出</w:t>
      </w:r>
      <w:r>
        <w:rPr>
          <w:rFonts w:hint="eastAsia" w:eastAsia="仿宋_GB2312"/>
          <w:color w:val="000000"/>
          <w:sz w:val="32"/>
          <w:szCs w:val="32"/>
        </w:rPr>
        <w:t>0</w:t>
      </w:r>
      <w:r>
        <w:rPr>
          <w:rFonts w:eastAsia="仿宋_GB2312"/>
          <w:color w:val="000000"/>
          <w:sz w:val="32"/>
          <w:szCs w:val="32"/>
        </w:rPr>
        <w:t>万元、政府采购工程支出</w:t>
      </w:r>
      <w:r>
        <w:rPr>
          <w:rFonts w:hint="eastAsia" w:eastAsia="仿宋_GB2312"/>
          <w:color w:val="000000"/>
          <w:sz w:val="32"/>
          <w:szCs w:val="32"/>
        </w:rPr>
        <w:t>0</w:t>
      </w:r>
      <w:r>
        <w:rPr>
          <w:rFonts w:eastAsia="仿宋_GB2312"/>
          <w:color w:val="000000"/>
          <w:sz w:val="32"/>
          <w:szCs w:val="32"/>
        </w:rPr>
        <w:t>万元、政府采购服务支出</w:t>
      </w:r>
      <w:r>
        <w:rPr>
          <w:rFonts w:hint="eastAsia" w:eastAsia="仿宋_GB2312"/>
          <w:color w:val="000000"/>
          <w:sz w:val="32"/>
          <w:szCs w:val="32"/>
        </w:rPr>
        <w:t>0</w:t>
      </w:r>
      <w:r>
        <w:rPr>
          <w:rFonts w:eastAsia="仿宋_GB2312"/>
          <w:color w:val="000000"/>
          <w:sz w:val="32"/>
          <w:szCs w:val="32"/>
        </w:rPr>
        <w:t>万元。授予中小企业合同金额</w:t>
      </w:r>
      <w:r>
        <w:rPr>
          <w:rFonts w:hint="eastAsia" w:eastAsia="仿宋_GB2312"/>
          <w:color w:val="000000"/>
          <w:sz w:val="32"/>
          <w:szCs w:val="32"/>
        </w:rPr>
        <w:t>0</w:t>
      </w:r>
      <w:r>
        <w:rPr>
          <w:rFonts w:eastAsia="仿宋_GB2312"/>
          <w:color w:val="000000"/>
          <w:sz w:val="32"/>
          <w:szCs w:val="32"/>
        </w:rPr>
        <w:t>万元，其中：授予小微企业合同金额</w:t>
      </w:r>
      <w:r>
        <w:rPr>
          <w:rFonts w:hint="eastAsia" w:eastAsia="仿宋_GB2312"/>
          <w:color w:val="000000"/>
          <w:sz w:val="32"/>
          <w:szCs w:val="32"/>
        </w:rPr>
        <w:t>0</w:t>
      </w:r>
      <w:r>
        <w:rPr>
          <w:rFonts w:eastAsia="仿宋_GB2312"/>
          <w:color w:val="000000"/>
          <w:sz w:val="32"/>
          <w:szCs w:val="32"/>
        </w:rPr>
        <w:t>万元。</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49" w:name="_Toc15377224"/>
      <w:r>
        <w:rPr>
          <w:rFonts w:eastAsia="仿宋"/>
          <w:b/>
          <w:color w:val="000000"/>
          <w:sz w:val="32"/>
          <w:szCs w:val="32"/>
        </w:rPr>
        <w:t>（三）国有资产占有使用情况</w:t>
      </w:r>
      <w:bookmarkEnd w:id="49"/>
    </w:p>
    <w:p>
      <w:pPr>
        <w:autoSpaceDE w:val="0"/>
        <w:autoSpaceDN w:val="0"/>
        <w:adjustRightInd w:val="0"/>
        <w:spacing w:line="600" w:lineRule="exact"/>
        <w:ind w:firstLine="640" w:firstLineChars="200"/>
        <w:jc w:val="left"/>
        <w:rPr>
          <w:rFonts w:eastAsia="仿宋_GB2312"/>
          <w:color w:val="000000" w:themeColor="text1"/>
          <w:sz w:val="32"/>
          <w:szCs w:val="32"/>
        </w:rPr>
      </w:pPr>
      <w:r>
        <w:rPr>
          <w:rFonts w:eastAsia="仿宋_GB2312"/>
          <w:color w:val="000000"/>
          <w:sz w:val="32"/>
          <w:szCs w:val="32"/>
        </w:rPr>
        <w:t>截至2022年12月31日，</w:t>
      </w:r>
      <w:r>
        <w:rPr>
          <w:rFonts w:hint="eastAsia" w:eastAsia="仿宋_GB2312"/>
          <w:color w:val="000000"/>
          <w:sz w:val="32"/>
          <w:szCs w:val="32"/>
        </w:rPr>
        <w:t>广安市第六幼儿园</w:t>
      </w:r>
      <w:r>
        <w:rPr>
          <w:rFonts w:eastAsia="仿宋_GB2312"/>
          <w:color w:val="000000"/>
          <w:sz w:val="32"/>
          <w:szCs w:val="32"/>
        </w:rPr>
        <w:t>共有车辆</w:t>
      </w:r>
      <w:r>
        <w:rPr>
          <w:rFonts w:hint="eastAsia" w:eastAsia="仿宋_GB2312"/>
          <w:color w:val="000000"/>
          <w:sz w:val="32"/>
          <w:szCs w:val="32"/>
        </w:rPr>
        <w:t>0</w:t>
      </w:r>
      <w:r>
        <w:rPr>
          <w:rFonts w:eastAsia="仿宋_GB2312"/>
          <w:color w:val="000000"/>
          <w:sz w:val="32"/>
          <w:szCs w:val="32"/>
        </w:rPr>
        <w:t>辆，其中：主要领导干部用车</w:t>
      </w:r>
      <w:r>
        <w:rPr>
          <w:rFonts w:hint="eastAsia" w:eastAsia="仿宋_GB2312"/>
          <w:color w:val="000000"/>
          <w:sz w:val="32"/>
          <w:szCs w:val="32"/>
        </w:rPr>
        <w:t>0</w:t>
      </w:r>
      <w:r>
        <w:rPr>
          <w:rFonts w:eastAsia="仿宋_GB2312"/>
          <w:color w:val="000000"/>
          <w:sz w:val="32"/>
          <w:szCs w:val="32"/>
        </w:rPr>
        <w:t>辆、机要通信用车</w:t>
      </w:r>
      <w:r>
        <w:rPr>
          <w:rFonts w:hint="eastAsia" w:eastAsia="仿宋_GB2312"/>
          <w:color w:val="000000"/>
          <w:sz w:val="32"/>
          <w:szCs w:val="32"/>
        </w:rPr>
        <w:t>0</w:t>
      </w:r>
      <w:r>
        <w:rPr>
          <w:rFonts w:eastAsia="仿宋_GB2312"/>
          <w:color w:val="000000"/>
          <w:sz w:val="32"/>
          <w:szCs w:val="32"/>
        </w:rPr>
        <w:t>辆、应急保障用车</w:t>
      </w:r>
      <w:r>
        <w:rPr>
          <w:rFonts w:hint="eastAsia" w:eastAsia="仿宋_GB2312"/>
          <w:color w:val="000000"/>
          <w:sz w:val="32"/>
          <w:szCs w:val="32"/>
        </w:rPr>
        <w:t>0</w:t>
      </w:r>
      <w:r>
        <w:rPr>
          <w:rFonts w:eastAsia="仿宋_GB2312"/>
          <w:color w:val="000000"/>
          <w:sz w:val="32"/>
          <w:szCs w:val="32"/>
        </w:rPr>
        <w:t>辆、其他用车</w:t>
      </w:r>
      <w:r>
        <w:rPr>
          <w:rFonts w:hint="eastAsia" w:eastAsia="仿宋_GB2312"/>
          <w:color w:val="000000"/>
          <w:sz w:val="32"/>
          <w:szCs w:val="32"/>
        </w:rPr>
        <w:t>0</w:t>
      </w:r>
      <w:r>
        <w:rPr>
          <w:rFonts w:eastAsia="仿宋_GB2312"/>
          <w:color w:val="000000"/>
          <w:sz w:val="32"/>
          <w:szCs w:val="32"/>
        </w:rPr>
        <w:t>辆</w:t>
      </w:r>
      <w:r>
        <w:rPr>
          <w:rFonts w:eastAsia="仿宋_GB2312"/>
          <w:color w:val="000000" w:themeColor="text1"/>
          <w:sz w:val="32"/>
          <w:szCs w:val="32"/>
        </w:rPr>
        <w:t>。</w:t>
      </w:r>
    </w:p>
    <w:p>
      <w:pPr>
        <w:autoSpaceDE w:val="0"/>
        <w:autoSpaceDN w:val="0"/>
        <w:adjustRightInd w:val="0"/>
        <w:spacing w:line="600" w:lineRule="exact"/>
        <w:ind w:firstLine="640" w:firstLineChars="200"/>
        <w:jc w:val="left"/>
        <w:rPr>
          <w:rFonts w:eastAsia="仿宋_GB2312"/>
          <w:color w:val="000000"/>
          <w:sz w:val="32"/>
          <w:szCs w:val="32"/>
        </w:rPr>
      </w:pPr>
      <w:r>
        <w:rPr>
          <w:rFonts w:eastAsia="仿宋_GB2312"/>
          <w:color w:val="000000" w:themeColor="text1"/>
          <w:sz w:val="32"/>
          <w:szCs w:val="32"/>
        </w:rPr>
        <w:t>单价100</w:t>
      </w:r>
      <w:r>
        <w:rPr>
          <w:rFonts w:eastAsia="仿宋_GB2312"/>
          <w:color w:val="000000"/>
          <w:sz w:val="32"/>
          <w:szCs w:val="32"/>
        </w:rPr>
        <w:t>万元以上专用设备</w:t>
      </w:r>
      <w:r>
        <w:rPr>
          <w:rFonts w:hint="eastAsia" w:eastAsia="仿宋_GB2312"/>
          <w:color w:val="000000"/>
          <w:sz w:val="32"/>
          <w:szCs w:val="32"/>
        </w:rPr>
        <w:t>0</w:t>
      </w:r>
      <w:r>
        <w:rPr>
          <w:rFonts w:eastAsia="仿宋_GB2312"/>
          <w:color w:val="000000"/>
          <w:sz w:val="32"/>
          <w:szCs w:val="32"/>
        </w:rPr>
        <w:t>台（套）。</w:t>
      </w:r>
    </w:p>
    <w:p>
      <w:pPr>
        <w:autoSpaceDE w:val="0"/>
        <w:autoSpaceDN w:val="0"/>
        <w:adjustRightInd w:val="0"/>
        <w:spacing w:line="600" w:lineRule="exact"/>
        <w:ind w:firstLine="643" w:firstLineChars="200"/>
        <w:jc w:val="left"/>
        <w:outlineLvl w:val="2"/>
        <w:rPr>
          <w:rFonts w:eastAsia="仿宋"/>
          <w:b/>
          <w:color w:val="000000"/>
          <w:sz w:val="32"/>
          <w:szCs w:val="32"/>
        </w:rPr>
      </w:pPr>
      <w:r>
        <w:rPr>
          <w:rFonts w:eastAsia="仿宋"/>
          <w:b/>
          <w:color w:val="000000"/>
          <w:sz w:val="32"/>
          <w:szCs w:val="32"/>
        </w:rPr>
        <w:t>（四）预算绩效管理情况。</w:t>
      </w:r>
    </w:p>
    <w:p>
      <w:pPr>
        <w:spacing w:line="580" w:lineRule="exact"/>
        <w:ind w:firstLine="640" w:firstLineChars="200"/>
        <w:rPr>
          <w:rFonts w:eastAsia="仿宋_GB2312"/>
          <w:sz w:val="32"/>
          <w:szCs w:val="32"/>
          <w:highlight w:val="yellow"/>
        </w:rPr>
      </w:pPr>
      <w:r>
        <w:rPr>
          <w:rFonts w:eastAsia="仿宋_GB2312"/>
          <w:sz w:val="32"/>
          <w:szCs w:val="32"/>
        </w:rPr>
        <w:t>根据预算绩效管理要求，本部门在2022年度预算编制阶段，组织对</w:t>
      </w:r>
      <w:r>
        <w:rPr>
          <w:rFonts w:hint="eastAsia" w:eastAsia="仿宋_GB2312"/>
          <w:sz w:val="32"/>
          <w:szCs w:val="32"/>
        </w:rPr>
        <w:t>0个</w:t>
      </w:r>
      <w:r>
        <w:rPr>
          <w:rFonts w:eastAsia="仿宋_GB2312"/>
          <w:sz w:val="32"/>
          <w:szCs w:val="32"/>
        </w:rPr>
        <w:t>项目开展了预算事前绩效评估，对</w:t>
      </w:r>
      <w:r>
        <w:rPr>
          <w:rFonts w:hint="eastAsia" w:eastAsia="仿宋_GB2312"/>
          <w:sz w:val="32"/>
          <w:szCs w:val="32"/>
        </w:rPr>
        <w:t>0</w:t>
      </w:r>
      <w:r>
        <w:rPr>
          <w:rFonts w:eastAsia="仿宋_GB2312"/>
          <w:sz w:val="32"/>
          <w:szCs w:val="32"/>
        </w:rPr>
        <w:t>个项目编制了绩效目标，预算执行过程中，选取</w:t>
      </w:r>
      <w:r>
        <w:rPr>
          <w:rFonts w:hint="eastAsia" w:eastAsia="仿宋_GB2312"/>
          <w:sz w:val="32"/>
          <w:szCs w:val="32"/>
        </w:rPr>
        <w:t>3</w:t>
      </w:r>
      <w:r>
        <w:rPr>
          <w:rFonts w:eastAsia="仿宋_GB2312"/>
          <w:sz w:val="32"/>
          <w:szCs w:val="32"/>
        </w:rPr>
        <w:t>个项目全部开展绩效监控。</w:t>
      </w:r>
    </w:p>
    <w:p>
      <w:pPr>
        <w:spacing w:line="580" w:lineRule="exact"/>
        <w:ind w:firstLine="640" w:firstLineChars="200"/>
        <w:rPr>
          <w:rFonts w:hint="eastAsia" w:eastAsia="仿宋_GB2312"/>
          <w:sz w:val="32"/>
          <w:szCs w:val="32"/>
        </w:rPr>
      </w:pPr>
      <w:r>
        <w:rPr>
          <w:rFonts w:eastAsia="仿宋_GB2312"/>
          <w:sz w:val="32"/>
          <w:szCs w:val="32"/>
        </w:rPr>
        <w:t>组织对2022年度一般公共预算、政府性基金预算、国有资本经营预算、社会保险基金预算以及资本资产、债券资金、政府采购等全面开展绩效自评，形成</w:t>
      </w:r>
      <w:r>
        <w:rPr>
          <w:rFonts w:hint="eastAsia" w:eastAsia="仿宋_GB2312"/>
          <w:sz w:val="32"/>
          <w:szCs w:val="32"/>
        </w:rPr>
        <w:t>1个</w:t>
      </w:r>
      <w:r>
        <w:rPr>
          <w:rFonts w:eastAsia="仿宋_GB2312"/>
          <w:sz w:val="32"/>
          <w:szCs w:val="32"/>
        </w:rPr>
        <w:t>部门整体绩效自评报告，</w:t>
      </w:r>
      <w:r>
        <w:rPr>
          <w:rFonts w:hint="eastAsia" w:eastAsia="仿宋_GB2312"/>
          <w:sz w:val="32"/>
          <w:szCs w:val="32"/>
        </w:rPr>
        <w:t>3个预算项目绩效自评报告，</w:t>
      </w:r>
      <w:r>
        <w:rPr>
          <w:rFonts w:eastAsia="仿宋_GB2312"/>
          <w:sz w:val="32"/>
          <w:szCs w:val="32"/>
        </w:rPr>
        <w:t>其中</w:t>
      </w:r>
      <w:r>
        <w:rPr>
          <w:rFonts w:hint="eastAsia" w:eastAsia="仿宋_GB2312"/>
          <w:sz w:val="32"/>
          <w:szCs w:val="32"/>
        </w:rPr>
        <w:t>：</w:t>
      </w:r>
    </w:p>
    <w:p>
      <w:pPr>
        <w:spacing w:line="580" w:lineRule="exact"/>
        <w:ind w:firstLine="640" w:firstLineChars="200"/>
        <w:rPr>
          <w:rFonts w:hint="eastAsia" w:eastAsia="仿宋_GB2312"/>
          <w:sz w:val="32"/>
          <w:szCs w:val="32"/>
        </w:rPr>
      </w:pPr>
      <w:r>
        <w:rPr>
          <w:rFonts w:hint="eastAsia" w:eastAsia="仿宋_GB2312"/>
          <w:sz w:val="32"/>
          <w:szCs w:val="32"/>
        </w:rPr>
        <w:t>广安市第六幼儿园</w:t>
      </w:r>
      <w:r>
        <w:rPr>
          <w:rFonts w:eastAsia="仿宋_GB2312"/>
          <w:sz w:val="32"/>
          <w:szCs w:val="32"/>
        </w:rPr>
        <w:t>部门整体绩效自评得分为</w:t>
      </w:r>
      <w:r>
        <w:rPr>
          <w:rFonts w:hint="eastAsia" w:eastAsia="仿宋_GB2312"/>
          <w:sz w:val="32"/>
          <w:szCs w:val="32"/>
        </w:rPr>
        <w:t>88</w:t>
      </w:r>
      <w:r>
        <w:rPr>
          <w:rFonts w:eastAsia="仿宋_GB2312"/>
          <w:sz w:val="32"/>
          <w:szCs w:val="32"/>
        </w:rPr>
        <w:t>分</w:t>
      </w:r>
      <w:r>
        <w:rPr>
          <w:rFonts w:hint="eastAsia" w:eastAsia="仿宋_GB2312"/>
          <w:sz w:val="32"/>
          <w:szCs w:val="32"/>
        </w:rPr>
        <w:t>。</w:t>
      </w:r>
      <w:r>
        <w:rPr>
          <w:rFonts w:eastAsia="仿宋_GB2312"/>
          <w:sz w:val="32"/>
          <w:szCs w:val="32"/>
        </w:rPr>
        <w:t>绩效自评综述：我单位按照财政预算编制规定和要求，结合单位年度工作计划采取按定额编制的方法按时完成人员经费、日常公用经费编制工作，切实做到数据完整和准确无误。实行工效挂钩，激励各</w:t>
      </w:r>
      <w:r>
        <w:rPr>
          <w:rFonts w:hint="eastAsia" w:eastAsia="仿宋_GB2312"/>
          <w:sz w:val="32"/>
          <w:szCs w:val="32"/>
        </w:rPr>
        <w:t>处室</w:t>
      </w:r>
      <w:r>
        <w:rPr>
          <w:rFonts w:eastAsia="仿宋_GB2312"/>
          <w:sz w:val="32"/>
          <w:szCs w:val="32"/>
        </w:rPr>
        <w:t>、各位职工持续改进工作绩效，建立和完善绩效管理机制，提高我园的人员工作能力，确保顺利实现单位工作目标。</w:t>
      </w:r>
    </w:p>
    <w:p>
      <w:pPr>
        <w:spacing w:line="580" w:lineRule="exact"/>
        <w:ind w:firstLine="640" w:firstLineChars="200"/>
        <w:rPr>
          <w:rFonts w:hint="eastAsia" w:eastAsia="仿宋_GB2312"/>
          <w:sz w:val="32"/>
          <w:szCs w:val="32"/>
        </w:rPr>
      </w:pPr>
      <w:r>
        <w:rPr>
          <w:rFonts w:hint="eastAsia" w:eastAsia="仿宋_GB2312"/>
          <w:sz w:val="32"/>
          <w:szCs w:val="32"/>
        </w:rPr>
        <w:t>合同制教师及保育员工资预算项目绩效自评得分为100分，</w:t>
      </w:r>
      <w:r>
        <w:rPr>
          <w:rFonts w:eastAsia="仿宋_GB2312"/>
          <w:sz w:val="32"/>
          <w:szCs w:val="32"/>
        </w:rPr>
        <w:t>绩效自评综述：</w:t>
      </w:r>
      <w:r>
        <w:rPr>
          <w:rFonts w:hint="eastAsia" w:eastAsia="仿宋_GB2312"/>
          <w:sz w:val="32"/>
          <w:szCs w:val="32"/>
        </w:rPr>
        <w:t>我单位2022年按时发放合同制教师、保育员工资，并为其缴纳社会保险及公积金，保障人员生活水平。</w:t>
      </w:r>
    </w:p>
    <w:p>
      <w:pPr>
        <w:pStyle w:val="14"/>
        <w:ind w:left="199" w:leftChars="95" w:firstLine="419" w:firstLineChars="131"/>
        <w:rPr>
          <w:rFonts w:hint="eastAsia" w:eastAsia="仿宋_GB2312"/>
          <w:sz w:val="32"/>
        </w:rPr>
      </w:pPr>
      <w:r>
        <w:rPr>
          <w:rFonts w:hint="eastAsia" w:eastAsia="仿宋_GB2312"/>
          <w:sz w:val="32"/>
        </w:rPr>
        <w:t>保教费预算项目绩效自评得分为95分，</w:t>
      </w:r>
      <w:r>
        <w:rPr>
          <w:rFonts w:eastAsia="仿宋_GB2312"/>
          <w:sz w:val="32"/>
        </w:rPr>
        <w:t>绩效自评综述：</w:t>
      </w:r>
      <w:r>
        <w:rPr>
          <w:rFonts w:hint="eastAsia" w:eastAsia="仿宋_GB2312"/>
          <w:sz w:val="32"/>
        </w:rPr>
        <w:t>保障幼儿园日常经费支出，提升幼儿园办学条件。</w:t>
      </w:r>
    </w:p>
    <w:p>
      <w:pPr>
        <w:pStyle w:val="14"/>
        <w:ind w:left="199" w:leftChars="95" w:firstLine="419" w:firstLineChars="131"/>
        <w:rPr>
          <w:rFonts w:hint="eastAsia"/>
        </w:rPr>
      </w:pPr>
      <w:r>
        <w:rPr>
          <w:rFonts w:hint="eastAsia" w:eastAsia="仿宋_GB2312"/>
          <w:sz w:val="32"/>
        </w:rPr>
        <w:t>班级物资采购预算项目绩效自评得分为100分，</w:t>
      </w:r>
      <w:r>
        <w:rPr>
          <w:rFonts w:eastAsia="仿宋_GB2312"/>
          <w:sz w:val="32"/>
        </w:rPr>
        <w:t>绩效自评综述：</w:t>
      </w:r>
      <w:r>
        <w:rPr>
          <w:rFonts w:hint="eastAsia" w:eastAsia="仿宋_GB2312"/>
          <w:sz w:val="32"/>
        </w:rPr>
        <w:t>确保2022年秋季新生顺利入园，一日活动正常开展。</w:t>
      </w:r>
    </w:p>
    <w:p>
      <w:pPr>
        <w:spacing w:line="580" w:lineRule="exact"/>
        <w:ind w:firstLine="640" w:firstLineChars="200"/>
        <w:rPr>
          <w:rFonts w:eastAsia="仿宋_GB2312"/>
          <w:sz w:val="32"/>
          <w:szCs w:val="32"/>
        </w:rPr>
      </w:pPr>
      <w:r>
        <w:rPr>
          <w:rFonts w:eastAsia="仿宋_GB2312"/>
          <w:sz w:val="32"/>
          <w:szCs w:val="32"/>
        </w:rPr>
        <w:t>绩效自评报告详见附件。</w:t>
      </w:r>
    </w:p>
    <w:p>
      <w:pPr>
        <w:widowControl/>
        <w:jc w:val="left"/>
        <w:rPr>
          <w:rFonts w:hint="eastAsia" w:eastAsia="仿宋_GB2312"/>
          <w:b/>
          <w:color w:val="000000"/>
          <w:sz w:val="32"/>
          <w:szCs w:val="32"/>
        </w:rPr>
      </w:pPr>
    </w:p>
    <w:p>
      <w:pPr>
        <w:pStyle w:val="14"/>
        <w:ind w:left="420"/>
        <w:rPr>
          <w:rFonts w:hint="eastAsia"/>
        </w:rPr>
      </w:pPr>
    </w:p>
    <w:p>
      <w:pPr>
        <w:pStyle w:val="14"/>
        <w:ind w:left="420"/>
        <w:rPr>
          <w:rFonts w:hint="eastAsia"/>
        </w:rPr>
      </w:pPr>
    </w:p>
    <w:p>
      <w:pPr>
        <w:pStyle w:val="14"/>
        <w:ind w:left="420"/>
        <w:rPr>
          <w:rFonts w:hint="eastAsia"/>
        </w:rPr>
      </w:pPr>
    </w:p>
    <w:p>
      <w:pPr>
        <w:pStyle w:val="14"/>
        <w:ind w:left="420"/>
        <w:rPr>
          <w:rFonts w:hint="eastAsia"/>
        </w:rPr>
      </w:pPr>
    </w:p>
    <w:p>
      <w:pPr>
        <w:pStyle w:val="14"/>
        <w:ind w:left="420"/>
        <w:rPr>
          <w:rFonts w:hint="eastAsia"/>
        </w:rPr>
      </w:pPr>
    </w:p>
    <w:p>
      <w:pPr>
        <w:pStyle w:val="14"/>
        <w:ind w:left="420"/>
        <w:rPr>
          <w:rFonts w:hint="eastAsia"/>
        </w:rPr>
      </w:pPr>
    </w:p>
    <w:p>
      <w:pPr>
        <w:pStyle w:val="14"/>
        <w:ind w:left="0" w:leftChars="0" w:firstLine="0" w:firstLineChars="0"/>
      </w:pPr>
    </w:p>
    <w:p>
      <w:pPr>
        <w:numPr>
          <w:ilvl w:val="0"/>
          <w:numId w:val="3"/>
        </w:numPr>
        <w:spacing w:line="600" w:lineRule="exact"/>
        <w:ind w:firstLine="660" w:firstLineChars="150"/>
        <w:jc w:val="center"/>
        <w:outlineLvl w:val="0"/>
        <w:rPr>
          <w:rStyle w:val="27"/>
          <w:rFonts w:eastAsia="黑体"/>
          <w:b w:val="0"/>
        </w:rPr>
      </w:pPr>
      <w:bookmarkStart w:id="50" w:name="_Toc15377225"/>
      <w:bookmarkStart w:id="51" w:name="_Toc15396613"/>
      <w:r>
        <w:rPr>
          <w:rFonts w:eastAsia="黑体"/>
          <w:color w:val="000000"/>
          <w:sz w:val="44"/>
          <w:szCs w:val="44"/>
        </w:rPr>
        <w:t>名</w:t>
      </w:r>
      <w:r>
        <w:rPr>
          <w:rStyle w:val="27"/>
          <w:rFonts w:eastAsia="黑体"/>
          <w:b w:val="0"/>
        </w:rPr>
        <w:t>词解释</w:t>
      </w:r>
      <w:bookmarkEnd w:id="50"/>
      <w:bookmarkEnd w:id="51"/>
    </w:p>
    <w:p>
      <w:pPr>
        <w:spacing w:line="600" w:lineRule="exact"/>
        <w:jc w:val="left"/>
        <w:rPr>
          <w:b/>
          <w:color w:val="000000"/>
          <w:sz w:val="44"/>
          <w:szCs w:val="44"/>
        </w:rPr>
      </w:pPr>
    </w:p>
    <w:p>
      <w:pPr>
        <w:pStyle w:val="25"/>
        <w:spacing w:line="560" w:lineRule="exact"/>
        <w:ind w:firstLine="640" w:firstLineChars="200"/>
        <w:rPr>
          <w:rFonts w:ascii="Times New Roman" w:hAnsi="Times New Roman" w:eastAsia="仿宋_GB2312" w:cs="Times New Roman"/>
          <w:color w:val="auto"/>
          <w:sz w:val="32"/>
          <w:szCs w:val="32"/>
        </w:rPr>
      </w:pPr>
      <w:bookmarkStart w:id="52" w:name="_Toc15377226"/>
      <w:r>
        <w:rPr>
          <w:rFonts w:ascii="Times New Roman" w:hAnsi="Times New Roman" w:eastAsia="仿宋_GB2312" w:cs="Times New Roman"/>
          <w:color w:val="auto"/>
          <w:sz w:val="32"/>
          <w:szCs w:val="32"/>
        </w:rPr>
        <w:t>1.财政拨款收入：指单位从同级财政部门取得的财政预算资金。</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2.事业收入：指事业单位开展专业业务活动及辅助活动取得的收入。如</w:t>
      </w:r>
      <w:r>
        <w:rPr>
          <w:rFonts w:hint="eastAsia" w:ascii="Times New Roman" w:hAnsi="Times New Roman" w:eastAsia="仿宋_GB2312" w:cs="Times New Roman"/>
          <w:color w:val="auto"/>
          <w:sz w:val="32"/>
          <w:szCs w:val="32"/>
        </w:rPr>
        <w:t>：幼儿保教费</w:t>
      </w:r>
      <w:r>
        <w:rPr>
          <w:rFonts w:ascii="Times New Roman" w:hAnsi="Times New Roman" w:eastAsia="仿宋_GB2312" w:cs="Times New Roman"/>
          <w:color w:val="auto"/>
          <w:sz w:val="32"/>
          <w:szCs w:val="32"/>
        </w:rPr>
        <w:t>等。</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4.其他收入：指单位取得的除上述收入以外的各项收入。 </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pPr>
        <w:ind w:firstLine="640" w:firstLineChars="200"/>
        <w:rPr>
          <w:rFonts w:eastAsia="仿宋_GB2312"/>
          <w:sz w:val="32"/>
          <w:szCs w:val="32"/>
        </w:rPr>
      </w:pPr>
      <w:r>
        <w:rPr>
          <w:rFonts w:eastAsia="仿宋_GB2312"/>
          <w:sz w:val="32"/>
          <w:szCs w:val="32"/>
        </w:rPr>
        <w:t>9.教育</w:t>
      </w:r>
      <w:r>
        <w:rPr>
          <w:rFonts w:hint="eastAsia" w:eastAsia="仿宋_GB2312"/>
          <w:sz w:val="32"/>
          <w:szCs w:val="32"/>
        </w:rPr>
        <w:t>支出</w:t>
      </w:r>
      <w:r>
        <w:rPr>
          <w:rFonts w:eastAsia="仿宋_GB2312"/>
          <w:sz w:val="32"/>
          <w:szCs w:val="32"/>
        </w:rPr>
        <w:t>（类）</w:t>
      </w:r>
      <w:r>
        <w:rPr>
          <w:rFonts w:hint="eastAsia" w:eastAsia="仿宋_GB2312"/>
          <w:sz w:val="32"/>
          <w:szCs w:val="32"/>
        </w:rPr>
        <w:t>普通教育</w:t>
      </w:r>
      <w:r>
        <w:rPr>
          <w:rFonts w:eastAsia="仿宋_GB2312"/>
          <w:sz w:val="32"/>
          <w:szCs w:val="32"/>
        </w:rPr>
        <w:t>（款）</w:t>
      </w:r>
      <w:r>
        <w:rPr>
          <w:rFonts w:hint="eastAsia" w:eastAsia="仿宋_GB2312"/>
          <w:sz w:val="32"/>
          <w:szCs w:val="32"/>
        </w:rPr>
        <w:t>学前教育</w:t>
      </w:r>
      <w:r>
        <w:rPr>
          <w:rFonts w:eastAsia="仿宋_GB2312"/>
          <w:sz w:val="32"/>
          <w:szCs w:val="32"/>
        </w:rPr>
        <w:t>（项）：指</w:t>
      </w:r>
      <w:r>
        <w:rPr>
          <w:rFonts w:hint="eastAsia" w:eastAsia="仿宋_GB2312"/>
          <w:sz w:val="32"/>
          <w:szCs w:val="32"/>
        </w:rPr>
        <w:t>各部门举办的学前教育支出</w:t>
      </w:r>
      <w:r>
        <w:rPr>
          <w:rFonts w:eastAsia="仿宋_GB2312"/>
          <w:sz w:val="32"/>
          <w:szCs w:val="32"/>
        </w:rPr>
        <w:t>。</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0</w:t>
      </w:r>
      <w:r>
        <w:rPr>
          <w:rFonts w:eastAsia="仿宋_GB2312"/>
          <w:sz w:val="32"/>
          <w:szCs w:val="32"/>
        </w:rPr>
        <w:t>.社会保障和就业</w:t>
      </w:r>
      <w:r>
        <w:rPr>
          <w:rFonts w:hint="eastAsia" w:eastAsia="仿宋_GB2312"/>
          <w:sz w:val="32"/>
          <w:szCs w:val="32"/>
        </w:rPr>
        <w:t>支出</w:t>
      </w:r>
      <w:r>
        <w:rPr>
          <w:rFonts w:eastAsia="仿宋_GB2312"/>
          <w:sz w:val="32"/>
          <w:szCs w:val="32"/>
        </w:rPr>
        <w:t>（类）</w:t>
      </w:r>
      <w:r>
        <w:rPr>
          <w:rFonts w:hint="eastAsia" w:eastAsia="仿宋_GB2312"/>
          <w:sz w:val="32"/>
          <w:szCs w:val="32"/>
        </w:rPr>
        <w:t>行政事业单位养老支出</w:t>
      </w:r>
      <w:r>
        <w:rPr>
          <w:rFonts w:eastAsia="仿宋_GB2312"/>
          <w:sz w:val="32"/>
          <w:szCs w:val="32"/>
        </w:rPr>
        <w:t>（款）</w:t>
      </w:r>
      <w:r>
        <w:rPr>
          <w:rFonts w:hint="eastAsia" w:eastAsia="仿宋_GB2312"/>
          <w:sz w:val="32"/>
          <w:szCs w:val="32"/>
        </w:rPr>
        <w:t>机关事业单位基本养老保险缴费支出</w:t>
      </w:r>
      <w:r>
        <w:rPr>
          <w:rFonts w:eastAsia="仿宋_GB2312"/>
          <w:sz w:val="32"/>
          <w:szCs w:val="32"/>
        </w:rPr>
        <w:t>（项）：指</w:t>
      </w:r>
      <w:r>
        <w:rPr>
          <w:rFonts w:hint="eastAsia" w:eastAsia="仿宋_GB2312"/>
          <w:sz w:val="32"/>
          <w:szCs w:val="32"/>
        </w:rPr>
        <w:t>反映机关事业单位实施养老保险制度由单位缴纳的基本养老保险支出</w:t>
      </w:r>
      <w:r>
        <w:rPr>
          <w:rFonts w:eastAsia="仿宋_GB2312"/>
          <w:sz w:val="32"/>
          <w:szCs w:val="32"/>
        </w:rPr>
        <w:t>。</w:t>
      </w:r>
    </w:p>
    <w:p>
      <w:pPr>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1</w:t>
      </w:r>
      <w:r>
        <w:rPr>
          <w:rFonts w:eastAsia="仿宋_GB2312"/>
          <w:sz w:val="32"/>
          <w:szCs w:val="32"/>
        </w:rPr>
        <w:t>.卫生健康</w:t>
      </w:r>
      <w:r>
        <w:rPr>
          <w:rFonts w:hint="eastAsia" w:eastAsia="仿宋_GB2312"/>
          <w:sz w:val="32"/>
          <w:szCs w:val="32"/>
        </w:rPr>
        <w:t>支出</w:t>
      </w:r>
      <w:r>
        <w:rPr>
          <w:rFonts w:eastAsia="仿宋_GB2312"/>
          <w:sz w:val="32"/>
          <w:szCs w:val="32"/>
        </w:rPr>
        <w:t>（类）</w:t>
      </w:r>
      <w:r>
        <w:rPr>
          <w:rFonts w:hint="eastAsia" w:eastAsia="仿宋_GB2312"/>
          <w:sz w:val="32"/>
          <w:szCs w:val="32"/>
        </w:rPr>
        <w:t>行政事业单位医疗</w:t>
      </w:r>
      <w:r>
        <w:rPr>
          <w:rFonts w:eastAsia="仿宋_GB2312"/>
          <w:sz w:val="32"/>
          <w:szCs w:val="32"/>
        </w:rPr>
        <w:t>（款）</w:t>
      </w:r>
      <w:r>
        <w:rPr>
          <w:rFonts w:hint="eastAsia" w:eastAsia="仿宋_GB2312"/>
          <w:sz w:val="32"/>
          <w:szCs w:val="32"/>
        </w:rPr>
        <w:t>事业单位医疗（</w:t>
      </w:r>
      <w:r>
        <w:rPr>
          <w:rFonts w:eastAsia="仿宋_GB2312"/>
          <w:sz w:val="32"/>
          <w:szCs w:val="32"/>
        </w:rPr>
        <w:t>项）：指</w:t>
      </w:r>
      <w:r>
        <w:rPr>
          <w:rFonts w:hint="eastAsia" w:eastAsia="仿宋_GB2312"/>
          <w:sz w:val="32"/>
          <w:szCs w:val="32"/>
        </w:rPr>
        <w:t>财政部门集中安排的事业单位基本医疗保险缴费</w:t>
      </w:r>
      <w:r>
        <w:rPr>
          <w:rFonts w:eastAsia="仿宋_GB2312"/>
          <w:sz w:val="32"/>
          <w:szCs w:val="32"/>
        </w:rPr>
        <w:t>。</w:t>
      </w:r>
    </w:p>
    <w:p>
      <w:pPr>
        <w:ind w:firstLine="640" w:firstLineChars="200"/>
        <w:rPr>
          <w:rFonts w:eastAsia="仿宋_GB2312"/>
          <w:sz w:val="32"/>
          <w:szCs w:val="32"/>
        </w:rPr>
      </w:pPr>
      <w:r>
        <w:rPr>
          <w:rFonts w:hint="eastAsia" w:eastAsia="仿宋_GB2312"/>
          <w:sz w:val="32"/>
        </w:rPr>
        <w:t>12.</w:t>
      </w:r>
      <w:r>
        <w:rPr>
          <w:rFonts w:eastAsia="仿宋_GB2312"/>
          <w:sz w:val="32"/>
        </w:rPr>
        <w:t xml:space="preserve"> </w:t>
      </w:r>
      <w:r>
        <w:rPr>
          <w:rFonts w:eastAsia="仿宋_GB2312"/>
          <w:sz w:val="32"/>
          <w:szCs w:val="32"/>
        </w:rPr>
        <w:t>卫生健康</w:t>
      </w:r>
      <w:r>
        <w:rPr>
          <w:rFonts w:hint="eastAsia" w:eastAsia="仿宋_GB2312"/>
          <w:sz w:val="32"/>
          <w:szCs w:val="32"/>
        </w:rPr>
        <w:t>支出</w:t>
      </w:r>
      <w:r>
        <w:rPr>
          <w:rFonts w:eastAsia="仿宋_GB2312"/>
          <w:sz w:val="32"/>
          <w:szCs w:val="32"/>
        </w:rPr>
        <w:t>（类）</w:t>
      </w:r>
      <w:r>
        <w:rPr>
          <w:rFonts w:hint="eastAsia" w:eastAsia="仿宋_GB2312"/>
          <w:sz w:val="32"/>
          <w:szCs w:val="32"/>
        </w:rPr>
        <w:t>行政事业单位医疗</w:t>
      </w:r>
      <w:r>
        <w:rPr>
          <w:rFonts w:eastAsia="仿宋_GB2312"/>
          <w:sz w:val="32"/>
          <w:szCs w:val="32"/>
        </w:rPr>
        <w:t>（款）</w:t>
      </w:r>
      <w:r>
        <w:rPr>
          <w:rFonts w:hint="eastAsia" w:eastAsia="仿宋_GB2312"/>
          <w:sz w:val="32"/>
        </w:rPr>
        <w:t>公务员医疗补助</w:t>
      </w:r>
      <w:r>
        <w:rPr>
          <w:rFonts w:hint="eastAsia" w:eastAsia="仿宋_GB2312"/>
          <w:sz w:val="32"/>
          <w:szCs w:val="32"/>
        </w:rPr>
        <w:t>（</w:t>
      </w:r>
      <w:r>
        <w:rPr>
          <w:rFonts w:eastAsia="仿宋_GB2312"/>
          <w:sz w:val="32"/>
          <w:szCs w:val="32"/>
        </w:rPr>
        <w:t>项）</w:t>
      </w:r>
      <w:r>
        <w:rPr>
          <w:rFonts w:hint="eastAsia" w:eastAsia="仿宋_GB2312"/>
          <w:sz w:val="32"/>
        </w:rPr>
        <w:t>：</w:t>
      </w:r>
      <w:r>
        <w:rPr>
          <w:rFonts w:eastAsia="仿宋_GB2312"/>
          <w:sz w:val="32"/>
          <w:szCs w:val="32"/>
        </w:rPr>
        <w:t>指</w:t>
      </w:r>
      <w:r>
        <w:rPr>
          <w:rFonts w:hint="eastAsia" w:eastAsia="仿宋_GB2312"/>
          <w:sz w:val="32"/>
          <w:szCs w:val="32"/>
        </w:rPr>
        <w:t>财政部门集中安排的</w:t>
      </w:r>
      <w:r>
        <w:rPr>
          <w:rFonts w:hint="eastAsia" w:eastAsia="仿宋_GB2312"/>
          <w:sz w:val="32"/>
        </w:rPr>
        <w:t>公务员医疗补助</w:t>
      </w:r>
      <w:r>
        <w:rPr>
          <w:rFonts w:hint="eastAsia" w:eastAsia="仿宋_GB2312"/>
          <w:sz w:val="32"/>
          <w:szCs w:val="32"/>
        </w:rPr>
        <w:t>保险缴费</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13</w:t>
      </w:r>
      <w:r>
        <w:rPr>
          <w:rFonts w:eastAsia="仿宋_GB2312"/>
          <w:sz w:val="32"/>
          <w:szCs w:val="32"/>
        </w:rPr>
        <w:t>.基本支出：指为保障机构正常运转、完成日常工作任务而发生的人员支出和公用支出。</w:t>
      </w:r>
    </w:p>
    <w:p>
      <w:pPr>
        <w:ind w:firstLine="640" w:firstLineChars="200"/>
        <w:rPr>
          <w:rFonts w:eastAsia="仿宋_GB2312"/>
          <w:sz w:val="32"/>
          <w:szCs w:val="32"/>
        </w:rPr>
      </w:pPr>
      <w:r>
        <w:rPr>
          <w:rFonts w:hint="eastAsia" w:eastAsia="仿宋_GB2312"/>
          <w:sz w:val="32"/>
          <w:szCs w:val="32"/>
        </w:rPr>
        <w:t>14</w:t>
      </w:r>
      <w:r>
        <w:rPr>
          <w:rFonts w:eastAsia="仿宋_GB2312"/>
          <w:sz w:val="32"/>
          <w:szCs w:val="32"/>
        </w:rPr>
        <w:t xml:space="preserve">.项目支出：指在基本支出之外为完成特定行政任务和事业发展目标所发生的支出。 </w:t>
      </w:r>
    </w:p>
    <w:p>
      <w:pPr>
        <w:ind w:firstLine="640" w:firstLineChars="200"/>
        <w:rPr>
          <w:rFonts w:eastAsia="仿宋_GB2312"/>
          <w:sz w:val="32"/>
          <w:szCs w:val="32"/>
        </w:rPr>
      </w:pPr>
      <w:r>
        <w:rPr>
          <w:rFonts w:hint="eastAsia" w:eastAsia="仿宋_GB2312"/>
          <w:sz w:val="32"/>
          <w:szCs w:val="32"/>
        </w:rPr>
        <w:t>15</w:t>
      </w:r>
      <w:r>
        <w:rPr>
          <w:rFonts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16</w:t>
      </w:r>
      <w:r>
        <w:rPr>
          <w:rFonts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Times New Roman" w:hAnsi="Times New Roman" w:eastAsia="仿宋_GB2312" w:cs="Times New Roman"/>
          <w:color w:val="auto"/>
          <w:sz w:val="32"/>
          <w:szCs w:val="32"/>
        </w:rPr>
      </w:pPr>
    </w:p>
    <w:p>
      <w:pPr>
        <w:spacing w:line="600" w:lineRule="exact"/>
        <w:jc w:val="center"/>
        <w:outlineLvl w:val="0"/>
        <w:rPr>
          <w:rStyle w:val="27"/>
          <w:rFonts w:eastAsia="黑体"/>
          <w:b w:val="0"/>
        </w:rPr>
      </w:pPr>
      <w:r>
        <w:rPr>
          <w:b/>
          <w:color w:val="000000"/>
          <w:sz w:val="44"/>
          <w:szCs w:val="44"/>
        </w:rPr>
        <w:br w:type="page"/>
      </w:r>
      <w:bookmarkStart w:id="53" w:name="_Toc15396614"/>
      <w:r>
        <w:rPr>
          <w:rFonts w:eastAsia="黑体"/>
          <w:color w:val="000000"/>
          <w:sz w:val="44"/>
          <w:szCs w:val="44"/>
        </w:rPr>
        <w:t>第</w:t>
      </w:r>
      <w:r>
        <w:rPr>
          <w:rStyle w:val="27"/>
          <w:rFonts w:eastAsia="黑体"/>
          <w:b w:val="0"/>
        </w:rPr>
        <w:t>四部分 附件</w:t>
      </w:r>
      <w:bookmarkEnd w:id="53"/>
    </w:p>
    <w:p>
      <w:pPr>
        <w:spacing w:line="600" w:lineRule="exact"/>
        <w:jc w:val="left"/>
        <w:outlineLvl w:val="0"/>
        <w:rPr>
          <w:rFonts w:eastAsia="方正小标宋简体"/>
          <w:sz w:val="32"/>
          <w:szCs w:val="32"/>
        </w:rPr>
      </w:pPr>
      <w:r>
        <w:rPr>
          <w:rFonts w:eastAsia="黑体"/>
          <w:sz w:val="32"/>
          <w:szCs w:val="32"/>
        </w:rPr>
        <w:t>附件1</w:t>
      </w:r>
    </w:p>
    <w:p>
      <w:pPr>
        <w:spacing w:line="580" w:lineRule="exact"/>
        <w:jc w:val="center"/>
        <w:rPr>
          <w:rFonts w:eastAsia="方正小标宋简体"/>
          <w:sz w:val="44"/>
          <w:szCs w:val="44"/>
        </w:rPr>
      </w:pPr>
    </w:p>
    <w:p>
      <w:pPr>
        <w:spacing w:line="600" w:lineRule="exact"/>
        <w:jc w:val="center"/>
        <w:rPr>
          <w:rFonts w:eastAsia="方正小标宋简体"/>
          <w:color w:val="000000"/>
          <w:kern w:val="0"/>
          <w:sz w:val="40"/>
          <w:szCs w:val="44"/>
        </w:rPr>
      </w:pPr>
      <w:r>
        <w:rPr>
          <w:rFonts w:eastAsia="方正小标宋简体"/>
          <w:color w:val="000000"/>
          <w:kern w:val="0"/>
          <w:sz w:val="40"/>
          <w:szCs w:val="44"/>
        </w:rPr>
        <w:t>202</w:t>
      </w:r>
      <w:r>
        <w:rPr>
          <w:rFonts w:hint="eastAsia" w:eastAsia="方正小标宋简体"/>
          <w:color w:val="000000"/>
          <w:kern w:val="0"/>
          <w:sz w:val="40"/>
          <w:szCs w:val="44"/>
          <w:lang w:val="en-US" w:eastAsia="zh-CN"/>
        </w:rPr>
        <w:t>2</w:t>
      </w:r>
      <w:r>
        <w:rPr>
          <w:rFonts w:eastAsia="方正小标宋简体"/>
          <w:color w:val="000000"/>
          <w:kern w:val="0"/>
          <w:sz w:val="40"/>
          <w:szCs w:val="44"/>
        </w:rPr>
        <w:t>年</w:t>
      </w:r>
      <w:r>
        <w:rPr>
          <w:rFonts w:hint="eastAsia" w:eastAsia="方正小标宋简体"/>
          <w:color w:val="000000"/>
          <w:kern w:val="0"/>
          <w:sz w:val="40"/>
          <w:szCs w:val="44"/>
        </w:rPr>
        <w:t>广安市第六幼儿园</w:t>
      </w: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lang w:val="zh-CN"/>
        </w:rPr>
        <w:t>部门整体绩效</w:t>
      </w:r>
      <w:r>
        <w:rPr>
          <w:rFonts w:hint="eastAsia" w:eastAsia="方正小标宋简体"/>
          <w:color w:val="000000"/>
          <w:kern w:val="0"/>
          <w:sz w:val="40"/>
          <w:szCs w:val="44"/>
          <w:lang w:val="zh-CN"/>
        </w:rPr>
        <w:t>自评</w:t>
      </w:r>
      <w:r>
        <w:rPr>
          <w:rFonts w:eastAsia="方正小标宋简体"/>
          <w:color w:val="000000"/>
          <w:kern w:val="0"/>
          <w:sz w:val="40"/>
          <w:szCs w:val="44"/>
          <w:lang w:val="zh-CN"/>
        </w:rPr>
        <w:t>报告</w:t>
      </w:r>
    </w:p>
    <w:p>
      <w:pPr>
        <w:widowControl/>
        <w:adjustRightInd w:val="0"/>
        <w:snapToGrid w:val="0"/>
        <w:spacing w:line="580" w:lineRule="exact"/>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部门基本情况</w:t>
      </w:r>
    </w:p>
    <w:p>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eastAsia="楷体_GB2312"/>
          <w:b/>
          <w:bCs/>
          <w:kern w:val="0"/>
          <w:sz w:val="32"/>
          <w:szCs w:val="32"/>
          <w:highlight w:val="yellow"/>
          <w:shd w:val="clear" w:color="auto" w:fill="FFFFFF"/>
          <w:lang w:val="zh-CN"/>
        </w:rPr>
      </w:pPr>
      <w:r>
        <w:rPr>
          <w:rFonts w:ascii="仿宋_GB2312" w:eastAsia="仿宋_GB2312"/>
          <w:sz w:val="32"/>
          <w:szCs w:val="32"/>
        </w:rPr>
        <w:t>广安市第六幼儿园是广安市教育体育局举办的全额拨款事业单位，为其下属事业单位。</w:t>
      </w:r>
      <w:r>
        <w:rPr>
          <w:rFonts w:eastAsia="仿宋_GB2312"/>
          <w:sz w:val="32"/>
          <w:szCs w:val="32"/>
        </w:rPr>
        <w:t>幼儿园内设</w:t>
      </w:r>
      <w:r>
        <w:rPr>
          <w:rFonts w:hint="eastAsia" w:eastAsia="仿宋"/>
          <w:sz w:val="32"/>
          <w:szCs w:val="32"/>
        </w:rPr>
        <w:t>内设4个处室，主要包括：</w:t>
      </w:r>
      <w:r>
        <w:rPr>
          <w:rFonts w:hint="eastAsia" w:ascii="仿宋_GB2312" w:eastAsia="仿宋_GB2312"/>
          <w:sz w:val="32"/>
          <w:szCs w:val="32"/>
        </w:rPr>
        <w:t>后勤服务中心、综合办主任、安全保卫管理处等、教师服务中心</w:t>
      </w:r>
      <w:r>
        <w:rPr>
          <w:rFonts w:eastAsia="仿宋_GB2312"/>
          <w:sz w:val="32"/>
          <w:szCs w:val="32"/>
        </w:rPr>
        <w:t>等处室，负责幼儿园的各项具体管理工作。</w:t>
      </w:r>
    </w:p>
    <w:p>
      <w:pPr>
        <w:widowControl/>
        <w:numPr>
          <w:ilvl w:val="0"/>
          <w:numId w:val="4"/>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机构职能和人员概况。</w:t>
      </w:r>
    </w:p>
    <w:p>
      <w:pPr>
        <w:widowControl/>
        <w:adjustRightInd w:val="0"/>
        <w:snapToGrid w:val="0"/>
        <w:spacing w:line="590" w:lineRule="exact"/>
        <w:ind w:firstLine="640" w:firstLineChars="200"/>
        <w:contextualSpacing/>
        <w:jc w:val="left"/>
        <w:rPr>
          <w:rFonts w:eastAsia="楷体_GB2312"/>
          <w:b/>
          <w:bCs/>
          <w:kern w:val="0"/>
          <w:sz w:val="32"/>
          <w:szCs w:val="32"/>
          <w:highlight w:val="yellow"/>
          <w:shd w:val="clear" w:color="auto" w:fill="FFFFFF"/>
          <w:lang w:val="zh-CN"/>
        </w:rPr>
      </w:pPr>
      <w:r>
        <w:rPr>
          <w:rFonts w:eastAsia="仿宋_GB2312"/>
          <w:sz w:val="32"/>
          <w:szCs w:val="32"/>
        </w:rPr>
        <w:t>为入园的学龄前儿童提供教育和保育服务。主要职能是贯彻执行国家学前教育方针政策，承担学前幼儿保育、保教等相关工作。截至2022年12月31日，单位实有在编人数2人（事业编制），合同制教师19名，合同制保育</w:t>
      </w:r>
      <w:r>
        <w:rPr>
          <w:sz w:val="32"/>
          <w:szCs w:val="32"/>
        </w:rPr>
        <w:t>员</w:t>
      </w:r>
      <w:r>
        <w:rPr>
          <w:rFonts w:eastAsia="仿宋_GB2312"/>
          <w:sz w:val="32"/>
          <w:szCs w:val="32"/>
        </w:rPr>
        <w:t>9名，校医辅助岗2名，劳务派遣</w:t>
      </w:r>
      <w:r>
        <w:rPr>
          <w:sz w:val="32"/>
          <w:szCs w:val="32"/>
        </w:rPr>
        <w:t>7</w:t>
      </w:r>
      <w:r>
        <w:rPr>
          <w:rFonts w:eastAsia="仿宋_GB2312"/>
          <w:sz w:val="32"/>
          <w:szCs w:val="32"/>
        </w:rPr>
        <w:t>名。</w:t>
      </w:r>
    </w:p>
    <w:p>
      <w:pPr>
        <w:widowControl/>
        <w:numPr>
          <w:ilvl w:val="0"/>
          <w:numId w:val="4"/>
        </w:numPr>
        <w:adjustRightInd w:val="0"/>
        <w:snapToGrid w:val="0"/>
        <w:spacing w:line="59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年度主要工作任务。</w:t>
      </w:r>
    </w:p>
    <w:p>
      <w:pPr>
        <w:widowControl/>
        <w:adjustRightInd w:val="0"/>
        <w:snapToGrid w:val="0"/>
        <w:spacing w:line="590" w:lineRule="exact"/>
        <w:ind w:firstLine="640" w:firstLineChars="200"/>
        <w:contextualSpacing/>
        <w:jc w:val="left"/>
        <w:rPr>
          <w:rFonts w:eastAsia="楷体_GB2312"/>
          <w:b/>
          <w:bCs/>
          <w:kern w:val="0"/>
          <w:sz w:val="32"/>
          <w:szCs w:val="32"/>
          <w:highlight w:val="yellow"/>
          <w:shd w:val="clear" w:color="auto" w:fill="FFFFFF"/>
        </w:rPr>
      </w:pPr>
      <w:r>
        <w:rPr>
          <w:rFonts w:eastAsia="仿宋_GB2312"/>
          <w:sz w:val="32"/>
          <w:szCs w:val="32"/>
        </w:rPr>
        <w:t>为入园的学龄前儿童提供教育和保育服务</w:t>
      </w:r>
      <w:r>
        <w:rPr>
          <w:rFonts w:hint="eastAsia" w:eastAsia="仿宋_GB2312"/>
          <w:sz w:val="32"/>
          <w:szCs w:val="32"/>
        </w:rPr>
        <w:t>，</w:t>
      </w:r>
      <w:r>
        <w:rPr>
          <w:rFonts w:eastAsia="仿宋_GB2312"/>
          <w:sz w:val="32"/>
          <w:szCs w:val="32"/>
        </w:rPr>
        <w:t>贯彻执行国家学前教育方针政策，承担学前幼儿保育、保教等相关工作。</w:t>
      </w:r>
    </w:p>
    <w:p>
      <w:pPr>
        <w:widowControl/>
        <w:numPr>
          <w:ilvl w:val="0"/>
          <w:numId w:val="4"/>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部门整体支出绩效目标。</w:t>
      </w:r>
    </w:p>
    <w:p>
      <w:pPr>
        <w:pStyle w:val="14"/>
        <w:spacing w:line="590" w:lineRule="exact"/>
        <w:ind w:left="0" w:leftChars="0" w:firstLine="640"/>
        <w:rPr>
          <w:rFonts w:ascii="Times New Roman" w:eastAsia="仿宋_GB2312"/>
          <w:sz w:val="32"/>
        </w:rPr>
      </w:pPr>
      <w:r>
        <w:rPr>
          <w:rFonts w:ascii="Times New Roman" w:eastAsia="仿宋_GB2312"/>
          <w:sz w:val="32"/>
        </w:rPr>
        <w:t>根据《广安市全域实施公办学前教育示范市三年行动计划》，我园在2022年总体目标如下：1</w:t>
      </w:r>
      <w:r>
        <w:rPr>
          <w:rFonts w:hint="eastAsia" w:ascii="Times New Roman" w:eastAsia="仿宋_GB2312"/>
          <w:sz w:val="32"/>
          <w:lang w:val="en-US" w:eastAsia="zh-CN"/>
        </w:rPr>
        <w:t>.</w:t>
      </w:r>
      <w:r>
        <w:rPr>
          <w:rFonts w:ascii="Times New Roman" w:eastAsia="仿宋_GB2312"/>
          <w:sz w:val="32"/>
        </w:rPr>
        <w:t>资金使用管理方面，加强对资金使用的监督和管理，严格预算执行进度，做到无预算不开支，在保运转的前提下再开展幼儿园大型维修、提质、改扩建等工程项目；2</w:t>
      </w:r>
      <w:r>
        <w:rPr>
          <w:rFonts w:hint="eastAsia" w:ascii="Times New Roman" w:eastAsia="仿宋_GB2312"/>
          <w:sz w:val="32"/>
          <w:lang w:val="en-US" w:eastAsia="zh-CN"/>
        </w:rPr>
        <w:t>.</w:t>
      </w:r>
      <w:r>
        <w:rPr>
          <w:rFonts w:ascii="Times New Roman" w:eastAsia="仿宋_GB2312"/>
          <w:sz w:val="32"/>
        </w:rPr>
        <w:t>幼儿园工作开展方面：围绕提高保教质量为中心开展一系列的教育教学活动，党建工作、教</w:t>
      </w:r>
      <w:bookmarkStart w:id="66" w:name="_GoBack"/>
      <w:bookmarkEnd w:id="66"/>
      <w:r>
        <w:rPr>
          <w:rFonts w:ascii="Times New Roman" w:eastAsia="仿宋_GB2312"/>
          <w:sz w:val="32"/>
        </w:rPr>
        <w:t>师队伍建设工作、教育教学工作、后勤安全工作、卫生保健工作。3</w:t>
      </w:r>
      <w:r>
        <w:rPr>
          <w:rFonts w:hint="eastAsia" w:ascii="Times New Roman" w:eastAsia="仿宋_GB2312"/>
          <w:sz w:val="32"/>
          <w:lang w:val="en-US" w:eastAsia="zh-CN"/>
        </w:rPr>
        <w:t>.</w:t>
      </w:r>
      <w:r>
        <w:rPr>
          <w:rFonts w:ascii="Times New Roman" w:eastAsia="仿宋_GB2312"/>
          <w:sz w:val="32"/>
        </w:rPr>
        <w:t>校园基础建设方面：为改善办园条件添置空调、电脑、体育器械、区域玩具等设施设备，区域打造、党建室打造等。</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w:t>
      </w:r>
      <w:r>
        <w:rPr>
          <w:rFonts w:eastAsia="黑体"/>
          <w:kern w:val="0"/>
          <w:sz w:val="32"/>
          <w:szCs w:val="32"/>
          <w:shd w:val="clear" w:color="auto" w:fill="FFFFFF"/>
        </w:rPr>
        <w:t>部门资金</w:t>
      </w:r>
      <w:r>
        <w:rPr>
          <w:rFonts w:eastAsia="黑体"/>
          <w:color w:val="000000"/>
          <w:kern w:val="0"/>
          <w:sz w:val="32"/>
          <w:szCs w:val="32"/>
          <w:shd w:val="clear" w:color="auto" w:fill="FFFFFF"/>
        </w:rPr>
        <w:t>收支情况</w:t>
      </w:r>
    </w:p>
    <w:p>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（一）部门总体收支情况。</w:t>
      </w:r>
    </w:p>
    <w:p>
      <w:pPr>
        <w:widowControl/>
        <w:adjustRightInd w:val="0"/>
        <w:snapToGrid w:val="0"/>
        <w:spacing w:line="60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1.部门总体收入情况</w:t>
      </w:r>
    </w:p>
    <w:p>
      <w:pPr>
        <w:widowControl/>
        <w:adjustRightInd w:val="0"/>
        <w:snapToGrid w:val="0"/>
        <w:spacing w:line="600" w:lineRule="exact"/>
        <w:ind w:firstLine="660" w:firstLineChars="200"/>
        <w:contextualSpacing/>
        <w:jc w:val="left"/>
      </w:pPr>
      <w:r>
        <w:rPr>
          <w:rFonts w:eastAsia="方正仿宋_GBK"/>
          <w:color w:val="000000"/>
          <w:kern w:val="0"/>
          <w:sz w:val="33"/>
          <w:szCs w:val="33"/>
          <w:shd w:val="clear" w:color="auto" w:fill="FFFFFF"/>
        </w:rPr>
        <w:t>本年度部门财政拨款收入267.53万元，其中：当年财政拨款收入267.53万元。</w:t>
      </w:r>
    </w:p>
    <w:p>
      <w:pPr>
        <w:widowControl/>
        <w:adjustRightInd w:val="0"/>
        <w:snapToGrid w:val="0"/>
        <w:spacing w:line="60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2.部门总体支出情况</w:t>
      </w:r>
    </w:p>
    <w:p>
      <w:pPr>
        <w:pStyle w:val="14"/>
        <w:spacing w:line="600" w:lineRule="exact"/>
        <w:ind w:left="0" w:leftChars="0" w:firstLine="660"/>
        <w:rPr>
          <w:rFonts w:ascii="Times New Roman" w:eastAsia="方正仿宋_GBK"/>
          <w:color w:val="000000"/>
          <w:kern w:val="0"/>
          <w:sz w:val="33"/>
          <w:szCs w:val="33"/>
          <w:shd w:val="clear" w:color="auto" w:fill="FFFFFF"/>
        </w:rPr>
      </w:pPr>
      <w:r>
        <w:rPr>
          <w:rFonts w:ascii="Times New Roman" w:eastAsia="方正仿宋_GBK"/>
          <w:color w:val="000000"/>
          <w:kern w:val="0"/>
          <w:sz w:val="33"/>
          <w:szCs w:val="33"/>
          <w:shd w:val="clear" w:color="auto" w:fill="FFFFFF"/>
        </w:rPr>
        <w:t>本年度部门财政拨款支出267.53万元，其中：基本支出50.33万元；项目支出217.2</w:t>
      </w:r>
      <w:r>
        <w:rPr>
          <w:rFonts w:hint="eastAsia" w:ascii="Times New Roman" w:eastAsia="方正仿宋_GBK"/>
          <w:color w:val="000000"/>
          <w:kern w:val="0"/>
          <w:sz w:val="33"/>
          <w:szCs w:val="33"/>
          <w:shd w:val="clear" w:color="auto" w:fill="FFFFFF"/>
        </w:rPr>
        <w:t>0</w:t>
      </w:r>
      <w:r>
        <w:rPr>
          <w:rFonts w:ascii="Times New Roman" w:eastAsia="方正仿宋_GBK"/>
          <w:color w:val="000000"/>
          <w:kern w:val="0"/>
          <w:sz w:val="33"/>
          <w:szCs w:val="33"/>
          <w:shd w:val="clear" w:color="auto" w:fill="FFFFFF"/>
        </w:rPr>
        <w:t>万元。</w:t>
      </w:r>
    </w:p>
    <w:p>
      <w:pPr>
        <w:widowControl/>
        <w:adjustRightInd w:val="0"/>
        <w:snapToGrid w:val="0"/>
        <w:spacing w:line="60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3.部门总体结转结余情况</w:t>
      </w:r>
    </w:p>
    <w:p>
      <w:pPr>
        <w:widowControl/>
        <w:adjustRightInd w:val="0"/>
        <w:snapToGrid w:val="0"/>
        <w:spacing w:line="590" w:lineRule="exact"/>
        <w:ind w:firstLine="660" w:firstLineChars="200"/>
        <w:contextualSpacing/>
        <w:jc w:val="left"/>
      </w:pPr>
      <w:r>
        <w:rPr>
          <w:rFonts w:eastAsia="方正仿宋_GBK"/>
          <w:color w:val="000000"/>
          <w:kern w:val="0"/>
          <w:sz w:val="33"/>
          <w:szCs w:val="33"/>
          <w:shd w:val="clear" w:color="auto" w:fill="FFFFFF"/>
        </w:rPr>
        <w:t>本年度部门总体结转和结余均为0万元。</w:t>
      </w:r>
    </w:p>
    <w:p>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1.部门财政拨款收入情况</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本年度部门财政拨款收入267.53万元，其中：当年财政拨款收入267.53万元。</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2.部门财政拨款支出情况</w:t>
      </w:r>
    </w:p>
    <w:p>
      <w:pPr>
        <w:pStyle w:val="14"/>
        <w:spacing w:line="600" w:lineRule="exact"/>
        <w:ind w:left="0" w:leftChars="0" w:firstLine="660"/>
        <w:rPr>
          <w:rFonts w:ascii="Times New Roman" w:eastAsia="方正仿宋_GBK"/>
          <w:color w:val="000000"/>
          <w:kern w:val="0"/>
          <w:sz w:val="33"/>
          <w:szCs w:val="33"/>
          <w:shd w:val="clear" w:color="auto" w:fill="FFFFFF"/>
        </w:rPr>
      </w:pPr>
      <w:r>
        <w:rPr>
          <w:rFonts w:ascii="Times New Roman" w:eastAsia="方正仿宋_GBK"/>
          <w:color w:val="000000"/>
          <w:kern w:val="0"/>
          <w:sz w:val="33"/>
          <w:szCs w:val="33"/>
          <w:shd w:val="clear" w:color="auto" w:fill="FFFFFF"/>
        </w:rPr>
        <w:t>本年度部门财政拨款支出267.53万元，其中：基本支出50.33万元；项目支出217.2</w:t>
      </w:r>
      <w:r>
        <w:rPr>
          <w:rFonts w:hint="eastAsia" w:ascii="Times New Roman" w:eastAsia="方正仿宋_GBK"/>
          <w:color w:val="000000"/>
          <w:kern w:val="0"/>
          <w:sz w:val="33"/>
          <w:szCs w:val="33"/>
          <w:shd w:val="clear" w:color="auto" w:fill="FFFFFF"/>
        </w:rPr>
        <w:t>0</w:t>
      </w:r>
      <w:r>
        <w:rPr>
          <w:rFonts w:ascii="Times New Roman" w:eastAsia="方正仿宋_GBK"/>
          <w:color w:val="000000"/>
          <w:kern w:val="0"/>
          <w:sz w:val="33"/>
          <w:szCs w:val="33"/>
          <w:shd w:val="clear" w:color="auto" w:fill="FFFFFF"/>
        </w:rPr>
        <w:t>万元。</w:t>
      </w:r>
    </w:p>
    <w:p>
      <w:pPr>
        <w:widowControl/>
        <w:adjustRightInd w:val="0"/>
        <w:snapToGrid w:val="0"/>
        <w:spacing w:line="560"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rPr>
        <w:t>3.部门财政拨款结转结余情况</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本年度部门总体结转和结余均为0万元。</w:t>
      </w:r>
    </w:p>
    <w:p>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eastAsia="仿宋_GB2312"/>
          <w:kern w:val="0"/>
          <w:sz w:val="32"/>
          <w:szCs w:val="32"/>
          <w:shd w:val="clear" w:color="auto" w:fill="FFFFFF"/>
          <w:lang w:val="zh-CN"/>
        </w:rPr>
      </w:pPr>
      <w:r>
        <w:rPr>
          <w:rFonts w:eastAsia="楷体_GB2312"/>
          <w:b/>
          <w:bCs/>
          <w:kern w:val="0"/>
          <w:sz w:val="32"/>
          <w:szCs w:val="32"/>
          <w:shd w:val="clear" w:color="auto" w:fill="FFFFFF"/>
          <w:lang w:val="zh-CN"/>
        </w:rPr>
        <w:t>（一）部门预算项目绩效分析。</w:t>
      </w:r>
    </w:p>
    <w:p>
      <w:pPr>
        <w:widowControl/>
        <w:adjustRightInd w:val="0"/>
        <w:snapToGrid w:val="0"/>
        <w:spacing w:line="590" w:lineRule="exact"/>
        <w:ind w:firstLine="660" w:firstLineChars="200"/>
        <w:contextualSpacing/>
        <w:jc w:val="left"/>
        <w:rPr>
          <w:lang w:val="zh-CN"/>
        </w:rPr>
      </w:pPr>
      <w:r>
        <w:rPr>
          <w:rFonts w:eastAsia="方正仿宋_GBK"/>
          <w:color w:val="000000"/>
          <w:kern w:val="0"/>
          <w:sz w:val="33"/>
          <w:szCs w:val="33"/>
          <w:shd w:val="clear" w:color="auto" w:fill="FFFFFF"/>
        </w:rPr>
        <w:t>我单位按照财政预算编制规定和要求，结合单位年度工作计划采取按定额编制的方法按时完成人员经费、日常公用经费编制工作，切实做到数据完整和准确无误。</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1.人员类项目绩效分析</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我单位按有关规定和标准发放2022年合同制教师和保育员工资,并为其足额缴纳社会保险及公积金，保障人员生活水平，科学地对各部门年度重点工作指标、学期工作计划及职工学期、年度工作绩效进行有效评价，实行工效挂钩，激励各部门、各位职工持续改进工作绩效，建立和完善绩效管理机制，提高我园的人员工作能力，确保顺利实现单位工作目标。</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为实现此目标，开展了人员经费项目绩效评价。绩效评价对象为我园合同制教师和保育员，支持范围是2022年合同制教师和保育员工资及社会保险等相关费用支出。对此项目经费的绩效评价，根据绩效评价的基本原理，坚持公平、公正、公开的原则，对项目进行评价和建议。此次评价选择成本效益分析法等技术方法对项目进行评价。评价标准采用计划标准，即以预先指定的目标、计划、预算、定额等作为评价标准。</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根据我园人事部门对合同制教师和保育员的实际工作考核情况，在绩效评价设计中，对产出、效益、服务对象满意度等进行了指标设置。其中，产出指标中对中介审核项目的数量、质量、实效、成本等指标进行了设置，效益指标中对经济效益和社会效益明确了指标内容，以及其他的具体指标也进行了相应的内容设置。对照绩效目标进行分析，并形成绩效评价结果。</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综合2022年度“合同制教师和保育员1-8月工资和保险缴费单位部分”的项目支出绩效评价情况，100%完成本年度绩效指标内容,在项目资金预算绩效方面，总体上管理使用到位,并节约了预算资金；2022年我园新增7名合同制教师和4名保育员，此项目全年预算资金为</w:t>
      </w:r>
      <w:r>
        <w:rPr>
          <w:rFonts w:hint="eastAsia" w:eastAsia="方正仿宋_GBK"/>
          <w:color w:val="000000"/>
          <w:kern w:val="0"/>
          <w:sz w:val="33"/>
          <w:szCs w:val="33"/>
          <w:shd w:val="clear" w:color="auto" w:fill="FFFFFF"/>
        </w:rPr>
        <w:t>125.05</w:t>
      </w:r>
      <w:r>
        <w:rPr>
          <w:rFonts w:eastAsia="方正仿宋_GBK"/>
          <w:color w:val="000000"/>
          <w:kern w:val="0"/>
          <w:sz w:val="33"/>
          <w:szCs w:val="33"/>
          <w:shd w:val="clear" w:color="auto" w:fill="FFFFFF"/>
        </w:rPr>
        <w:t>万元，资金结余率为0。此人员项目预算资金在资金执行及管理方面仍然需要继续完善并建立长效机制。</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2.运转类项目绩效分析</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我单位对运转类项目资金的预算，提出具体的项目、目标和实施计划，精准编制项目支出绩效申报表，提供准确的项目支撑依据，切实做到项目资金编制的合理化、人性化，并在规定的时限内完整、准确的报送到主管部门及财政部门。预算资金保障了单位正常运转需要,保证了单位全年工作任务的完成。主要包括幼儿保教费、秋季设施设备采购等。在资金的支出执行上严格按照预算执行，坚持"反对浪费、节约开支”的原则，专款专用，不拖欠、不挪用，及时做好保教费预算等。在收到财政对口科室下达的各类指标后，按照资金的用途，在把好审核关的基础上，按时按量按照资金预算进度及时支付各项款项。均按要求和规定给予支付，保障单位正常运转，完成日常工作任务，有效推动幼儿园全面发展。严格把支出控制在年初的预算指标内，严格按照中央"八项规定”、省、市“十项规定”和财务相关规定执行财政资金的管理和使用。项目资金分配严格按照实际工作需要，依据项目进度和开展情况、合理安全、资金严格按照规范程序申请、管理和使用。通过项目实施充分保障了工作需求，切实发挥工作职能。</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3.特定目标类项目绩效分析</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我单位不涉及特定目标类项目。</w:t>
      </w:r>
    </w:p>
    <w:p>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（二）部门整体履职绩效分析。</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hint="eastAsia" w:eastAsia="方正仿宋_GBK"/>
          <w:color w:val="000000"/>
          <w:kern w:val="0"/>
          <w:sz w:val="33"/>
          <w:szCs w:val="33"/>
          <w:shd w:val="clear" w:color="auto" w:fill="FFFFFF"/>
        </w:rPr>
        <w:t>1.</w:t>
      </w:r>
      <w:r>
        <w:rPr>
          <w:rFonts w:eastAsia="方正仿宋_GBK"/>
          <w:color w:val="000000"/>
          <w:kern w:val="0"/>
          <w:sz w:val="33"/>
          <w:szCs w:val="33"/>
          <w:shd w:val="clear" w:color="auto" w:fill="FFFFFF"/>
        </w:rPr>
        <w:t>主要履职目标</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hint="eastAsia" w:eastAsia="方正仿宋_GBK"/>
          <w:color w:val="000000"/>
          <w:kern w:val="0"/>
          <w:sz w:val="33"/>
          <w:szCs w:val="33"/>
          <w:shd w:val="clear" w:color="auto" w:fill="FFFFFF"/>
        </w:rPr>
        <w:t>（1）</w:t>
      </w:r>
      <w:r>
        <w:rPr>
          <w:rFonts w:eastAsia="方正仿宋_GBK"/>
          <w:color w:val="000000"/>
          <w:kern w:val="0"/>
          <w:sz w:val="33"/>
          <w:szCs w:val="33"/>
          <w:shd w:val="clear" w:color="auto" w:fill="FFFFFF"/>
        </w:rPr>
        <w:t>创建党建品牌，积蓄发展动能；</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hint="eastAsia" w:eastAsia="方正仿宋_GBK"/>
          <w:color w:val="000000"/>
          <w:kern w:val="0"/>
          <w:sz w:val="33"/>
          <w:szCs w:val="33"/>
          <w:shd w:val="clear" w:color="auto" w:fill="FFFFFF"/>
        </w:rPr>
        <w:t>（2）</w:t>
      </w:r>
      <w:r>
        <w:rPr>
          <w:rFonts w:eastAsia="方正仿宋_GBK"/>
          <w:color w:val="000000"/>
          <w:kern w:val="0"/>
          <w:sz w:val="33"/>
          <w:szCs w:val="33"/>
          <w:shd w:val="clear" w:color="auto" w:fill="FFFFFF"/>
        </w:rPr>
        <w:t>统合教育力量，促进幼儿成长；</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hint="eastAsia" w:eastAsia="方正仿宋_GBK"/>
          <w:color w:val="000000"/>
          <w:kern w:val="0"/>
          <w:sz w:val="33"/>
          <w:szCs w:val="33"/>
          <w:shd w:val="clear" w:color="auto" w:fill="FFFFFF"/>
        </w:rPr>
        <w:t>（3）</w:t>
      </w:r>
      <w:r>
        <w:rPr>
          <w:rFonts w:eastAsia="方正仿宋_GBK"/>
          <w:color w:val="000000"/>
          <w:kern w:val="0"/>
          <w:sz w:val="33"/>
          <w:szCs w:val="33"/>
          <w:shd w:val="clear" w:color="auto" w:fill="FFFFFF"/>
        </w:rPr>
        <w:t>发挥示范作用，强化使命担当；</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hint="eastAsia" w:eastAsia="方正仿宋_GBK"/>
          <w:color w:val="000000"/>
          <w:kern w:val="0"/>
          <w:sz w:val="33"/>
          <w:szCs w:val="33"/>
          <w:shd w:val="clear" w:color="auto" w:fill="FFFFFF"/>
        </w:rPr>
        <w:t>（4）</w:t>
      </w:r>
      <w:r>
        <w:rPr>
          <w:rFonts w:eastAsia="方正仿宋_GBK"/>
          <w:color w:val="000000"/>
          <w:kern w:val="0"/>
          <w:sz w:val="33"/>
          <w:szCs w:val="33"/>
          <w:shd w:val="clear" w:color="auto" w:fill="FFFFFF"/>
        </w:rPr>
        <w:t>优化教育教学，突显办园理念；</w:t>
      </w:r>
    </w:p>
    <w:p>
      <w:pPr>
        <w:widowControl/>
        <w:adjustRightInd w:val="0"/>
        <w:snapToGrid w:val="0"/>
        <w:spacing w:line="590" w:lineRule="exact"/>
        <w:ind w:firstLine="660" w:firstLineChars="200"/>
        <w:contextualSpacing/>
        <w:jc w:val="left"/>
        <w:rPr>
          <w:rFonts w:eastAsia="仿宋_GB2312"/>
          <w:color w:val="000000"/>
          <w:kern w:val="0"/>
          <w:sz w:val="32"/>
          <w:szCs w:val="32"/>
          <w:shd w:val="clear" w:color="auto" w:fill="FFFFFF"/>
        </w:rPr>
      </w:pPr>
      <w:r>
        <w:rPr>
          <w:rFonts w:hint="eastAsia" w:eastAsia="方正仿宋_GBK"/>
          <w:color w:val="000000"/>
          <w:kern w:val="0"/>
          <w:sz w:val="33"/>
          <w:szCs w:val="33"/>
          <w:shd w:val="clear" w:color="auto" w:fill="FFFFFF"/>
        </w:rPr>
        <w:t>（5）</w:t>
      </w:r>
      <w:r>
        <w:rPr>
          <w:rFonts w:hint="eastAsia" w:eastAsia="方正仿宋_GBK"/>
          <w:color w:val="000000"/>
          <w:kern w:val="0"/>
          <w:sz w:val="33"/>
          <w:szCs w:val="33"/>
          <w:shd w:val="clear" w:color="auto" w:fill="FFFFFF"/>
          <w:lang w:val="en-US" w:eastAsia="zh-CN"/>
        </w:rPr>
        <w:t>加固</w:t>
      </w:r>
      <w:r>
        <w:rPr>
          <w:rFonts w:eastAsia="方正仿宋_GBK"/>
          <w:color w:val="000000"/>
          <w:kern w:val="0"/>
          <w:sz w:val="33"/>
          <w:szCs w:val="33"/>
          <w:shd w:val="clear" w:color="auto" w:fill="FFFFFF"/>
        </w:rPr>
        <w:t>安全屏障，守好一方净土。</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hint="eastAsia" w:eastAsia="方正仿宋_GBK"/>
          <w:color w:val="000000"/>
          <w:kern w:val="0"/>
          <w:sz w:val="33"/>
          <w:szCs w:val="33"/>
          <w:shd w:val="clear" w:color="auto" w:fill="FFFFFF"/>
        </w:rPr>
        <w:t>2.</w:t>
      </w:r>
      <w:r>
        <w:rPr>
          <w:rFonts w:eastAsia="方正仿宋_GBK"/>
          <w:color w:val="000000"/>
          <w:kern w:val="0"/>
          <w:sz w:val="33"/>
          <w:szCs w:val="33"/>
          <w:shd w:val="clear" w:color="auto" w:fill="FFFFFF"/>
        </w:rPr>
        <w:t>主要履职情况</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hint="eastAsia" w:eastAsia="方正仿宋_GBK"/>
          <w:color w:val="000000"/>
          <w:kern w:val="0"/>
          <w:sz w:val="33"/>
          <w:szCs w:val="33"/>
          <w:shd w:val="clear" w:color="auto" w:fill="FFFFFF"/>
        </w:rPr>
        <w:t>（1）</w:t>
      </w:r>
      <w:r>
        <w:rPr>
          <w:rStyle w:val="34"/>
          <w:rFonts w:eastAsia="方正仿宋_GBK" w:cs="Times New Roman"/>
          <w:sz w:val="33"/>
          <w:szCs w:val="33"/>
        </w:rPr>
        <w:t>加强学习，建章立制，强化园内管理</w:t>
      </w:r>
    </w:p>
    <w:p>
      <w:pPr>
        <w:widowControl/>
        <w:adjustRightInd w:val="0"/>
        <w:snapToGrid w:val="0"/>
        <w:spacing w:line="590" w:lineRule="exact"/>
        <w:ind w:firstLine="660" w:firstLineChars="200"/>
        <w:contextualSpacing/>
        <w:jc w:val="left"/>
        <w:rPr>
          <w:rStyle w:val="34"/>
          <w:rFonts w:eastAsia="方正仿宋_GBK" w:cs="Times New Roman"/>
          <w:sz w:val="33"/>
          <w:szCs w:val="33"/>
        </w:rPr>
      </w:pPr>
      <w:r>
        <w:rPr>
          <w:rStyle w:val="34"/>
          <w:rFonts w:eastAsia="方正仿宋_GBK" w:cs="Times New Roman"/>
          <w:sz w:val="33"/>
          <w:szCs w:val="33"/>
        </w:rPr>
        <w:t>深入学习习近平总书记关于教育的重要论述，进一步增强“四个意识”，坚定“四个自信”，坚决做到“两个维护”。坚定不移维护党中央权威和集中统一领导，在政治立场、政治方向、政治原则、政治道路上同党中央保持高度一致。加强幼儿园思想政治工作，牢牢把握意识形态工作领导权，维护政治安全和校园稳定。领导全园教职工不忘初心、牢记使命，全面落实立德树人根本任务。 坚定了信念再用制度管人。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考核制度、教师工作职责等从上到下各岗位的工作制度和工作职责，用严格的制度和职责规范教师的工作行为，让各岗位教师自觉照章行事，各司其职，上下团结一心，共同搞好工作。</w:t>
      </w:r>
    </w:p>
    <w:p>
      <w:pPr>
        <w:widowControl/>
        <w:adjustRightInd w:val="0"/>
        <w:snapToGrid w:val="0"/>
        <w:spacing w:line="590" w:lineRule="exact"/>
        <w:ind w:firstLine="660" w:firstLineChars="200"/>
        <w:contextualSpacing/>
        <w:jc w:val="left"/>
        <w:rPr>
          <w:rStyle w:val="34"/>
          <w:rFonts w:eastAsia="方正仿宋_GBK" w:cs="Times New Roman"/>
          <w:sz w:val="33"/>
          <w:szCs w:val="33"/>
        </w:rPr>
      </w:pPr>
      <w:r>
        <w:rPr>
          <w:rStyle w:val="34"/>
          <w:rFonts w:hint="eastAsia" w:eastAsia="方正仿宋_GBK" w:cs="Times New Roman"/>
          <w:sz w:val="33"/>
          <w:szCs w:val="33"/>
        </w:rPr>
        <w:t>（2）</w:t>
      </w:r>
      <w:r>
        <w:rPr>
          <w:rStyle w:val="34"/>
          <w:rFonts w:eastAsia="方正仿宋_GBK" w:cs="Times New Roman"/>
          <w:sz w:val="33"/>
          <w:szCs w:val="33"/>
        </w:rPr>
        <w:t>完善师资队伍建设，努力提高师资水平</w:t>
      </w:r>
    </w:p>
    <w:p>
      <w:pPr>
        <w:tabs>
          <w:tab w:val="left" w:pos="0"/>
        </w:tabs>
        <w:autoSpaceDE w:val="0"/>
        <w:spacing w:line="590" w:lineRule="exact"/>
        <w:ind w:firstLine="660" w:firstLineChars="200"/>
        <w:jc w:val="left"/>
        <w:rPr>
          <w:rStyle w:val="34"/>
          <w:rFonts w:eastAsia="方正仿宋_GBK" w:cs="Times New Roman"/>
          <w:sz w:val="33"/>
          <w:szCs w:val="33"/>
        </w:rPr>
      </w:pPr>
      <w:r>
        <w:rPr>
          <w:rStyle w:val="34"/>
          <w:rFonts w:eastAsia="方正仿宋_GBK" w:cs="Times New Roman"/>
          <w:sz w:val="33"/>
          <w:szCs w:val="33"/>
        </w:rPr>
        <w:t>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通过主题教育对教职工进行师德教育，使教职工以良好的师德和良好的精神面貌积极投入到工作中去。二是强抓教师专业技能的提高。有计划、有目的、有针对性地组织教职工的专业理论和业务理论知识的学习，使教职工的专业、业务能力都能得到进一步的提高。三是通过听课、评课、观摩研讨等活动促进教师相互交流、学习，促进教师专业化成长。</w:t>
      </w:r>
    </w:p>
    <w:p>
      <w:pPr>
        <w:pStyle w:val="14"/>
        <w:spacing w:line="590" w:lineRule="exact"/>
        <w:ind w:left="0" w:leftChars="0" w:firstLine="660"/>
        <w:rPr>
          <w:rStyle w:val="34"/>
          <w:rFonts w:eastAsia="方正仿宋_GBK" w:cs="Times New Roman"/>
          <w:sz w:val="33"/>
          <w:szCs w:val="33"/>
        </w:rPr>
      </w:pPr>
      <w:r>
        <w:rPr>
          <w:rStyle w:val="34"/>
          <w:rFonts w:hint="eastAsia" w:eastAsia="方正仿宋_GBK" w:cs="Times New Roman"/>
          <w:sz w:val="33"/>
          <w:szCs w:val="33"/>
        </w:rPr>
        <w:t>（3）</w:t>
      </w:r>
      <w:r>
        <w:rPr>
          <w:rStyle w:val="34"/>
          <w:rFonts w:eastAsia="方正仿宋_GBK" w:cs="Times New Roman"/>
          <w:sz w:val="33"/>
          <w:szCs w:val="33"/>
        </w:rPr>
        <w:t>强抓保教常规管理，确保保教质量稳步上升</w:t>
      </w:r>
    </w:p>
    <w:p>
      <w:pPr>
        <w:pStyle w:val="14"/>
        <w:spacing w:line="590" w:lineRule="exact"/>
        <w:ind w:left="0" w:leftChars="0" w:firstLine="660"/>
        <w:rPr>
          <w:rStyle w:val="34"/>
          <w:rFonts w:eastAsia="方正仿宋_GBK" w:cs="Times New Roman"/>
          <w:sz w:val="33"/>
          <w:szCs w:val="33"/>
        </w:rPr>
      </w:pPr>
      <w:r>
        <w:rPr>
          <w:rStyle w:val="34"/>
          <w:rFonts w:eastAsia="方正仿宋_GBK" w:cs="Times New Roman"/>
          <w:sz w:val="33"/>
          <w:szCs w:val="33"/>
        </w:rPr>
        <w:t>为了使全园幼儿的德、智、体、美等各方面得到全面和谐的发展，我园除了一如既往的按《</w:t>
      </w:r>
      <w:r>
        <w:rPr>
          <w:rStyle w:val="34"/>
          <w:rFonts w:hint="eastAsia" w:eastAsia="方正仿宋_GBK" w:cs="Times New Roman"/>
          <w:sz w:val="33"/>
          <w:szCs w:val="33"/>
          <w:lang w:eastAsia="zh-CN"/>
        </w:rPr>
        <w:t>幼儿园教育指导纲要</w:t>
      </w:r>
      <w:r>
        <w:rPr>
          <w:rStyle w:val="34"/>
          <w:rFonts w:eastAsia="方正仿宋_GBK" w:cs="Times New Roman"/>
          <w:sz w:val="33"/>
          <w:szCs w:val="33"/>
        </w:rPr>
        <w:t>》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奖勤罚懒制度，不断激发教师的工作积极性和主动性。学期末对各班教师各科教育教学、班务工作、常规培养、个人基本功训练等各方面进行全面测查，并要求各岗位教师认真做好学期末工作总结，积累经验，反思提高，使园内各项工作有始有终，卓见成效，保教质量稳步上升。 我园的课程结构：为弘扬中国传统节日，我园开设以节日为主题的系列主题活动；以建党百年为契机，开设了一系列红色课程和庆祝活动；各个班级还根据幼儿的需求开展生成课程，乡情课程、足球课程和生活课程的开展让我园的课程结构呈现多元化。 教研工作：针对我园教师初入职、经验缺乏的特点，我们有针对性的开展教研活动,如“如何有效的与家长沟通”、“如何搞好班级管理工作”、“在游戏中如何观察解读儿童”、“幼儿园活动的设计与实施”以及提供各种技能比赛的平台，为教师们创设学习和交流的机会。</w:t>
      </w:r>
    </w:p>
    <w:p>
      <w:pPr>
        <w:tabs>
          <w:tab w:val="left" w:pos="0"/>
        </w:tabs>
        <w:autoSpaceDE w:val="0"/>
        <w:spacing w:line="590" w:lineRule="exact"/>
        <w:ind w:firstLine="660" w:firstLineChars="200"/>
        <w:jc w:val="left"/>
        <w:rPr>
          <w:rFonts w:eastAsia="方正仿宋_GBK"/>
          <w:sz w:val="33"/>
          <w:szCs w:val="33"/>
        </w:rPr>
      </w:pPr>
      <w:r>
        <w:rPr>
          <w:rStyle w:val="34"/>
          <w:rFonts w:hint="eastAsia" w:eastAsia="方正仿宋_GBK" w:cs="Times New Roman"/>
          <w:sz w:val="33"/>
          <w:szCs w:val="33"/>
        </w:rPr>
        <w:t>（4）</w:t>
      </w:r>
      <w:r>
        <w:rPr>
          <w:rStyle w:val="34"/>
          <w:rFonts w:eastAsia="方正仿宋_GBK" w:cs="Times New Roman"/>
          <w:sz w:val="33"/>
          <w:szCs w:val="33"/>
        </w:rPr>
        <w:t>安全工作警钟长鸣，有效的保障了园内各项工作顺畅有效的进行</w:t>
      </w:r>
      <w:r>
        <w:rPr>
          <w:rStyle w:val="34"/>
          <w:rFonts w:hint="eastAsia" w:eastAsia="方正仿宋_GBK" w:cs="Times New Roman"/>
          <w:sz w:val="33"/>
          <w:szCs w:val="33"/>
        </w:rPr>
        <w:t>。</w:t>
      </w:r>
      <w:r>
        <w:rPr>
          <w:rStyle w:val="34"/>
          <w:rFonts w:eastAsia="方正仿宋_GBK" w:cs="Times New Roman"/>
          <w:sz w:val="33"/>
          <w:szCs w:val="33"/>
        </w:rPr>
        <w:t xml:space="preserve"> </w:t>
      </w:r>
    </w:p>
    <w:p>
      <w:pPr>
        <w:tabs>
          <w:tab w:val="left" w:pos="0"/>
        </w:tabs>
        <w:autoSpaceDE w:val="0"/>
        <w:spacing w:line="590" w:lineRule="exact"/>
        <w:ind w:firstLine="660" w:firstLineChars="200"/>
        <w:jc w:val="left"/>
        <w:rPr>
          <w:rFonts w:eastAsia="方正仿宋_GBK"/>
          <w:sz w:val="33"/>
          <w:szCs w:val="33"/>
        </w:rPr>
      </w:pPr>
      <w:r>
        <w:rPr>
          <w:rStyle w:val="34"/>
          <w:rFonts w:eastAsia="方正仿宋_GBK" w:cs="Times New Roman"/>
          <w:sz w:val="33"/>
          <w:szCs w:val="33"/>
        </w:rPr>
        <w:t xml:space="preserve">1)加强组织领导，完善安全制度，压实安全责任。园领导班子成员及班主任老师齐心协力，齐抓共管，把维护幼儿园安全作为头等大事来抓，完善应对各种安全突发事件的应急预案，提高应急处置的能力和水平及加强领导落实责任。 </w:t>
      </w:r>
    </w:p>
    <w:p>
      <w:pPr>
        <w:tabs>
          <w:tab w:val="left" w:pos="0"/>
        </w:tabs>
        <w:autoSpaceDE w:val="0"/>
        <w:spacing w:line="590" w:lineRule="exact"/>
        <w:ind w:firstLine="660" w:firstLineChars="200"/>
        <w:jc w:val="left"/>
        <w:rPr>
          <w:rFonts w:eastAsia="方正仿宋_GBK"/>
          <w:sz w:val="33"/>
          <w:szCs w:val="33"/>
        </w:rPr>
      </w:pPr>
      <w:r>
        <w:rPr>
          <w:rStyle w:val="34"/>
          <w:rFonts w:eastAsia="方正仿宋_GBK" w:cs="Times New Roman"/>
          <w:sz w:val="33"/>
          <w:szCs w:val="33"/>
        </w:rPr>
        <w:t xml:space="preserve">2)排查安全隐患，保证幼儿活动安全。定期对园内幼儿饮食安全、消防安全等进行彻底排查，有针对性的开展工作，真正把安全隐患消除在萌芽状态。 </w:t>
      </w:r>
    </w:p>
    <w:p>
      <w:pPr>
        <w:tabs>
          <w:tab w:val="left" w:pos="0"/>
        </w:tabs>
        <w:autoSpaceDE w:val="0"/>
        <w:spacing w:line="590" w:lineRule="exact"/>
        <w:ind w:firstLine="660" w:firstLineChars="200"/>
        <w:jc w:val="left"/>
        <w:rPr>
          <w:rFonts w:eastAsia="方正仿宋_GBK"/>
          <w:sz w:val="33"/>
          <w:szCs w:val="33"/>
        </w:rPr>
      </w:pPr>
      <w:r>
        <w:rPr>
          <w:rStyle w:val="34"/>
          <w:rFonts w:eastAsia="方正仿宋_GBK" w:cs="Times New Roman"/>
          <w:sz w:val="33"/>
          <w:szCs w:val="33"/>
        </w:rPr>
        <w:t xml:space="preserve">3)重视安全教育，落实安全演练活动，增强安全意识。每周各班有计划开展集中的安全教育，利用安全教育日对全园幼儿进行安全疏散演练，每月对全体教职工进行安全教育培训，逐步提高全体教职工的安全意识和处理应急突发事件的能力。 </w:t>
      </w:r>
    </w:p>
    <w:p>
      <w:pPr>
        <w:tabs>
          <w:tab w:val="left" w:pos="0"/>
        </w:tabs>
        <w:autoSpaceDE w:val="0"/>
        <w:spacing w:line="590" w:lineRule="exact"/>
        <w:ind w:firstLine="660" w:firstLineChars="200"/>
        <w:jc w:val="left"/>
        <w:rPr>
          <w:rFonts w:eastAsia="方正仿宋_GBK"/>
          <w:sz w:val="33"/>
          <w:szCs w:val="33"/>
        </w:rPr>
      </w:pPr>
      <w:r>
        <w:rPr>
          <w:rStyle w:val="34"/>
          <w:rFonts w:eastAsia="方正仿宋_GBK" w:cs="Times New Roman"/>
          <w:sz w:val="33"/>
          <w:szCs w:val="33"/>
        </w:rPr>
        <w:t>4)加强门卫制度及晨检制度。门卫24小时轮流值班，并填写好值班记录。外来人员一律不得进入校园，来客来访测温、扫码、亮码、登记后才允许进入校园。</w:t>
      </w:r>
    </w:p>
    <w:p>
      <w:pPr>
        <w:tabs>
          <w:tab w:val="left" w:pos="0"/>
        </w:tabs>
        <w:autoSpaceDE w:val="0"/>
        <w:spacing w:line="590" w:lineRule="exact"/>
        <w:ind w:firstLine="660" w:firstLineChars="200"/>
        <w:jc w:val="left"/>
        <w:rPr>
          <w:rFonts w:eastAsia="方正仿宋_GBK"/>
          <w:sz w:val="33"/>
          <w:szCs w:val="33"/>
        </w:rPr>
      </w:pPr>
      <w:r>
        <w:rPr>
          <w:rFonts w:hint="eastAsia" w:eastAsia="方正仿宋_GBK"/>
          <w:sz w:val="33"/>
          <w:szCs w:val="33"/>
        </w:rPr>
        <w:t>（5）</w:t>
      </w:r>
      <w:r>
        <w:rPr>
          <w:rStyle w:val="34"/>
          <w:rFonts w:eastAsia="方正仿宋_GBK" w:cs="Times New Roman"/>
          <w:sz w:val="33"/>
          <w:szCs w:val="33"/>
        </w:rPr>
        <w:t>做好家园共育，引领家长共同守护幼儿健康成长 根据《</w:t>
      </w:r>
      <w:r>
        <w:rPr>
          <w:rStyle w:val="34"/>
          <w:rFonts w:hint="eastAsia" w:eastAsia="方正仿宋_GBK" w:cs="Times New Roman"/>
          <w:sz w:val="33"/>
          <w:szCs w:val="33"/>
          <w:lang w:eastAsia="zh-CN"/>
        </w:rPr>
        <w:t>幼儿园教育指导纲要</w:t>
      </w:r>
      <w:r>
        <w:rPr>
          <w:rStyle w:val="34"/>
          <w:rFonts w:eastAsia="方正仿宋_GBK" w:cs="Times New Roman"/>
          <w:sz w:val="33"/>
          <w:szCs w:val="33"/>
        </w:rPr>
        <w:t>》的指导思想，我们围绕争取家长的理解和参与、家长提高教育能力开展我们的家长工作:一是通过家长会、家长园地、家访、与家长交谈等形式，向家长及时传递幼教信息，宣传幼教新理念，使家长了解幼儿教育，获得一些教育孩子的方法；同时让家长了解幼儿园的教育教学目标要求，积极支持配合幼儿园的工作，家长携手共同培育幼儿。二是发动家长参与到主题教育中来，与孩子一起通过查找图书、音像、报刊、参观等</w:t>
      </w:r>
      <w:r>
        <w:rPr>
          <w:rStyle w:val="34"/>
          <w:rFonts w:hint="eastAsia" w:eastAsia="方正仿宋_GBK" w:cs="Times New Roman"/>
          <w:sz w:val="33"/>
          <w:szCs w:val="33"/>
          <w:lang w:val="en-US" w:eastAsia="zh-CN"/>
        </w:rPr>
        <w:t>方式</w:t>
      </w:r>
      <w:r>
        <w:rPr>
          <w:rStyle w:val="34"/>
          <w:rFonts w:eastAsia="方正仿宋_GBK" w:cs="Times New Roman"/>
          <w:sz w:val="33"/>
          <w:szCs w:val="33"/>
        </w:rPr>
        <w:t xml:space="preserve">获取与主题有关的知识、信息，使孩子与家长在一定的程度上共同获得发展；同时邀请家长走进课堂，感受幼儿在园的活动，体会老师的职责。三是通过家长问卷、家委会等广泛听取家长对幼儿园管理及教育教学的意见和建议，以取得家长的配合与支持，共同促使幼儿的发展。 </w:t>
      </w:r>
    </w:p>
    <w:p>
      <w:pPr>
        <w:autoSpaceDE w:val="0"/>
        <w:spacing w:line="590" w:lineRule="exact"/>
        <w:ind w:firstLine="660" w:firstLineChars="200"/>
        <w:jc w:val="left"/>
        <w:rPr>
          <w:rFonts w:eastAsia="方正仿宋_GBK"/>
          <w:sz w:val="33"/>
          <w:szCs w:val="33"/>
        </w:rPr>
      </w:pPr>
      <w:r>
        <w:rPr>
          <w:rFonts w:hint="eastAsia" w:eastAsia="方正仿宋_GBK"/>
          <w:sz w:val="33"/>
          <w:szCs w:val="33"/>
        </w:rPr>
        <w:t>（6）开</w:t>
      </w:r>
      <w:r>
        <w:rPr>
          <w:rStyle w:val="34"/>
          <w:rFonts w:eastAsia="方正仿宋_GBK" w:cs="Times New Roman"/>
          <w:sz w:val="33"/>
          <w:szCs w:val="33"/>
        </w:rPr>
        <w:t xml:space="preserve">展各类活动，让幼儿园充满生机活力，让师生形成良好的精神风貌，提升幼儿园的外部形象 教育教学质量的高低和教师的自身素质是决定幼儿园发展的重要因素。幼儿园活动是搞好教学，提高教育教学质量的基础，是提高教师素质的重要手段。 我园开展了形式多样的活动，以创新促常规，取得了很好的效果。幼儿方面有：春季运动会、早操比赛、自理能力比赛、我给祖国妈妈过生日、虎虎生威闹新年等。教师方面有：环境创设比赛、自主游戏评比、技能赛、教研课评比等。师生每天坚持晨间活动和自主游戏，保证幼儿户外活动时间，不仅增强师生的体质，而且提高师生的技能。开辟种植园地，设立饲养角，为幼儿观察、思维、想象、创作及实践活动提供了广阔的空间。 以上活动的开展，不仅丰富了广大师生的生活，提高了师生的多项技能，而且提高了幼儿园的知名度，在社会上树立了良好的形象。 </w:t>
      </w:r>
    </w:p>
    <w:p>
      <w:pPr>
        <w:pStyle w:val="14"/>
        <w:spacing w:line="590" w:lineRule="exact"/>
        <w:ind w:left="0" w:leftChars="0" w:firstLine="660"/>
        <w:rPr>
          <w:lang w:val="zh-CN"/>
        </w:rPr>
      </w:pPr>
      <w:r>
        <w:rPr>
          <w:rFonts w:hint="eastAsia" w:ascii="Times New Roman" w:eastAsia="方正仿宋_GBK"/>
          <w:sz w:val="33"/>
          <w:szCs w:val="33"/>
        </w:rPr>
        <w:t>（7）</w:t>
      </w:r>
      <w:r>
        <w:rPr>
          <w:rStyle w:val="34"/>
          <w:rFonts w:eastAsia="方正仿宋_GBK" w:cs="Times New Roman"/>
          <w:sz w:val="33"/>
          <w:szCs w:val="33"/>
        </w:rPr>
        <w:t xml:space="preserve">积极宣传动员3-11岁儿童接种疫苗，教职工达到100%接种。精准排除师生信息，管好校门、管好场所、管好活动、管好应急处置、管好人员流动。 保健工作是确保幼儿身体健康的重要环节，我园一年来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 </w:t>
      </w:r>
    </w:p>
    <w:p>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（三）结果应用情况。</w:t>
      </w:r>
    </w:p>
    <w:p>
      <w:pPr>
        <w:widowControl/>
        <w:adjustRightInd w:val="0"/>
        <w:snapToGrid w:val="0"/>
        <w:spacing w:line="590" w:lineRule="exact"/>
        <w:ind w:firstLine="660" w:firstLineChars="200"/>
        <w:contextualSpacing/>
        <w:jc w:val="left"/>
        <w:rPr>
          <w:color w:val="000000"/>
          <w:kern w:val="0"/>
          <w:szCs w:val="32"/>
          <w:shd w:val="clear" w:color="auto" w:fill="FFFFFF"/>
          <w:lang w:val="zh-CN"/>
        </w:rPr>
      </w:pPr>
      <w:r>
        <w:rPr>
          <w:rFonts w:eastAsia="方正仿宋_GBK"/>
          <w:color w:val="000000"/>
          <w:kern w:val="0"/>
          <w:sz w:val="33"/>
          <w:szCs w:val="33"/>
          <w:shd w:val="clear" w:color="auto" w:fill="FFFFFF"/>
          <w:lang w:val="zh-CN"/>
        </w:rPr>
        <w:t>高度重视绩效评价结果的运用，以评价为导向进一步规范资金、项目管理。根据部门整体支出绩效评价自评和专项项目绩效评价发现的相关问题，及时组织研究，制定并下发了园内相关考核及内部控制制度。</w:t>
      </w:r>
    </w:p>
    <w:p>
      <w:pPr>
        <w:widowControl/>
        <w:numPr>
          <w:ilvl w:val="0"/>
          <w:numId w:val="5"/>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自评质量。</w:t>
      </w:r>
    </w:p>
    <w:p>
      <w:pPr>
        <w:widowControl/>
        <w:adjustRightInd w:val="0"/>
        <w:snapToGrid w:val="0"/>
        <w:spacing w:line="590" w:lineRule="exact"/>
        <w:ind w:firstLine="660" w:firstLineChars="200"/>
        <w:contextualSpacing/>
        <w:jc w:val="left"/>
        <w:rPr>
          <w:rFonts w:eastAsia="仿宋_GB2312"/>
        </w:rPr>
      </w:pPr>
      <w:r>
        <w:rPr>
          <w:rFonts w:eastAsia="方正仿宋_GBK"/>
          <w:color w:val="000000"/>
          <w:kern w:val="0"/>
          <w:sz w:val="33"/>
          <w:szCs w:val="33"/>
          <w:shd w:val="clear" w:color="auto" w:fill="FFFFFF"/>
        </w:rPr>
        <w:t>2022年，我单位按照《广安市财政局关于开展2022年度市级部门绩效自评工作的通知》(广市财绩[2023] 500号)要求，对我单位2022年度的资金执行情况和绩效目标完成情况开展绩效自评，自评得分为</w:t>
      </w:r>
      <w:r>
        <w:rPr>
          <w:rFonts w:eastAsia="方正仿宋_GBK"/>
          <w:color w:val="0C0C0C" w:themeColor="text1" w:themeTint="F2"/>
          <w:kern w:val="0"/>
          <w:sz w:val="33"/>
          <w:szCs w:val="33"/>
          <w:shd w:val="clear" w:color="auto" w:fill="FFFFFF"/>
        </w:rPr>
        <w:t>88</w:t>
      </w:r>
      <w:r>
        <w:rPr>
          <w:rFonts w:eastAsia="方正仿宋_GBK"/>
          <w:color w:val="000000"/>
          <w:kern w:val="0"/>
          <w:sz w:val="33"/>
          <w:szCs w:val="33"/>
          <w:shd w:val="clear" w:color="auto" w:fill="FFFFFF"/>
        </w:rPr>
        <w:t>分，项目支出绩效目标整体完成情况较好。</w:t>
      </w:r>
    </w:p>
    <w:p>
      <w:pPr>
        <w:widowControl/>
        <w:adjustRightInd w:val="0"/>
        <w:snapToGrid w:val="0"/>
        <w:spacing w:line="56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pPr>
        <w:widowControl/>
        <w:adjustRightInd w:val="0"/>
        <w:snapToGrid w:val="0"/>
        <w:spacing w:line="59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（一）评价结论。</w:t>
      </w:r>
    </w:p>
    <w:p>
      <w:pPr>
        <w:widowControl/>
        <w:adjustRightInd w:val="0"/>
        <w:snapToGrid w:val="0"/>
        <w:spacing w:line="590" w:lineRule="exact"/>
        <w:ind w:firstLine="660" w:firstLineChars="200"/>
        <w:contextualSpacing/>
        <w:jc w:val="left"/>
        <w:rPr>
          <w:rFonts w:eastAsia="楷体_GB2312"/>
          <w:b/>
          <w:bCs/>
          <w:kern w:val="0"/>
          <w:sz w:val="32"/>
          <w:szCs w:val="32"/>
          <w:shd w:val="clear" w:color="auto" w:fill="FFFFFF"/>
          <w:lang w:val="zh-CN"/>
        </w:rPr>
      </w:pPr>
      <w:r>
        <w:rPr>
          <w:rFonts w:eastAsia="方正仿宋_GBK"/>
          <w:color w:val="000000"/>
          <w:kern w:val="0"/>
          <w:sz w:val="33"/>
          <w:szCs w:val="33"/>
          <w:shd w:val="clear" w:color="auto" w:fill="FFFFFF"/>
          <w:lang w:val="zh-CN"/>
        </w:rPr>
        <w:t>总体上讲，按照预算资金的规定用途均衡执行。</w:t>
      </w:r>
    </w:p>
    <w:p>
      <w:pPr>
        <w:widowControl/>
        <w:adjustRightInd w:val="0"/>
        <w:snapToGrid w:val="0"/>
        <w:spacing w:line="59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（二）存在问题。</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lang w:val="zh-CN"/>
        </w:rPr>
      </w:pPr>
      <w:r>
        <w:rPr>
          <w:rFonts w:eastAsia="方正仿宋_GBK"/>
          <w:color w:val="000000"/>
          <w:kern w:val="0"/>
          <w:sz w:val="33"/>
          <w:szCs w:val="33"/>
          <w:shd w:val="clear" w:color="auto" w:fill="FFFFFF"/>
          <w:lang w:val="zh-CN"/>
        </w:rPr>
        <w:t>1.预算工作仍需加强，预算编制要尽可能准确、细化、编制的合理性需要提高，预算执行力度还要进一步加强。</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lang w:val="zh-CN"/>
        </w:rPr>
      </w:pPr>
      <w:r>
        <w:rPr>
          <w:rFonts w:eastAsia="方正仿宋_GBK"/>
          <w:color w:val="000000"/>
          <w:kern w:val="0"/>
          <w:sz w:val="33"/>
          <w:szCs w:val="33"/>
          <w:shd w:val="clear" w:color="auto" w:fill="FFFFFF"/>
          <w:lang w:val="zh-CN"/>
        </w:rPr>
        <w:t>2.存在调整预算批复资金用途的情况，个别科目预算资金不够，在实际使用过程中进行了调剂使用。</w:t>
      </w:r>
    </w:p>
    <w:p>
      <w:pPr>
        <w:widowControl/>
        <w:adjustRightInd w:val="0"/>
        <w:snapToGrid w:val="0"/>
        <w:spacing w:line="590" w:lineRule="exact"/>
        <w:ind w:firstLine="660" w:firstLineChars="200"/>
        <w:contextualSpacing/>
        <w:jc w:val="left"/>
        <w:rPr>
          <w:rFonts w:eastAsia="楷体_GB2312"/>
          <w:b/>
          <w:bCs/>
          <w:kern w:val="0"/>
          <w:sz w:val="32"/>
          <w:szCs w:val="32"/>
          <w:shd w:val="clear" w:color="auto" w:fill="FFFFFF"/>
          <w:lang w:val="zh-CN"/>
        </w:rPr>
      </w:pPr>
      <w:r>
        <w:rPr>
          <w:rFonts w:eastAsia="方正仿宋_GBK"/>
          <w:color w:val="000000"/>
          <w:kern w:val="0"/>
          <w:sz w:val="33"/>
          <w:szCs w:val="33"/>
          <w:shd w:val="clear" w:color="auto" w:fill="FFFFFF"/>
          <w:lang w:val="zh-CN"/>
        </w:rPr>
        <w:t>3.内部控制有待完善。202</w:t>
      </w:r>
      <w:r>
        <w:rPr>
          <w:rFonts w:eastAsia="方正仿宋_GBK"/>
          <w:color w:val="000000"/>
          <w:kern w:val="0"/>
          <w:sz w:val="33"/>
          <w:szCs w:val="33"/>
          <w:shd w:val="clear" w:color="auto" w:fill="FFFFFF"/>
        </w:rPr>
        <w:t>2</w:t>
      </w:r>
      <w:r>
        <w:rPr>
          <w:rFonts w:eastAsia="方正仿宋_GBK"/>
          <w:color w:val="000000"/>
          <w:kern w:val="0"/>
          <w:sz w:val="33"/>
          <w:szCs w:val="33"/>
          <w:shd w:val="clear" w:color="auto" w:fill="FFFFFF"/>
          <w:lang w:val="zh-CN"/>
        </w:rPr>
        <w:t>年进一步对单位内控制度建立和完善，但单位实际情况不是一</w:t>
      </w:r>
      <w:r>
        <w:rPr>
          <w:rFonts w:hint="eastAsia" w:eastAsia="方正仿宋_GBK"/>
          <w:color w:val="000000"/>
          <w:kern w:val="0"/>
          <w:sz w:val="33"/>
          <w:szCs w:val="33"/>
          <w:shd w:val="clear" w:color="auto" w:fill="FFFFFF"/>
          <w:lang w:val="en-US" w:eastAsia="zh-CN"/>
        </w:rPr>
        <w:t>成</w:t>
      </w:r>
      <w:r>
        <w:rPr>
          <w:rFonts w:eastAsia="方正仿宋_GBK"/>
          <w:color w:val="000000"/>
          <w:kern w:val="0"/>
          <w:sz w:val="33"/>
          <w:szCs w:val="33"/>
          <w:shd w:val="clear" w:color="auto" w:fill="FFFFFF"/>
          <w:lang w:val="zh-CN"/>
        </w:rPr>
        <w:t>不变的，还需要根据变动进行调整内控制度。</w:t>
      </w:r>
    </w:p>
    <w:p>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（三）改进建议。</w:t>
      </w:r>
    </w:p>
    <w:p>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lang w:val="zh-CN"/>
        </w:rPr>
      </w:pPr>
      <w:r>
        <w:rPr>
          <w:rFonts w:eastAsia="方正仿宋_GBK"/>
          <w:color w:val="000000"/>
          <w:kern w:val="0"/>
          <w:sz w:val="33"/>
          <w:szCs w:val="33"/>
          <w:shd w:val="clear" w:color="auto" w:fill="FFFFFF"/>
          <w:lang w:val="zh-CN"/>
        </w:rPr>
        <w:t>1.</w:t>
      </w:r>
      <w:r>
        <w:rPr>
          <w:rFonts w:eastAsia="方正仿宋_GBK"/>
          <w:color w:val="000000"/>
          <w:kern w:val="0"/>
          <w:sz w:val="33"/>
          <w:szCs w:val="33"/>
          <w:shd w:val="clear" w:color="auto" w:fill="FFFFFF"/>
        </w:rPr>
        <w:t>学校</w:t>
      </w:r>
      <w:r>
        <w:rPr>
          <w:rFonts w:eastAsia="方正仿宋_GBK"/>
          <w:color w:val="000000"/>
          <w:kern w:val="0"/>
          <w:sz w:val="33"/>
          <w:szCs w:val="33"/>
          <w:shd w:val="clear" w:color="auto" w:fill="FFFFFF"/>
          <w:lang w:val="zh-CN"/>
        </w:rPr>
        <w:t>工作重心在教育教学上，财务管理只是学校其他工作的后勤保障，学校财务人员非专业人员，各项报告评估对一个财务人员来说，负担过重，建议给基层财务人员减负。</w:t>
      </w:r>
    </w:p>
    <w:p>
      <w:pPr>
        <w:widowControl/>
        <w:adjustRightInd w:val="0"/>
        <w:snapToGrid w:val="0"/>
        <w:spacing w:line="590" w:lineRule="exact"/>
        <w:ind w:firstLine="660" w:firstLineChars="200"/>
        <w:contextualSpacing/>
        <w:jc w:val="left"/>
        <w:rPr>
          <w:lang w:val="zh-CN"/>
        </w:rPr>
      </w:pPr>
      <w:r>
        <w:rPr>
          <w:rFonts w:eastAsia="方正仿宋_GBK"/>
          <w:color w:val="000000"/>
          <w:kern w:val="0"/>
          <w:sz w:val="33"/>
          <w:szCs w:val="33"/>
          <w:shd w:val="clear" w:color="auto" w:fill="FFFFFF"/>
          <w:lang w:val="zh-CN"/>
        </w:rPr>
        <w:t>2.学校财务人员多为非专业人员，建议市财政局相关部门加大对学校财务人员财务专业的培训力度。</w:t>
      </w: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hint="eastAsia" w:ascii="Times New Roman" w:eastAsia="仿宋_GB2312"/>
          <w:sz w:val="32"/>
          <w:lang w:val="zh-CN"/>
        </w:rPr>
      </w:pPr>
    </w:p>
    <w:p>
      <w:pPr>
        <w:pStyle w:val="14"/>
        <w:spacing w:line="560" w:lineRule="exact"/>
        <w:ind w:left="0" w:leftChars="0" w:firstLine="640"/>
        <w:rPr>
          <w:rFonts w:ascii="Times New Roman" w:eastAsia="仿宋_GB2312"/>
          <w:sz w:val="32"/>
          <w:lang w:val="zh-CN"/>
        </w:rPr>
      </w:pPr>
      <w:r>
        <w:rPr>
          <w:rFonts w:ascii="Times New Roman" w:eastAsia="仿宋_GB2312"/>
          <w:sz w:val="32"/>
          <w:lang w:val="zh-CN"/>
        </w:rPr>
        <w:t>附表：</w:t>
      </w:r>
      <w:r>
        <w:rPr>
          <w:rFonts w:ascii="Times New Roman" w:eastAsia="仿宋_GB2312"/>
          <w:sz w:val="32"/>
        </w:rPr>
        <w:t>部门预算项目支出绩效自评表（2022年度）</w:t>
      </w:r>
    </w:p>
    <w:p>
      <w:pPr>
        <w:pStyle w:val="2"/>
        <w:spacing w:before="93"/>
        <w:rPr>
          <w:rFonts w:ascii="Times New Roman"/>
        </w:rPr>
      </w:pPr>
      <w:r>
        <w:drawing>
          <wp:inline distT="0" distB="0" distL="114300" distR="114300">
            <wp:extent cx="5817235" cy="8294370"/>
            <wp:effectExtent l="0" t="0" r="444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5817235" cy="8294370"/>
                    </a:xfrm>
                    <a:prstGeom prst="rect">
                      <a:avLst/>
                    </a:prstGeom>
                    <a:noFill/>
                    <a:ln>
                      <a:noFill/>
                    </a:ln>
                  </pic:spPr>
                </pic:pic>
              </a:graphicData>
            </a:graphic>
          </wp:inline>
        </w:drawing>
      </w:r>
    </w:p>
    <w:p>
      <w:pPr>
        <w:pStyle w:val="2"/>
        <w:spacing w:before="93"/>
        <w:rPr>
          <w:rFonts w:ascii="Times New Roman"/>
        </w:rPr>
      </w:pPr>
      <w:r>
        <w:drawing>
          <wp:inline distT="0" distB="0" distL="114300" distR="114300">
            <wp:extent cx="5616575" cy="8357870"/>
            <wp:effectExtent l="0" t="0" r="698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a:stretch>
                      <a:fillRect/>
                    </a:stretch>
                  </pic:blipFill>
                  <pic:spPr>
                    <a:xfrm>
                      <a:off x="0" y="0"/>
                      <a:ext cx="5616575" cy="8357870"/>
                    </a:xfrm>
                    <a:prstGeom prst="rect">
                      <a:avLst/>
                    </a:prstGeom>
                    <a:noFill/>
                    <a:ln>
                      <a:noFill/>
                    </a:ln>
                  </pic:spPr>
                </pic:pic>
              </a:graphicData>
            </a:graphic>
          </wp:inline>
        </w:drawing>
      </w:r>
    </w:p>
    <w:p>
      <w:pPr>
        <w:pStyle w:val="2"/>
        <w:spacing w:before="93"/>
        <w:rPr>
          <w:rFonts w:ascii="Times New Roman"/>
        </w:rPr>
      </w:pPr>
      <w:r>
        <w:drawing>
          <wp:inline distT="0" distB="0" distL="114300" distR="114300">
            <wp:extent cx="5727065" cy="8239760"/>
            <wp:effectExtent l="0" t="0" r="3175" b="50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0"/>
                    <a:stretch>
                      <a:fillRect/>
                    </a:stretch>
                  </pic:blipFill>
                  <pic:spPr>
                    <a:xfrm>
                      <a:off x="0" y="0"/>
                      <a:ext cx="5727065" cy="8239760"/>
                    </a:xfrm>
                    <a:prstGeom prst="rect">
                      <a:avLst/>
                    </a:prstGeom>
                    <a:noFill/>
                    <a:ln>
                      <a:noFill/>
                    </a:ln>
                  </pic:spPr>
                </pic:pic>
              </a:graphicData>
            </a:graphic>
          </wp:inline>
        </w:drawing>
      </w:r>
    </w:p>
    <w:p>
      <w:pPr>
        <w:pStyle w:val="2"/>
        <w:spacing w:before="93"/>
        <w:rPr>
          <w:rFonts w:ascii="Times New Roman"/>
        </w:rPr>
      </w:pPr>
    </w:p>
    <w:p>
      <w:pPr>
        <w:spacing w:line="580" w:lineRule="exact"/>
        <w:rPr>
          <w:rFonts w:eastAsia="仿宋_GB2312"/>
          <w:sz w:val="32"/>
          <w:szCs w:val="32"/>
        </w:rPr>
      </w:pPr>
      <w:r>
        <w:rPr>
          <w:rFonts w:eastAsia="黑体"/>
          <w:sz w:val="32"/>
          <w:szCs w:val="32"/>
        </w:rPr>
        <w:t>附件2</w:t>
      </w:r>
    </w:p>
    <w:p>
      <w:pPr>
        <w:spacing w:line="600" w:lineRule="exact"/>
        <w:jc w:val="center"/>
        <w:rPr>
          <w:rFonts w:eastAsia="方正小标宋简体"/>
          <w:color w:val="000000"/>
          <w:kern w:val="0"/>
          <w:sz w:val="44"/>
          <w:szCs w:val="44"/>
        </w:rPr>
      </w:pPr>
    </w:p>
    <w:p>
      <w:pPr>
        <w:spacing w:line="600" w:lineRule="exact"/>
        <w:jc w:val="center"/>
        <w:rPr>
          <w:rFonts w:hint="eastAsia" w:eastAsia="方正小标宋简体"/>
          <w:color w:val="000000"/>
          <w:kern w:val="0"/>
          <w:sz w:val="44"/>
          <w:szCs w:val="44"/>
          <w:lang w:val="en-US" w:eastAsia="zh-CN"/>
        </w:rPr>
      </w:pPr>
      <w:r>
        <w:rPr>
          <w:rFonts w:eastAsia="方正小标宋简体"/>
          <w:color w:val="000000"/>
          <w:kern w:val="0"/>
          <w:sz w:val="44"/>
          <w:szCs w:val="44"/>
        </w:rPr>
        <w:t>202</w:t>
      </w:r>
      <w:r>
        <w:rPr>
          <w:rFonts w:hint="eastAsia" w:eastAsia="方正小标宋简体"/>
          <w:color w:val="000000"/>
          <w:kern w:val="0"/>
          <w:sz w:val="44"/>
          <w:szCs w:val="44"/>
        </w:rPr>
        <w:t>2</w:t>
      </w:r>
      <w:r>
        <w:rPr>
          <w:rFonts w:eastAsia="方正小标宋简体"/>
          <w:color w:val="000000"/>
          <w:kern w:val="0"/>
          <w:sz w:val="44"/>
          <w:szCs w:val="44"/>
        </w:rPr>
        <w:t>年</w:t>
      </w:r>
      <w:r>
        <w:rPr>
          <w:rFonts w:hint="eastAsia" w:eastAsia="方正小标宋简体"/>
          <w:color w:val="000000"/>
          <w:kern w:val="0"/>
          <w:sz w:val="44"/>
          <w:szCs w:val="44"/>
          <w:lang w:val="en-US" w:eastAsia="zh-CN"/>
        </w:rPr>
        <w:t>广安市第六幼儿园</w:t>
      </w:r>
    </w:p>
    <w:p>
      <w:pPr>
        <w:spacing w:line="600" w:lineRule="exact"/>
        <w:jc w:val="center"/>
        <w:rPr>
          <w:rFonts w:eastAsia="方正小标宋简体"/>
          <w:color w:val="000000"/>
          <w:kern w:val="0"/>
          <w:sz w:val="44"/>
          <w:szCs w:val="44"/>
        </w:rPr>
      </w:pPr>
      <w:r>
        <w:rPr>
          <w:rFonts w:hint="eastAsia" w:eastAsia="方正小标宋简体"/>
          <w:color w:val="000000"/>
          <w:kern w:val="0"/>
          <w:sz w:val="44"/>
          <w:szCs w:val="44"/>
          <w:lang w:val="en-US" w:eastAsia="zh-CN"/>
        </w:rPr>
        <w:t>预算</w:t>
      </w:r>
      <w:r>
        <w:rPr>
          <w:rFonts w:eastAsia="方正小标宋简体"/>
          <w:color w:val="000000"/>
          <w:kern w:val="0"/>
          <w:sz w:val="44"/>
          <w:szCs w:val="44"/>
        </w:rPr>
        <w:t>项目绩效自评报告</w:t>
      </w:r>
    </w:p>
    <w:p>
      <w:pPr>
        <w:pStyle w:val="33"/>
        <w:spacing w:line="578" w:lineRule="exact"/>
        <w:ind w:firstLine="640"/>
        <w:jc w:val="center"/>
        <w:rPr>
          <w:rFonts w:ascii="Times New Roman" w:hAnsi="Times New Roman" w:eastAsia="仿宋_GB2312"/>
          <w:color w:val="auto"/>
          <w:kern w:val="2"/>
          <w:sz w:val="32"/>
          <w:szCs w:val="32"/>
          <w:lang w:val="en-US"/>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0"/>
        <w:rPr>
          <w:rFonts w:hint="default" w:ascii="Times New Roman" w:hAnsi="Times New Roman" w:eastAsia="方正黑体_GBK" w:cs="Times New Roman"/>
          <w:sz w:val="33"/>
          <w:szCs w:val="33"/>
        </w:rPr>
      </w:pPr>
      <w:bookmarkStart w:id="54" w:name="_Toc15396618"/>
      <w:r>
        <w:rPr>
          <w:rFonts w:hint="default" w:ascii="Times New Roman" w:hAnsi="Times New Roman" w:eastAsia="方正黑体_GBK" w:cs="Times New Roman"/>
          <w:sz w:val="33"/>
          <w:szCs w:val="33"/>
        </w:rPr>
        <w:t>一、项目概况</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（一）项目基本情况。</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广安</w:t>
      </w:r>
      <w:r>
        <w:rPr>
          <w:rFonts w:hint="eastAsia" w:eastAsia="方正仿宋_GBK" w:cs="Times New Roman"/>
          <w:sz w:val="33"/>
          <w:szCs w:val="33"/>
          <w:lang w:val="en-US" w:eastAsia="zh-CN"/>
        </w:rPr>
        <w:t>市第六幼儿园</w:t>
      </w:r>
      <w:r>
        <w:rPr>
          <w:rFonts w:hint="default" w:ascii="Times New Roman" w:hAnsi="Times New Roman" w:eastAsia="方正仿宋_GBK" w:cs="Times New Roman"/>
          <w:sz w:val="33"/>
          <w:szCs w:val="33"/>
        </w:rPr>
        <w:t>2022年共有“</w:t>
      </w:r>
      <w:r>
        <w:rPr>
          <w:rFonts w:hint="eastAsia" w:eastAsia="方正仿宋_GBK" w:cs="Times New Roman"/>
          <w:sz w:val="33"/>
          <w:szCs w:val="33"/>
          <w:lang w:val="en-US" w:eastAsia="zh-CN"/>
        </w:rPr>
        <w:t>保教费</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合同制教师及保育员工资</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班级物资采购</w:t>
      </w:r>
      <w:r>
        <w:rPr>
          <w:rFonts w:hint="default" w:ascii="Times New Roman" w:hAnsi="Times New Roman" w:eastAsia="方正仿宋_GBK" w:cs="Times New Roman"/>
          <w:sz w:val="33"/>
          <w:szCs w:val="33"/>
        </w:rPr>
        <w:t>”等</w:t>
      </w:r>
      <w:r>
        <w:rPr>
          <w:rFonts w:hint="eastAsia" w:eastAsia="方正仿宋_GBK" w:cs="Times New Roman"/>
          <w:sz w:val="33"/>
          <w:szCs w:val="33"/>
          <w:lang w:val="en-US" w:eastAsia="zh-CN"/>
        </w:rPr>
        <w:t>3</w:t>
      </w:r>
      <w:r>
        <w:rPr>
          <w:rFonts w:hint="default" w:ascii="Times New Roman" w:hAnsi="Times New Roman" w:eastAsia="方正仿宋_GBK" w:cs="Times New Roman"/>
          <w:sz w:val="33"/>
          <w:szCs w:val="33"/>
        </w:rPr>
        <w:t>个项目纳入预算，项目全年预算数</w:t>
      </w:r>
      <w:r>
        <w:rPr>
          <w:rFonts w:hint="eastAsia" w:eastAsia="方正仿宋_GBK" w:cs="Times New Roman"/>
          <w:sz w:val="33"/>
          <w:szCs w:val="33"/>
          <w:lang w:val="en-US" w:eastAsia="zh-CN"/>
        </w:rPr>
        <w:t>217.2</w:t>
      </w:r>
      <w:r>
        <w:rPr>
          <w:rFonts w:hint="default" w:ascii="Times New Roman" w:hAnsi="Times New Roman" w:eastAsia="方正仿宋_GBK" w:cs="Times New Roman"/>
          <w:sz w:val="33"/>
          <w:szCs w:val="33"/>
        </w:rPr>
        <w:t>万元，执行数为</w:t>
      </w:r>
      <w:r>
        <w:rPr>
          <w:rFonts w:hint="eastAsia" w:eastAsia="方正仿宋_GBK" w:cs="Times New Roman"/>
          <w:sz w:val="33"/>
          <w:szCs w:val="33"/>
          <w:lang w:val="en-US" w:eastAsia="zh-CN"/>
        </w:rPr>
        <w:t>217.</w:t>
      </w:r>
      <w:r>
        <w:rPr>
          <w:rFonts w:hint="default" w:ascii="Times New Roman" w:hAnsi="Times New Roman" w:eastAsia="方正仿宋_GBK" w:cs="Times New Roman"/>
          <w:sz w:val="33"/>
          <w:szCs w:val="33"/>
        </w:rPr>
        <w:t>2万元，完成预算的</w:t>
      </w:r>
      <w:r>
        <w:rPr>
          <w:rFonts w:hint="eastAsia" w:eastAsia="方正仿宋_GBK" w:cs="Times New Roman"/>
          <w:sz w:val="33"/>
          <w:szCs w:val="33"/>
          <w:lang w:val="en-US" w:eastAsia="zh-CN"/>
        </w:rPr>
        <w:t>100</w:t>
      </w:r>
      <w:r>
        <w:rPr>
          <w:rFonts w:hint="default" w:ascii="Times New Roman" w:hAnsi="Times New Roman" w:eastAsia="方正仿宋_GBK" w:cs="Times New Roman"/>
          <w:sz w:val="33"/>
          <w:szCs w:val="33"/>
        </w:rPr>
        <w:t>%。发现的主要问题：</w:t>
      </w:r>
      <w:r>
        <w:rPr>
          <w:rFonts w:hint="eastAsia" w:eastAsia="方正仿宋_GBK" w:cs="Times New Roman"/>
          <w:sz w:val="33"/>
          <w:szCs w:val="33"/>
          <w:lang w:val="en-US" w:eastAsia="zh-CN"/>
        </w:rPr>
        <w:t>我园是2020年新开幼儿园，随着班级逐年增加，对配套设施、户外场地需求量不断加大。</w:t>
      </w:r>
      <w:r>
        <w:rPr>
          <w:rFonts w:hint="default" w:ascii="Times New Roman" w:hAnsi="Times New Roman" w:eastAsia="方正仿宋_GBK" w:cs="Times New Roman"/>
          <w:sz w:val="33"/>
          <w:szCs w:val="33"/>
        </w:rPr>
        <w:t>下一步改进措施：还需加大</w:t>
      </w:r>
      <w:r>
        <w:rPr>
          <w:rFonts w:hint="eastAsia" w:eastAsia="方正仿宋_GBK" w:cs="Times New Roman"/>
          <w:sz w:val="33"/>
          <w:szCs w:val="33"/>
          <w:lang w:val="en-US" w:eastAsia="zh-CN"/>
        </w:rPr>
        <w:t>资金</w:t>
      </w:r>
      <w:r>
        <w:rPr>
          <w:rFonts w:hint="default" w:ascii="Times New Roman" w:hAnsi="Times New Roman" w:eastAsia="方正仿宋_GBK" w:cs="Times New Roman"/>
          <w:sz w:val="33"/>
          <w:szCs w:val="33"/>
        </w:rPr>
        <w:t>投入，</w:t>
      </w:r>
      <w:r>
        <w:rPr>
          <w:rFonts w:hint="eastAsia" w:eastAsia="方正仿宋_GBK" w:cs="Times New Roman"/>
          <w:sz w:val="33"/>
          <w:szCs w:val="33"/>
          <w:lang w:val="en-US" w:eastAsia="zh-CN"/>
        </w:rPr>
        <w:t>完善配套设施设备，扩建或外活动场地</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保障幼儿一日在园活动顺利开展</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（二）项目绩效目标。</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default"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通过“</w:t>
      </w:r>
      <w:r>
        <w:rPr>
          <w:rFonts w:hint="eastAsia" w:eastAsia="方正仿宋_GBK" w:cs="Times New Roman"/>
          <w:sz w:val="33"/>
          <w:szCs w:val="33"/>
          <w:lang w:val="en-US" w:eastAsia="zh-CN"/>
        </w:rPr>
        <w:t>保教费</w:t>
      </w:r>
      <w:r>
        <w:rPr>
          <w:rFonts w:hint="default" w:ascii="Times New Roman" w:hAnsi="Times New Roman" w:eastAsia="方正仿宋_GBK" w:cs="Times New Roman"/>
          <w:sz w:val="33"/>
          <w:szCs w:val="33"/>
        </w:rPr>
        <w:t>项目”实施，提高了</w:t>
      </w:r>
      <w:r>
        <w:rPr>
          <w:rFonts w:hint="eastAsia" w:eastAsia="方正仿宋_GBK" w:cs="Times New Roman"/>
          <w:sz w:val="33"/>
          <w:szCs w:val="33"/>
          <w:lang w:val="en-US" w:eastAsia="zh-CN"/>
        </w:rPr>
        <w:t>幼儿在园保育和教育的</w:t>
      </w:r>
      <w:r>
        <w:rPr>
          <w:rFonts w:hint="default" w:ascii="Times New Roman" w:hAnsi="Times New Roman" w:eastAsia="方正仿宋_GBK" w:cs="Times New Roman"/>
          <w:sz w:val="33"/>
          <w:szCs w:val="33"/>
        </w:rPr>
        <w:t>质量，</w:t>
      </w:r>
      <w:r>
        <w:rPr>
          <w:rFonts w:hint="eastAsia" w:eastAsia="方正仿宋_GBK" w:cs="Times New Roman"/>
          <w:sz w:val="33"/>
          <w:szCs w:val="33"/>
          <w:lang w:val="en-US" w:eastAsia="zh-CN"/>
        </w:rPr>
        <w:t>幼儿园</w:t>
      </w:r>
      <w:r>
        <w:rPr>
          <w:rFonts w:hint="default" w:ascii="Times New Roman" w:hAnsi="Times New Roman" w:eastAsia="方正仿宋_GBK" w:cs="Times New Roman"/>
          <w:sz w:val="33"/>
          <w:szCs w:val="33"/>
        </w:rPr>
        <w:t>师生及家长对</w:t>
      </w:r>
      <w:r>
        <w:rPr>
          <w:rFonts w:hint="eastAsia" w:eastAsia="方正仿宋_GBK" w:cs="Times New Roman"/>
          <w:sz w:val="33"/>
          <w:szCs w:val="33"/>
          <w:lang w:val="en-US" w:eastAsia="zh-CN"/>
        </w:rPr>
        <w:t>幼儿园</w:t>
      </w:r>
      <w:r>
        <w:rPr>
          <w:rFonts w:hint="default" w:ascii="Times New Roman" w:hAnsi="Times New Roman" w:eastAsia="方正仿宋_GBK" w:cs="Times New Roman"/>
          <w:sz w:val="33"/>
          <w:szCs w:val="33"/>
        </w:rPr>
        <w:t>满意度大大提高。</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w:t>
      </w:r>
      <w:r>
        <w:rPr>
          <w:rFonts w:hint="default"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通过“</w:t>
      </w:r>
      <w:r>
        <w:rPr>
          <w:rFonts w:hint="eastAsia" w:eastAsia="方正仿宋_GBK" w:cs="Times New Roman"/>
          <w:sz w:val="33"/>
          <w:szCs w:val="33"/>
          <w:lang w:val="en-US" w:eastAsia="zh-CN"/>
        </w:rPr>
        <w:t>合同制教师及保育员工资</w:t>
      </w:r>
      <w:r>
        <w:rPr>
          <w:rFonts w:hint="default" w:ascii="Times New Roman" w:hAnsi="Times New Roman" w:eastAsia="方正仿宋_GBK" w:cs="Times New Roman"/>
          <w:sz w:val="33"/>
          <w:szCs w:val="33"/>
        </w:rPr>
        <w:t>项目”实施，</w:t>
      </w:r>
      <w:r>
        <w:rPr>
          <w:rFonts w:hint="eastAsia" w:eastAsia="方正仿宋_GBK" w:cs="Times New Roman"/>
          <w:sz w:val="33"/>
          <w:szCs w:val="33"/>
          <w:lang w:val="en-US" w:eastAsia="zh-CN"/>
        </w:rPr>
        <w:t>我园2022年按时发放在园合同制教师、保育员工资，并为其缴纳社会保险及公积金，保障了在园合同制教师、保育员的生活</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w:t>
      </w:r>
      <w:r>
        <w:rPr>
          <w:rFonts w:hint="default"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通过“</w:t>
      </w:r>
      <w:r>
        <w:rPr>
          <w:rFonts w:hint="eastAsia" w:eastAsia="方正仿宋_GBK" w:cs="Times New Roman"/>
          <w:sz w:val="33"/>
          <w:szCs w:val="33"/>
          <w:lang w:val="en-US" w:eastAsia="zh-CN"/>
        </w:rPr>
        <w:t>班级物资采购</w:t>
      </w:r>
      <w:r>
        <w:rPr>
          <w:rFonts w:hint="default" w:ascii="Times New Roman" w:hAnsi="Times New Roman" w:eastAsia="方正仿宋_GBK" w:cs="Times New Roman"/>
          <w:sz w:val="33"/>
          <w:szCs w:val="33"/>
        </w:rPr>
        <w:t>项目”实施，</w:t>
      </w:r>
      <w:r>
        <w:rPr>
          <w:rFonts w:hint="eastAsia" w:eastAsia="方正仿宋_GBK" w:cs="Times New Roman"/>
          <w:sz w:val="33"/>
          <w:szCs w:val="33"/>
          <w:lang w:val="en-US" w:eastAsia="zh-CN"/>
        </w:rPr>
        <w:t>幼儿园采购幼儿桌椅床铺、教师办公桌椅、电脑、会议椅各一批。确保2022年秋季新生入园，一日活动顺利开展。</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（三）项目自评步骤及方法。</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eastAsia" w:ascii="仿宋_GB2312" w:hAnsi="宋体" w:eastAsia="仿宋_GB2312"/>
          <w:sz w:val="32"/>
          <w:szCs w:val="32"/>
          <w:lang w:val="zh-CN"/>
        </w:rPr>
        <w:t>说明项目绩效自评采用的组织实施步骤及方法：</w:t>
      </w: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拟定自评方案；2</w:t>
      </w:r>
      <w:r>
        <w:rPr>
          <w:rFonts w:hint="eastAsia" w:ascii="仿宋_GB2312" w:hAnsi="宋体" w:eastAsia="仿宋_GB2312"/>
          <w:sz w:val="32"/>
          <w:szCs w:val="32"/>
          <w:lang w:val="en-US" w:eastAsia="zh-CN"/>
        </w:rPr>
        <w:t>.</w:t>
      </w:r>
      <w:r>
        <w:rPr>
          <w:rFonts w:hint="eastAsia" w:ascii="仿宋_GB2312" w:hAnsi="宋体" w:eastAsia="仿宋_GB2312"/>
          <w:sz w:val="32"/>
          <w:szCs w:val="32"/>
        </w:rPr>
        <w:t>成立自评小组；3</w:t>
      </w:r>
      <w:r>
        <w:rPr>
          <w:rFonts w:hint="eastAsia" w:ascii="仿宋_GB2312" w:hAnsi="宋体" w:eastAsia="仿宋_GB2312"/>
          <w:sz w:val="32"/>
          <w:szCs w:val="32"/>
          <w:lang w:val="en-US" w:eastAsia="zh-CN"/>
        </w:rPr>
        <w:t>.</w:t>
      </w:r>
      <w:r>
        <w:rPr>
          <w:rFonts w:hint="eastAsia" w:ascii="仿宋_GB2312" w:hAnsi="宋体" w:eastAsia="仿宋_GB2312"/>
          <w:sz w:val="32"/>
          <w:szCs w:val="32"/>
        </w:rPr>
        <w:t>单位财务人员定期上报资金使用情况；4</w:t>
      </w:r>
      <w:r>
        <w:rPr>
          <w:rFonts w:hint="eastAsia" w:ascii="仿宋_GB2312" w:hAnsi="宋体" w:eastAsia="仿宋_GB2312"/>
          <w:sz w:val="32"/>
          <w:szCs w:val="32"/>
          <w:lang w:val="en-US" w:eastAsia="zh-CN"/>
        </w:rPr>
        <w:t>.</w:t>
      </w:r>
      <w:r>
        <w:rPr>
          <w:rFonts w:hint="eastAsia" w:ascii="仿宋_GB2312" w:hAnsi="宋体" w:eastAsia="仿宋_GB2312"/>
          <w:sz w:val="32"/>
          <w:szCs w:val="32"/>
        </w:rPr>
        <w:t>财务人员定期汇报项目进展情况；5</w:t>
      </w:r>
      <w:r>
        <w:rPr>
          <w:rFonts w:hint="eastAsia" w:ascii="仿宋_GB2312" w:hAnsi="宋体" w:eastAsia="仿宋_GB2312"/>
          <w:sz w:val="32"/>
          <w:szCs w:val="32"/>
          <w:lang w:val="en-US" w:eastAsia="zh-CN"/>
        </w:rPr>
        <w:t>.</w:t>
      </w:r>
      <w:r>
        <w:rPr>
          <w:rFonts w:hint="eastAsia" w:ascii="仿宋_GB2312" w:hAnsi="宋体" w:eastAsia="仿宋_GB2312"/>
          <w:sz w:val="32"/>
          <w:szCs w:val="32"/>
        </w:rPr>
        <w:t>单位定期召自评会议，研究自评结果。</w:t>
      </w:r>
      <w:r>
        <w:rPr>
          <w:rFonts w:hint="default" w:ascii="Times New Roman" w:hAnsi="Times New Roman" w:eastAsia="方正仿宋_GBK" w:cs="Times New Roman"/>
          <w:sz w:val="33"/>
          <w:szCs w:val="33"/>
        </w:rPr>
        <w:t>根据部门项目支出评价指标规定的内容，我</w:t>
      </w:r>
      <w:r>
        <w:rPr>
          <w:rFonts w:hint="eastAsia" w:eastAsia="方正仿宋_GBK" w:cs="Times New Roman"/>
          <w:sz w:val="33"/>
          <w:szCs w:val="33"/>
          <w:lang w:val="en-US" w:eastAsia="zh-CN"/>
        </w:rPr>
        <w:t>园</w:t>
      </w:r>
      <w:r>
        <w:rPr>
          <w:rFonts w:hint="default" w:ascii="Times New Roman" w:hAnsi="Times New Roman" w:eastAsia="方正仿宋_GBK" w:cs="Times New Roman"/>
          <w:sz w:val="33"/>
          <w:szCs w:val="33"/>
        </w:rPr>
        <w:t>根据年初绩效目标申报情况，逐一对照检查，完成自评，自评得分</w:t>
      </w:r>
      <w:r>
        <w:rPr>
          <w:rFonts w:hint="eastAsia" w:eastAsia="方正仿宋_GBK" w:cs="Times New Roman"/>
          <w:sz w:val="33"/>
          <w:szCs w:val="33"/>
          <w:lang w:val="en-US" w:eastAsia="zh-CN"/>
        </w:rPr>
        <w:t>88</w:t>
      </w:r>
      <w:r>
        <w:rPr>
          <w:rFonts w:hint="default" w:ascii="Times New Roman" w:hAnsi="Times New Roman" w:eastAsia="方正仿宋_GBK" w:cs="Times New Roman"/>
          <w:sz w:val="33"/>
          <w:szCs w:val="33"/>
        </w:rPr>
        <w:t>分。预算执行率符合要求，资金使用的合理性和合规性符合财政资金相关规定。</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0"/>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二、项目资金申报及使用情况</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（一）项目资金申报及批复情况</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我</w:t>
      </w:r>
      <w:r>
        <w:rPr>
          <w:rFonts w:hint="eastAsia" w:eastAsia="方正仿宋_GBK" w:cs="Times New Roman"/>
          <w:sz w:val="33"/>
          <w:szCs w:val="33"/>
          <w:lang w:val="en-US" w:eastAsia="zh-CN"/>
        </w:rPr>
        <w:t>园</w:t>
      </w:r>
      <w:r>
        <w:rPr>
          <w:rFonts w:hint="default" w:ascii="Times New Roman" w:hAnsi="Times New Roman" w:eastAsia="方正仿宋_GBK" w:cs="Times New Roman"/>
          <w:sz w:val="33"/>
          <w:szCs w:val="33"/>
        </w:rPr>
        <w:t>2022年度年中申报项目</w:t>
      </w:r>
      <w:r>
        <w:rPr>
          <w:rFonts w:hint="eastAsia" w:eastAsia="方正仿宋_GBK" w:cs="Times New Roman"/>
          <w:sz w:val="33"/>
          <w:szCs w:val="33"/>
          <w:lang w:val="en-US" w:eastAsia="zh-CN"/>
        </w:rPr>
        <w:t>3</w:t>
      </w:r>
      <w:r>
        <w:rPr>
          <w:rFonts w:hint="default" w:ascii="Times New Roman" w:hAnsi="Times New Roman" w:eastAsia="方正仿宋_GBK" w:cs="Times New Roman"/>
          <w:sz w:val="33"/>
          <w:szCs w:val="33"/>
        </w:rPr>
        <w:t>个，申报项目资金共计</w:t>
      </w:r>
      <w:r>
        <w:rPr>
          <w:rFonts w:hint="eastAsia" w:eastAsia="方正仿宋_GBK" w:cs="Times New Roman"/>
          <w:sz w:val="33"/>
          <w:szCs w:val="33"/>
          <w:lang w:val="en-US" w:eastAsia="zh-CN"/>
        </w:rPr>
        <w:t>217.2</w:t>
      </w:r>
      <w:r>
        <w:rPr>
          <w:rFonts w:hint="default" w:ascii="Times New Roman" w:hAnsi="Times New Roman" w:eastAsia="方正仿宋_GBK" w:cs="Times New Roman"/>
          <w:sz w:val="33"/>
          <w:szCs w:val="33"/>
        </w:rPr>
        <w:t>万元，财政批复实施项目</w:t>
      </w:r>
      <w:r>
        <w:rPr>
          <w:rFonts w:hint="eastAsia" w:eastAsia="方正仿宋_GBK" w:cs="Times New Roman"/>
          <w:sz w:val="33"/>
          <w:szCs w:val="33"/>
          <w:lang w:val="en-US" w:eastAsia="zh-CN"/>
        </w:rPr>
        <w:t>3</w:t>
      </w:r>
      <w:r>
        <w:rPr>
          <w:rFonts w:hint="default" w:ascii="Times New Roman" w:hAnsi="Times New Roman" w:eastAsia="方正仿宋_GBK" w:cs="Times New Roman"/>
          <w:sz w:val="33"/>
          <w:szCs w:val="33"/>
        </w:rPr>
        <w:t>个，批复下达</w:t>
      </w:r>
      <w:r>
        <w:rPr>
          <w:rFonts w:hint="eastAsia" w:eastAsia="方正仿宋_GBK" w:cs="Times New Roman"/>
          <w:sz w:val="33"/>
          <w:szCs w:val="33"/>
          <w:lang w:val="en-US" w:eastAsia="zh-CN"/>
        </w:rPr>
        <w:t>217.2</w:t>
      </w:r>
      <w:r>
        <w:rPr>
          <w:rFonts w:hint="default" w:ascii="Times New Roman" w:hAnsi="Times New Roman" w:eastAsia="方正仿宋_GBK" w:cs="Times New Roman"/>
          <w:sz w:val="33"/>
          <w:szCs w:val="33"/>
        </w:rPr>
        <w:t>万元，符合相关规定。</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（二）资金计划、到位及使用情况。</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1资金计划。项目资金计划</w:t>
      </w:r>
      <w:r>
        <w:rPr>
          <w:rFonts w:hint="eastAsia" w:eastAsia="方正仿宋_GBK" w:cs="Times New Roman"/>
          <w:sz w:val="33"/>
          <w:szCs w:val="33"/>
          <w:lang w:val="en-US" w:eastAsia="zh-CN"/>
        </w:rPr>
        <w:t>217.2</w:t>
      </w:r>
      <w:r>
        <w:rPr>
          <w:rFonts w:hint="default" w:ascii="Times New Roman" w:hAnsi="Times New Roman" w:eastAsia="方正仿宋_GBK" w:cs="Times New Roman"/>
          <w:sz w:val="33"/>
          <w:szCs w:val="33"/>
        </w:rPr>
        <w:t>万元，全部为市级财政资金。</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2资金到位。</w:t>
      </w:r>
      <w:r>
        <w:rPr>
          <w:rFonts w:hint="default" w:ascii="Times New Roman" w:hAnsi="Times New Roman" w:eastAsia="方正仿宋_GBK" w:cs="Times New Roman"/>
          <w:sz w:val="33"/>
          <w:szCs w:val="33"/>
          <w:lang w:eastAsia="zh-CN"/>
        </w:rPr>
        <w:t>截至</w:t>
      </w:r>
      <w:r>
        <w:rPr>
          <w:rFonts w:hint="default" w:ascii="Times New Roman" w:hAnsi="Times New Roman" w:eastAsia="方正仿宋_GBK" w:cs="Times New Roman"/>
          <w:sz w:val="33"/>
          <w:szCs w:val="33"/>
        </w:rPr>
        <w:t>2022年底，已到位资金</w:t>
      </w:r>
      <w:r>
        <w:rPr>
          <w:rFonts w:hint="eastAsia" w:eastAsia="方正仿宋_GBK" w:cs="Times New Roman"/>
          <w:sz w:val="33"/>
          <w:szCs w:val="33"/>
          <w:lang w:val="en-US" w:eastAsia="zh-CN"/>
        </w:rPr>
        <w:t>217.2</w:t>
      </w:r>
      <w:r>
        <w:rPr>
          <w:rFonts w:hint="default" w:ascii="Times New Roman" w:hAnsi="Times New Roman" w:eastAsia="方正仿宋_GBK" w:cs="Times New Roman"/>
          <w:sz w:val="33"/>
          <w:szCs w:val="33"/>
        </w:rPr>
        <w:t>万元，到位率100%。</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3．资金使用。</w:t>
      </w:r>
      <w:r>
        <w:rPr>
          <w:rFonts w:hint="default" w:ascii="Times New Roman" w:hAnsi="Times New Roman" w:eastAsia="方正仿宋_GBK" w:cs="Times New Roman"/>
          <w:sz w:val="33"/>
          <w:szCs w:val="33"/>
          <w:lang w:eastAsia="zh-CN"/>
        </w:rPr>
        <w:t>截至</w:t>
      </w:r>
      <w:r>
        <w:rPr>
          <w:rFonts w:hint="default" w:ascii="Times New Roman" w:hAnsi="Times New Roman" w:eastAsia="方正仿宋_GBK" w:cs="Times New Roman"/>
          <w:sz w:val="33"/>
          <w:szCs w:val="33"/>
        </w:rPr>
        <w:t>2022年底，我校项目资金支出</w:t>
      </w:r>
      <w:r>
        <w:rPr>
          <w:rFonts w:hint="eastAsia" w:eastAsia="方正仿宋_GBK" w:cs="Times New Roman"/>
          <w:sz w:val="33"/>
          <w:szCs w:val="33"/>
          <w:lang w:val="en-US" w:eastAsia="zh-CN"/>
        </w:rPr>
        <w:t>217.2</w:t>
      </w:r>
      <w:r>
        <w:rPr>
          <w:rFonts w:hint="default" w:ascii="Times New Roman" w:hAnsi="Times New Roman" w:eastAsia="方正仿宋_GBK" w:cs="Times New Roman"/>
          <w:sz w:val="33"/>
          <w:szCs w:val="33"/>
        </w:rPr>
        <w:t>万元，相关经济业务支付依据合规合法，资金支付与预算相符，无挪用现象。</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（三）项目财务管理情况。</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本项目实施过程中，我</w:t>
      </w:r>
      <w:r>
        <w:rPr>
          <w:rFonts w:hint="eastAsia" w:eastAsia="方正仿宋_GBK" w:cs="Times New Roman"/>
          <w:sz w:val="33"/>
          <w:szCs w:val="33"/>
          <w:lang w:val="en-US" w:eastAsia="zh-CN"/>
        </w:rPr>
        <w:t>园</w:t>
      </w:r>
      <w:r>
        <w:rPr>
          <w:rFonts w:hint="default" w:ascii="Times New Roman" w:hAnsi="Times New Roman" w:eastAsia="方正仿宋_GBK" w:cs="Times New Roman"/>
          <w:sz w:val="33"/>
          <w:szCs w:val="33"/>
        </w:rPr>
        <w:t>规范财务管理，保障资金安全、高效运行，发挥资金使用效益，我校财务管理制度健全，严格执行财务管理制度，账务处理及时，会计核算规范。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0"/>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三、项目实施及管理情况</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（一）项目组织架构及实施流程</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eastAsia" w:eastAsia="方正仿宋_GBK" w:cs="Times New Roman"/>
          <w:sz w:val="33"/>
          <w:szCs w:val="33"/>
          <w:lang w:val="en-US" w:eastAsia="zh-CN"/>
        </w:rPr>
        <w:t>广安市第六幼儿园</w:t>
      </w:r>
      <w:r>
        <w:rPr>
          <w:rFonts w:hint="default" w:ascii="Times New Roman" w:hAnsi="Times New Roman" w:eastAsia="方正仿宋_GBK" w:cs="Times New Roman"/>
          <w:sz w:val="33"/>
          <w:szCs w:val="33"/>
        </w:rPr>
        <w:t>为加强项目资金管理，规范项目资金运作，提高资金使用效率，项目管理的基本原则为计划管理、统一使用、以收定支、控制使用、开源节流、提高效益。规定项目实施部门必须严格审批流程，严格按照学校内控制度办法实施审批程序，确保项目实施规范、合理，经费报销时经办人对支付凭证的合法性、手续的完备性和金额的真实性负责，</w:t>
      </w:r>
      <w:r>
        <w:rPr>
          <w:rFonts w:hint="eastAsia" w:eastAsia="方正仿宋_GBK" w:cs="Times New Roman"/>
          <w:sz w:val="33"/>
          <w:szCs w:val="33"/>
          <w:lang w:val="en-US" w:eastAsia="zh-CN"/>
        </w:rPr>
        <w:t>财务</w:t>
      </w:r>
      <w:r>
        <w:rPr>
          <w:rFonts w:hint="default" w:ascii="Times New Roman" w:hAnsi="Times New Roman" w:eastAsia="方正仿宋_GBK" w:cs="Times New Roman"/>
          <w:sz w:val="33"/>
          <w:szCs w:val="33"/>
        </w:rPr>
        <w:t>室审查无误后，再送分管领导及主要领导审批，提高资金使用效益。</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（二）项目管理情况</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经综合自评，各项目实施处室执行相关法律法规及项目管理制度较好，不折不扣执行项目询价、政府采购等相关规定，各环节未发现违规违纪或不按照财务相关制度执行的行为，做到了有章可循。</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（三）项目监管情况。</w:t>
      </w:r>
    </w:p>
    <w:p>
      <w:pPr>
        <w:adjustRightInd w:val="0"/>
        <w:snapToGrid w:val="0"/>
        <w:spacing w:line="600" w:lineRule="exact"/>
        <w:ind w:firstLine="640" w:firstLineChars="200"/>
        <w:rPr>
          <w:rFonts w:hint="default"/>
        </w:rPr>
      </w:pPr>
      <w:r>
        <w:rPr>
          <w:rFonts w:hint="eastAsia" w:ascii="仿宋_GB2312" w:hAnsi="宋体" w:eastAsia="仿宋_GB2312"/>
          <w:sz w:val="32"/>
          <w:szCs w:val="32"/>
          <w:lang w:val="zh-CN"/>
        </w:rPr>
        <w:t>主管部门</w:t>
      </w:r>
      <w:r>
        <w:rPr>
          <w:rFonts w:hint="eastAsia" w:ascii="仿宋_GB2312" w:hAnsi="宋体" w:eastAsia="仿宋_GB2312"/>
          <w:sz w:val="32"/>
          <w:szCs w:val="32"/>
        </w:rPr>
        <w:t>广安</w:t>
      </w:r>
      <w:r>
        <w:rPr>
          <w:rFonts w:hint="eastAsia" w:ascii="仿宋_GB2312" w:hAnsi="宋体" w:eastAsia="仿宋_GB2312"/>
          <w:sz w:val="32"/>
          <w:szCs w:val="32"/>
          <w:lang w:val="zh-CN"/>
        </w:rPr>
        <w:t>市教育体育局定期到我单位检查资金使用情况，查看小型维修及采购手续是否按照程序实施等。有利于我单位合理合法使用项目资金，</w:t>
      </w:r>
      <w:r>
        <w:rPr>
          <w:rFonts w:hint="default" w:ascii="Times New Roman" w:hAnsi="Times New Roman" w:eastAsia="方正仿宋_GBK" w:cs="Times New Roman"/>
          <w:sz w:val="33"/>
          <w:szCs w:val="33"/>
        </w:rPr>
        <w:t>严格用款计划、专款专用</w:t>
      </w:r>
      <w:r>
        <w:rPr>
          <w:rFonts w:hint="eastAsia" w:ascii="Times New Roman" w:hAnsi="Times New Roman" w:eastAsia="方正仿宋_GBK" w:cs="Times New Roman"/>
          <w:sz w:val="33"/>
          <w:szCs w:val="33"/>
          <w:lang w:eastAsia="zh-CN"/>
        </w:rPr>
        <w:t>，</w:t>
      </w:r>
      <w:r>
        <w:rPr>
          <w:rFonts w:hint="eastAsia" w:ascii="仿宋_GB2312" w:hAnsi="宋体" w:eastAsia="仿宋_GB2312"/>
          <w:sz w:val="32"/>
          <w:szCs w:val="32"/>
        </w:rPr>
        <w:t>更好的开展教育教学方面</w:t>
      </w:r>
      <w:r>
        <w:rPr>
          <w:rFonts w:hint="eastAsia" w:ascii="仿宋_GB2312" w:hAnsi="宋体" w:eastAsia="仿宋_GB2312"/>
          <w:sz w:val="32"/>
          <w:szCs w:val="32"/>
          <w:lang w:val="zh-CN"/>
        </w:rPr>
        <w:t>工作，进一步提高服务质量。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0"/>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四、项目绩效情况</w:t>
      </w:r>
      <w:r>
        <w:rPr>
          <w:rFonts w:hint="default" w:ascii="Times New Roman" w:hAnsi="Times New Roman" w:eastAsia="方正黑体_GBK" w:cs="Times New Roman"/>
          <w:sz w:val="33"/>
          <w:szCs w:val="33"/>
        </w:rPr>
        <w:tab/>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（一）项目完成情况</w:t>
      </w:r>
    </w:p>
    <w:p>
      <w:pPr>
        <w:adjustRightInd w:val="0"/>
        <w:snapToGrid w:val="0"/>
        <w:spacing w:line="600" w:lineRule="exact"/>
        <w:ind w:firstLine="720"/>
        <w:rPr>
          <w:rFonts w:hint="default"/>
        </w:rPr>
      </w:pP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保教费</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合同制教师及保育员工资</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班级物资采购</w:t>
      </w:r>
      <w:r>
        <w:rPr>
          <w:rFonts w:hint="default" w:ascii="Times New Roman" w:hAnsi="Times New Roman" w:eastAsia="方正仿宋_GBK" w:cs="Times New Roman"/>
          <w:sz w:val="33"/>
          <w:szCs w:val="33"/>
        </w:rPr>
        <w:t>”等</w:t>
      </w:r>
      <w:r>
        <w:rPr>
          <w:rFonts w:hint="eastAsia" w:eastAsia="方正仿宋_GBK" w:cs="Times New Roman"/>
          <w:sz w:val="33"/>
          <w:szCs w:val="33"/>
          <w:lang w:val="en-US" w:eastAsia="zh-CN"/>
        </w:rPr>
        <w:t>3</w:t>
      </w:r>
      <w:r>
        <w:rPr>
          <w:rFonts w:hint="default" w:ascii="Times New Roman" w:hAnsi="Times New Roman" w:eastAsia="方正仿宋_GBK" w:cs="Times New Roman"/>
          <w:sz w:val="33"/>
          <w:szCs w:val="33"/>
        </w:rPr>
        <w:t>个项目</w:t>
      </w:r>
      <w:r>
        <w:rPr>
          <w:rFonts w:hint="eastAsia" w:ascii="仿宋_GB2312" w:hAnsi="宋体" w:eastAsia="仿宋_GB2312"/>
          <w:sz w:val="32"/>
          <w:szCs w:val="32"/>
        </w:rPr>
        <w:t>资金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w:t>
      </w:r>
      <w:r>
        <w:rPr>
          <w:rFonts w:hint="eastAsia" w:ascii="仿宋_GB2312" w:hAnsi="宋体" w:eastAsia="仿宋_GB2312"/>
          <w:color w:val="000000" w:themeColor="text1"/>
          <w:sz w:val="32"/>
          <w:szCs w:val="32"/>
        </w:rPr>
        <w:t>用于</w:t>
      </w:r>
      <w:r>
        <w:rPr>
          <w:rFonts w:hint="eastAsia" w:ascii="仿宋_GB2312" w:hAnsi="宋体" w:eastAsia="仿宋_GB2312"/>
          <w:color w:val="000000" w:themeColor="text1"/>
          <w:sz w:val="32"/>
          <w:szCs w:val="32"/>
          <w:lang w:val="en-US" w:eastAsia="zh-CN"/>
        </w:rPr>
        <w:t>幼儿园日常经费支出、班级设施设备采购、合同制教师、保育员工资支出等，</w:t>
      </w:r>
      <w:r>
        <w:rPr>
          <w:rFonts w:hint="eastAsia" w:ascii="仿宋_GB2312" w:hAnsi="宋体" w:eastAsia="仿宋_GB2312"/>
          <w:color w:val="000000" w:themeColor="text1"/>
          <w:sz w:val="32"/>
          <w:szCs w:val="32"/>
        </w:rPr>
        <w:t>全面完成了项目绩效目标。</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（二）项目效益情况。</w:t>
      </w:r>
    </w:p>
    <w:p>
      <w:pPr>
        <w:adjustRightInd w:val="0"/>
        <w:snapToGrid w:val="0"/>
        <w:spacing w:line="600" w:lineRule="exact"/>
        <w:ind w:firstLine="720"/>
        <w:rPr>
          <w:rFonts w:ascii="仿宋_GB2312" w:hAnsi="宋体" w:eastAsia="仿宋_GB2312"/>
          <w:sz w:val="32"/>
          <w:szCs w:val="32"/>
          <w:lang w:val="zh-CN"/>
        </w:rPr>
      </w:pP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保教费</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合同制教师及保育员工资</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班级物资采购</w:t>
      </w:r>
      <w:r>
        <w:rPr>
          <w:rFonts w:hint="default" w:ascii="Times New Roman" w:hAnsi="Times New Roman" w:eastAsia="方正仿宋_GBK" w:cs="Times New Roman"/>
          <w:sz w:val="33"/>
          <w:szCs w:val="33"/>
        </w:rPr>
        <w:t>”等</w:t>
      </w:r>
      <w:r>
        <w:rPr>
          <w:rFonts w:hint="eastAsia" w:ascii="仿宋_GB2312" w:hAnsi="宋体" w:eastAsia="仿宋_GB2312"/>
          <w:sz w:val="32"/>
          <w:szCs w:val="32"/>
          <w:lang w:val="en-US" w:eastAsia="zh-CN"/>
        </w:rPr>
        <w:t>3个</w:t>
      </w:r>
      <w:r>
        <w:rPr>
          <w:rFonts w:hint="eastAsia" w:ascii="仿宋_GB2312" w:hAnsi="宋体" w:eastAsia="仿宋_GB2312"/>
          <w:sz w:val="32"/>
          <w:szCs w:val="32"/>
        </w:rPr>
        <w:t>项目</w:t>
      </w:r>
      <w:r>
        <w:rPr>
          <w:rFonts w:hint="eastAsia" w:ascii="仿宋_GB2312" w:hAnsi="宋体" w:eastAsia="仿宋_GB2312"/>
          <w:sz w:val="32"/>
          <w:szCs w:val="32"/>
          <w:lang w:eastAsia="zh-CN"/>
        </w:rPr>
        <w:t>，</w:t>
      </w:r>
      <w:r>
        <w:rPr>
          <w:rFonts w:hint="eastAsia" w:ascii="仿宋_GB2312" w:hAnsi="宋体" w:eastAsia="仿宋_GB2312"/>
          <w:sz w:val="32"/>
          <w:szCs w:val="32"/>
        </w:rPr>
        <w:t>为适龄幼儿提供优质的保育教育服务，提升幼儿幸福感。幼儿及家长满意度测评，满意度达到98%以上</w:t>
      </w:r>
      <w:r>
        <w:rPr>
          <w:rFonts w:hint="eastAsia" w:ascii="仿宋_GB2312" w:hAnsi="宋体" w:eastAsia="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outlineLvl w:val="0"/>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五、评价结论及建议</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（一）评价结论</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年我单位项目预算支出绩效自评结果良好，有较完善的内控制度，做到了信息公开，有效保障了</w:t>
      </w:r>
      <w:r>
        <w:rPr>
          <w:rFonts w:hint="eastAsia" w:eastAsia="方正仿宋_GBK" w:cs="Times New Roman"/>
          <w:sz w:val="33"/>
          <w:szCs w:val="33"/>
          <w:lang w:val="en-US" w:eastAsia="zh-CN"/>
        </w:rPr>
        <w:t>幼儿园</w:t>
      </w:r>
      <w:r>
        <w:rPr>
          <w:rFonts w:hint="default" w:ascii="Times New Roman" w:hAnsi="Times New Roman" w:eastAsia="方正仿宋_GBK" w:cs="Times New Roman"/>
          <w:sz w:val="33"/>
          <w:szCs w:val="33"/>
        </w:rPr>
        <w:t>基础设施设备完善及高效使用。从预算到执行，都严格按相关制度要求进行，全年收支平衡。有效保证了机构运转，取得了一定的社会效益，得到了有关部门和社会公众的认可。</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（二）存在的问题。</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由于</w:t>
      </w:r>
      <w:r>
        <w:rPr>
          <w:rFonts w:hint="eastAsia" w:eastAsia="方正仿宋_GBK" w:cs="Times New Roman"/>
          <w:sz w:val="33"/>
          <w:szCs w:val="33"/>
          <w:lang w:val="en-US" w:eastAsia="zh-CN"/>
        </w:rPr>
        <w:t>幼儿园</w:t>
      </w:r>
      <w:r>
        <w:rPr>
          <w:rFonts w:hint="default" w:ascii="Times New Roman" w:hAnsi="Times New Roman" w:eastAsia="方正仿宋_GBK" w:cs="Times New Roman"/>
          <w:sz w:val="33"/>
          <w:szCs w:val="33"/>
        </w:rPr>
        <w:t>工作人员专业性不强，内控制度及流程还不尽完善，预算工作仍需加强，预算编制时绩效目标应尽可能准确、细化，绩效目标的设定合理性需要提高，预算执行力度还要进一步加强。</w:t>
      </w:r>
    </w:p>
    <w:p>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outlineLvl w:val="0"/>
        <w:rPr>
          <w:rFonts w:hint="eastAsia" w:ascii="Times New Roman" w:hAnsi="Times New Roman" w:eastAsia="方正楷体_GBK" w:cs="Times New Roman"/>
          <w:b/>
          <w:bCs/>
          <w:sz w:val="33"/>
          <w:szCs w:val="33"/>
          <w:lang w:eastAsia="zh-CN"/>
        </w:rPr>
      </w:pPr>
      <w:r>
        <w:rPr>
          <w:rFonts w:hint="default" w:ascii="Times New Roman" w:hAnsi="Times New Roman" w:eastAsia="方正楷体_GBK" w:cs="Times New Roman"/>
          <w:b/>
          <w:bCs/>
          <w:sz w:val="33"/>
          <w:szCs w:val="33"/>
        </w:rPr>
        <w:t>（三）相关</w:t>
      </w:r>
      <w:r>
        <w:rPr>
          <w:rFonts w:hint="eastAsia" w:eastAsia="方正楷体_GBK" w:cs="Times New Roman"/>
          <w:b/>
          <w:bCs/>
          <w:sz w:val="33"/>
          <w:szCs w:val="33"/>
          <w:lang w:val="en-US" w:eastAsia="zh-CN"/>
        </w:rPr>
        <w:t>建议</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default"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加强队伍建设，提高整体素质。</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w:t>
      </w:r>
      <w:r>
        <w:rPr>
          <w:rFonts w:hint="default"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加强督查指导，规范资金管理使用。</w:t>
      </w:r>
    </w:p>
    <w:p>
      <w:pPr>
        <w:keepNext w:val="0"/>
        <w:keepLines w:val="0"/>
        <w:pageBreakBefore w:val="0"/>
        <w:widowControl w:val="0"/>
        <w:kinsoku/>
        <w:wordWrap/>
        <w:overflowPunct/>
        <w:topLinePunct w:val="0"/>
        <w:autoSpaceDE/>
        <w:autoSpaceDN/>
        <w:bidi w:val="0"/>
        <w:adjustRightInd/>
        <w:snapToGrid/>
        <w:spacing w:line="590" w:lineRule="exact"/>
        <w:ind w:firstLine="646"/>
        <w:jc w:val="both"/>
        <w:textAlignment w:val="auto"/>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w:t>
      </w:r>
      <w:r>
        <w:rPr>
          <w:rFonts w:hint="default"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进一步健全和完善工作机制，加大项目经费管理使用的督查和指导力度，进一步规范资金使用，发挥资金效益。</w:t>
      </w:r>
    </w:p>
    <w:p>
      <w:pPr>
        <w:jc w:val="both"/>
        <w:rPr>
          <w:rFonts w:eastAsia="黑体"/>
          <w:color w:val="000000"/>
          <w:sz w:val="44"/>
          <w:szCs w:val="44"/>
        </w:rPr>
      </w:pPr>
      <w:r>
        <w:rPr>
          <w:rFonts w:hint="default" w:ascii="Times New Roman" w:hAnsi="Times New Roman" w:cs="Times New Roman"/>
        </w:rPr>
        <w:br w:type="page"/>
      </w:r>
    </w:p>
    <w:p>
      <w:pPr>
        <w:spacing w:line="600" w:lineRule="exact"/>
        <w:jc w:val="center"/>
        <w:outlineLvl w:val="0"/>
        <w:rPr>
          <w:rStyle w:val="27"/>
          <w:rFonts w:eastAsia="黑体"/>
          <w:b w:val="0"/>
        </w:rPr>
      </w:pPr>
      <w:r>
        <w:rPr>
          <w:rFonts w:eastAsia="黑体"/>
          <w:color w:val="000000"/>
          <w:sz w:val="44"/>
          <w:szCs w:val="44"/>
        </w:rPr>
        <w:t>第</w:t>
      </w:r>
      <w:r>
        <w:rPr>
          <w:rStyle w:val="27"/>
          <w:rFonts w:eastAsia="黑体"/>
          <w:b w:val="0"/>
        </w:rPr>
        <w:t>五部分 附表</w:t>
      </w:r>
      <w:bookmarkEnd w:id="52"/>
      <w:bookmarkEnd w:id="54"/>
    </w:p>
    <w:p>
      <w:pPr>
        <w:pStyle w:val="4"/>
        <w:rPr>
          <w:rFonts w:ascii="Times New Roman" w:hAnsi="Times New Roman" w:eastAsia="仿宋" w:cs="Times New Roman"/>
          <w:color w:val="000000"/>
        </w:rPr>
      </w:pPr>
      <w:bookmarkStart w:id="55" w:name="_Toc15396619"/>
      <w:r>
        <w:rPr>
          <w:rFonts w:ascii="Times New Roman" w:hAnsi="Times New Roman" w:eastAsia="仿宋" w:cs="Times New Roman"/>
          <w:b w:val="0"/>
          <w:color w:val="000000"/>
        </w:rPr>
        <w:t>一、收</w:t>
      </w:r>
      <w:r>
        <w:rPr>
          <w:rStyle w:val="28"/>
          <w:rFonts w:ascii="Times New Roman" w:hAnsi="Times New Roman" w:eastAsia="仿宋" w:cs="Times New Roman"/>
          <w:b w:val="0"/>
          <w:bCs w:val="0"/>
        </w:rPr>
        <w:t>入支出决算总表</w:t>
      </w:r>
      <w:bookmarkEnd w:id="55"/>
    </w:p>
    <w:p>
      <w:pPr>
        <w:pStyle w:val="4"/>
        <w:rPr>
          <w:rFonts w:ascii="Times New Roman" w:hAnsi="Times New Roman" w:eastAsia="仿宋" w:cs="Times New Roman"/>
          <w:color w:val="000000"/>
        </w:rPr>
      </w:pPr>
      <w:bookmarkStart w:id="56" w:name="_Toc15396620"/>
      <w:r>
        <w:rPr>
          <w:rFonts w:ascii="Times New Roman" w:hAnsi="Times New Roman" w:eastAsia="仿宋" w:cs="Times New Roman"/>
          <w:b w:val="0"/>
          <w:color w:val="000000"/>
        </w:rPr>
        <w:t>二、收</w:t>
      </w:r>
      <w:r>
        <w:rPr>
          <w:rStyle w:val="28"/>
          <w:rFonts w:ascii="Times New Roman" w:hAnsi="Times New Roman" w:eastAsia="仿宋" w:cs="Times New Roman"/>
          <w:b w:val="0"/>
          <w:bCs w:val="0"/>
        </w:rPr>
        <w:t>入决算表</w:t>
      </w:r>
      <w:bookmarkEnd w:id="56"/>
    </w:p>
    <w:p>
      <w:pPr>
        <w:pStyle w:val="4"/>
        <w:rPr>
          <w:rFonts w:ascii="Times New Roman" w:hAnsi="Times New Roman" w:eastAsia="仿宋" w:cs="Times New Roman"/>
          <w:color w:val="000000"/>
        </w:rPr>
      </w:pPr>
      <w:bookmarkStart w:id="57" w:name="_Toc15396621"/>
      <w:r>
        <w:rPr>
          <w:rStyle w:val="28"/>
          <w:rFonts w:ascii="Times New Roman" w:hAnsi="Times New Roman" w:eastAsia="仿宋" w:cs="Times New Roman"/>
          <w:b w:val="0"/>
          <w:bCs w:val="0"/>
        </w:rPr>
        <w:t>三、</w:t>
      </w:r>
      <w:r>
        <w:rPr>
          <w:rFonts w:ascii="Times New Roman" w:hAnsi="Times New Roman" w:eastAsia="仿宋" w:cs="Times New Roman"/>
          <w:b w:val="0"/>
          <w:color w:val="000000"/>
        </w:rPr>
        <w:t>支</w:t>
      </w:r>
      <w:r>
        <w:rPr>
          <w:rStyle w:val="28"/>
          <w:rFonts w:ascii="Times New Roman" w:hAnsi="Times New Roman" w:eastAsia="仿宋" w:cs="Times New Roman"/>
          <w:b w:val="0"/>
          <w:bCs w:val="0"/>
        </w:rPr>
        <w:t>出决算表</w:t>
      </w:r>
      <w:bookmarkEnd w:id="57"/>
    </w:p>
    <w:p>
      <w:pPr>
        <w:pStyle w:val="4"/>
        <w:rPr>
          <w:rFonts w:ascii="Times New Roman" w:hAnsi="Times New Roman" w:eastAsia="仿宋" w:cs="Times New Roman"/>
          <w:b w:val="0"/>
          <w:color w:val="000000"/>
        </w:rPr>
      </w:pPr>
      <w:bookmarkStart w:id="58" w:name="_Toc15396622"/>
      <w:r>
        <w:rPr>
          <w:rStyle w:val="28"/>
          <w:rFonts w:ascii="Times New Roman" w:hAnsi="Times New Roman" w:eastAsia="仿宋" w:cs="Times New Roman"/>
          <w:b w:val="0"/>
          <w:bCs w:val="0"/>
        </w:rPr>
        <w:t>四、</w:t>
      </w:r>
      <w:r>
        <w:rPr>
          <w:rFonts w:ascii="Times New Roman" w:hAnsi="Times New Roman" w:eastAsia="仿宋" w:cs="Times New Roman"/>
          <w:b w:val="0"/>
          <w:color w:val="000000"/>
        </w:rPr>
        <w:t>财</w:t>
      </w:r>
      <w:r>
        <w:rPr>
          <w:rStyle w:val="28"/>
          <w:rFonts w:ascii="Times New Roman" w:hAnsi="Times New Roman" w:eastAsia="仿宋" w:cs="Times New Roman"/>
          <w:b w:val="0"/>
          <w:bCs w:val="0"/>
        </w:rPr>
        <w:t>政拨款收入支出决算总表</w:t>
      </w:r>
      <w:bookmarkEnd w:id="58"/>
    </w:p>
    <w:p>
      <w:pPr>
        <w:pStyle w:val="4"/>
        <w:rPr>
          <w:rStyle w:val="28"/>
          <w:rFonts w:ascii="Times New Roman" w:hAnsi="Times New Roman" w:eastAsia="仿宋" w:cs="Times New Roman"/>
          <w:b w:val="0"/>
          <w:bCs w:val="0"/>
        </w:rPr>
      </w:pPr>
      <w:bookmarkStart w:id="59" w:name="_Toc15396623"/>
      <w:r>
        <w:rPr>
          <w:rStyle w:val="28"/>
          <w:rFonts w:ascii="Times New Roman" w:hAnsi="Times New Roman" w:eastAsia="仿宋" w:cs="Times New Roman"/>
          <w:b w:val="0"/>
          <w:bCs w:val="0"/>
        </w:rPr>
        <w:t>五、</w:t>
      </w:r>
      <w:r>
        <w:rPr>
          <w:rFonts w:ascii="Times New Roman" w:hAnsi="Times New Roman" w:eastAsia="仿宋" w:cs="Times New Roman"/>
          <w:b w:val="0"/>
          <w:color w:val="000000"/>
        </w:rPr>
        <w:t>财</w:t>
      </w:r>
      <w:r>
        <w:rPr>
          <w:rStyle w:val="28"/>
          <w:rFonts w:ascii="Times New Roman" w:hAnsi="Times New Roman" w:eastAsia="仿宋" w:cs="Times New Roman"/>
          <w:b w:val="0"/>
          <w:bCs w:val="0"/>
        </w:rPr>
        <w:t>政拨款支出决算明细表</w:t>
      </w:r>
      <w:bookmarkEnd w:id="59"/>
      <w:bookmarkStart w:id="60" w:name="_Toc15396624"/>
    </w:p>
    <w:p>
      <w:pPr>
        <w:pStyle w:val="4"/>
        <w:rPr>
          <w:rFonts w:ascii="Times New Roman" w:hAnsi="Times New Roman" w:eastAsia="仿宋" w:cs="Times New Roman"/>
          <w:color w:val="000000"/>
        </w:rPr>
      </w:pPr>
      <w:r>
        <w:rPr>
          <w:rStyle w:val="28"/>
          <w:rFonts w:ascii="Times New Roman" w:hAnsi="Times New Roman" w:eastAsia="仿宋" w:cs="Times New Roman"/>
          <w:b w:val="0"/>
          <w:bCs w:val="0"/>
        </w:rPr>
        <w:t>六、</w:t>
      </w:r>
      <w:r>
        <w:rPr>
          <w:rFonts w:ascii="Times New Roman" w:hAnsi="Times New Roman" w:eastAsia="仿宋" w:cs="Times New Roman"/>
          <w:b w:val="0"/>
          <w:color w:val="000000"/>
        </w:rPr>
        <w:t>一</w:t>
      </w:r>
      <w:r>
        <w:rPr>
          <w:rStyle w:val="28"/>
          <w:rFonts w:ascii="Times New Roman" w:hAnsi="Times New Roman" w:eastAsia="仿宋" w:cs="Times New Roman"/>
          <w:b w:val="0"/>
          <w:bCs w:val="0"/>
        </w:rPr>
        <w:t>般公共预算财政拨款支出决算表</w:t>
      </w:r>
      <w:bookmarkEnd w:id="60"/>
    </w:p>
    <w:p>
      <w:pPr>
        <w:pStyle w:val="4"/>
        <w:rPr>
          <w:rFonts w:ascii="Times New Roman" w:hAnsi="Times New Roman" w:eastAsia="仿宋" w:cs="Times New Roman"/>
          <w:color w:val="000000"/>
        </w:rPr>
      </w:pPr>
      <w:bookmarkStart w:id="61" w:name="_Toc15396625"/>
      <w:r>
        <w:rPr>
          <w:rStyle w:val="28"/>
          <w:rFonts w:ascii="Times New Roman" w:hAnsi="Times New Roman" w:eastAsia="仿宋" w:cs="Times New Roman"/>
          <w:b w:val="0"/>
          <w:bCs w:val="0"/>
        </w:rPr>
        <w:t>七、</w:t>
      </w:r>
      <w:r>
        <w:rPr>
          <w:rFonts w:ascii="Times New Roman" w:hAnsi="Times New Roman" w:eastAsia="仿宋" w:cs="Times New Roman"/>
          <w:b w:val="0"/>
          <w:color w:val="000000"/>
        </w:rPr>
        <w:t>一</w:t>
      </w:r>
      <w:r>
        <w:rPr>
          <w:rStyle w:val="28"/>
          <w:rFonts w:ascii="Times New Roman" w:hAnsi="Times New Roman" w:eastAsia="仿宋" w:cs="Times New Roman"/>
          <w:b w:val="0"/>
          <w:bCs w:val="0"/>
        </w:rPr>
        <w:t>般公共预算财政拨款支出决算明细表</w:t>
      </w:r>
      <w:bookmarkEnd w:id="61"/>
    </w:p>
    <w:p>
      <w:pPr>
        <w:pStyle w:val="4"/>
        <w:rPr>
          <w:rFonts w:ascii="Times New Roman" w:hAnsi="Times New Roman" w:eastAsia="仿宋" w:cs="Times New Roman"/>
          <w:color w:val="000000"/>
        </w:rPr>
      </w:pPr>
      <w:bookmarkStart w:id="62" w:name="_Toc15396626"/>
      <w:r>
        <w:rPr>
          <w:rStyle w:val="28"/>
          <w:rFonts w:ascii="Times New Roman" w:hAnsi="Times New Roman" w:eastAsia="仿宋" w:cs="Times New Roman"/>
          <w:b w:val="0"/>
          <w:bCs w:val="0"/>
        </w:rPr>
        <w:t>八、</w:t>
      </w:r>
      <w:r>
        <w:rPr>
          <w:rFonts w:ascii="Times New Roman" w:hAnsi="Times New Roman" w:eastAsia="仿宋" w:cs="Times New Roman"/>
          <w:b w:val="0"/>
          <w:color w:val="000000"/>
        </w:rPr>
        <w:t>一</w:t>
      </w:r>
      <w:r>
        <w:rPr>
          <w:rStyle w:val="28"/>
          <w:rFonts w:ascii="Times New Roman" w:hAnsi="Times New Roman" w:eastAsia="仿宋" w:cs="Times New Roman"/>
          <w:b w:val="0"/>
          <w:bCs w:val="0"/>
        </w:rPr>
        <w:t>般公共预算财政拨款基本支出决算表</w:t>
      </w:r>
      <w:bookmarkEnd w:id="62"/>
    </w:p>
    <w:p>
      <w:pPr>
        <w:pStyle w:val="4"/>
        <w:rPr>
          <w:rFonts w:ascii="Times New Roman" w:hAnsi="Times New Roman" w:eastAsia="仿宋" w:cs="Times New Roman"/>
          <w:color w:val="000000"/>
        </w:rPr>
      </w:pPr>
      <w:bookmarkStart w:id="63" w:name="_Toc15396627"/>
      <w:r>
        <w:rPr>
          <w:rStyle w:val="28"/>
          <w:rFonts w:ascii="Times New Roman" w:hAnsi="Times New Roman" w:eastAsia="仿宋" w:cs="Times New Roman"/>
          <w:b w:val="0"/>
          <w:bCs w:val="0"/>
        </w:rPr>
        <w:t>九、</w:t>
      </w:r>
      <w:r>
        <w:rPr>
          <w:rFonts w:ascii="Times New Roman" w:hAnsi="Times New Roman" w:eastAsia="仿宋" w:cs="Times New Roman"/>
          <w:b w:val="0"/>
          <w:color w:val="000000"/>
        </w:rPr>
        <w:t>一</w:t>
      </w:r>
      <w:r>
        <w:rPr>
          <w:rStyle w:val="28"/>
          <w:rFonts w:ascii="Times New Roman" w:hAnsi="Times New Roman" w:eastAsia="仿宋" w:cs="Times New Roman"/>
          <w:b w:val="0"/>
          <w:bCs w:val="0"/>
        </w:rPr>
        <w:t>般公共预算财政拨款项目支出决算表</w:t>
      </w:r>
      <w:bookmarkEnd w:id="63"/>
    </w:p>
    <w:p>
      <w:pPr>
        <w:pStyle w:val="4"/>
        <w:rPr>
          <w:rFonts w:ascii="Times New Roman" w:hAnsi="Times New Roman" w:eastAsia="仿宋" w:cs="Times New Roman"/>
          <w:color w:val="000000"/>
        </w:rPr>
      </w:pPr>
      <w:bookmarkStart w:id="64" w:name="_Toc15396629"/>
      <w:r>
        <w:rPr>
          <w:rStyle w:val="28"/>
          <w:rFonts w:ascii="Times New Roman" w:hAnsi="Times New Roman" w:eastAsia="仿宋" w:cs="Times New Roman"/>
          <w:b w:val="0"/>
          <w:bCs w:val="0"/>
        </w:rPr>
        <w:t>十、</w:t>
      </w:r>
      <w:r>
        <w:rPr>
          <w:rFonts w:ascii="Times New Roman" w:hAnsi="Times New Roman" w:eastAsia="仿宋" w:cs="Times New Roman"/>
          <w:b w:val="0"/>
          <w:color w:val="000000"/>
        </w:rPr>
        <w:t>政</w:t>
      </w:r>
      <w:r>
        <w:rPr>
          <w:rStyle w:val="28"/>
          <w:rFonts w:ascii="Times New Roman" w:hAnsi="Times New Roman" w:eastAsia="仿宋" w:cs="Times New Roman"/>
          <w:b w:val="0"/>
          <w:bCs w:val="0"/>
        </w:rPr>
        <w:t>府性基金预算财政拨款收入支出决算表</w:t>
      </w:r>
      <w:bookmarkEnd w:id="64"/>
    </w:p>
    <w:p>
      <w:pPr>
        <w:pStyle w:val="4"/>
        <w:rPr>
          <w:rStyle w:val="28"/>
          <w:rFonts w:ascii="Times New Roman" w:hAnsi="Times New Roman" w:eastAsia="仿宋" w:cs="Times New Roman"/>
          <w:b w:val="0"/>
          <w:bCs w:val="0"/>
        </w:rPr>
      </w:pPr>
      <w:bookmarkStart w:id="65" w:name="_Toc15396631"/>
      <w:r>
        <w:rPr>
          <w:rStyle w:val="28"/>
          <w:rFonts w:ascii="Times New Roman" w:hAnsi="Times New Roman" w:eastAsia="仿宋" w:cs="Times New Roman"/>
          <w:b w:val="0"/>
          <w:bCs w:val="0"/>
        </w:rPr>
        <w:t>十一、</w:t>
      </w:r>
      <w:r>
        <w:rPr>
          <w:rFonts w:ascii="Times New Roman" w:hAnsi="Times New Roman" w:eastAsia="仿宋" w:cs="Times New Roman"/>
          <w:b w:val="0"/>
          <w:color w:val="000000"/>
        </w:rPr>
        <w:t>国有资本经营预算财政拨款收入支出决算表</w:t>
      </w:r>
    </w:p>
    <w:p>
      <w:pPr>
        <w:pStyle w:val="4"/>
        <w:rPr>
          <w:rStyle w:val="28"/>
          <w:rFonts w:ascii="Times New Roman" w:hAnsi="Times New Roman" w:eastAsia="仿宋" w:cs="Times New Roman"/>
          <w:b w:val="0"/>
          <w:bCs w:val="0"/>
        </w:rPr>
      </w:pPr>
      <w:r>
        <w:rPr>
          <w:rFonts w:ascii="Times New Roman" w:hAnsi="Times New Roman" w:eastAsia="仿宋" w:cs="Times New Roman"/>
          <w:b w:val="0"/>
          <w:color w:val="000000"/>
        </w:rPr>
        <w:t>十二、国</w:t>
      </w:r>
      <w:r>
        <w:rPr>
          <w:rStyle w:val="28"/>
          <w:rFonts w:ascii="Times New Roman" w:hAnsi="Times New Roman" w:eastAsia="仿宋" w:cs="Times New Roman"/>
          <w:b w:val="0"/>
          <w:bCs w:val="0"/>
        </w:rPr>
        <w:t>有资本经营预算财政拨款支出决算表</w:t>
      </w:r>
      <w:bookmarkEnd w:id="65"/>
    </w:p>
    <w:p>
      <w:pPr>
        <w:pStyle w:val="4"/>
        <w:rPr>
          <w:rStyle w:val="28"/>
          <w:rFonts w:ascii="Times New Roman" w:hAnsi="Times New Roman" w:eastAsia="仿宋" w:cs="Times New Roman"/>
          <w:b w:val="0"/>
          <w:bCs w:val="0"/>
          <w:color w:val="000000" w:themeColor="text1"/>
        </w:rPr>
      </w:pPr>
      <w:r>
        <w:rPr>
          <w:rFonts w:ascii="Times New Roman" w:hAnsi="Times New Roman" w:eastAsia="仿宋" w:cs="Times New Roman"/>
          <w:b w:val="0"/>
          <w:color w:val="000000"/>
        </w:rPr>
        <w:t>十三、</w:t>
      </w:r>
      <w:r>
        <w:rPr>
          <w:rStyle w:val="28"/>
          <w:rFonts w:ascii="Times New Roman" w:hAnsi="Times New Roman" w:eastAsia="仿宋" w:cs="Times New Roman"/>
          <w:b w:val="0"/>
          <w:bCs w:val="0"/>
        </w:rPr>
        <w:t>财政拨款“三公”经费支出决算表</w:t>
      </w:r>
    </w:p>
    <w:p/>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825729-8588-4374-B0CE-1ADD80FB23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7EE3D491-2938-4ACF-8360-9EC844AC0875}"/>
  </w:font>
  <w:font w:name="仿宋">
    <w:panose1 w:val="02010609060101010101"/>
    <w:charset w:val="86"/>
    <w:family w:val="modern"/>
    <w:pitch w:val="default"/>
    <w:sig w:usb0="800002BF" w:usb1="38CF7CFA" w:usb2="00000016" w:usb3="00000000" w:csb0="00040001" w:csb1="00000000"/>
    <w:embedRegular r:id="rId3" w:fontKey="{1A291CD9-9408-4E25-85A1-E8604D7685FE}"/>
  </w:font>
  <w:font w:name="??">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embedRegular r:id="rId4" w:fontKey="{CF93875B-A81A-497A-841E-5F416B79660C}"/>
  </w:font>
  <w:font w:name="方正小标宋简体">
    <w:panose1 w:val="02000000000000000000"/>
    <w:charset w:val="86"/>
    <w:family w:val="script"/>
    <w:pitch w:val="default"/>
    <w:sig w:usb0="00000001" w:usb1="08000000" w:usb2="00000000" w:usb3="00000000" w:csb0="00040000" w:csb1="00000000"/>
    <w:embedRegular r:id="rId5" w:fontKey="{7BC6FAA5-3779-4CB2-BA4B-91F263270054}"/>
  </w:font>
  <w:font w:name="Calibri">
    <w:panose1 w:val="020F0502020204030204"/>
    <w:charset w:val="86"/>
    <w:family w:val="auto"/>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6" w:fontKey="{D4D3555D-25AA-488E-BEAD-4473832F02D4}"/>
  </w:font>
  <w:font w:name="方正黑体_GBK">
    <w:panose1 w:val="03000509000000000000"/>
    <w:charset w:val="86"/>
    <w:family w:val="auto"/>
    <w:pitch w:val="default"/>
    <w:sig w:usb0="00000001" w:usb1="080E0000" w:usb2="00000000" w:usb3="00000000" w:csb0="00040000" w:csb1="00000000"/>
    <w:embedRegular r:id="rId7" w:fontKey="{B29E2F19-768A-4E0E-BD2F-D49F416B05E8}"/>
  </w:font>
  <w:font w:name="方正楷体_GBK">
    <w:panose1 w:val="02000000000000000000"/>
    <w:charset w:val="86"/>
    <w:family w:val="auto"/>
    <w:pitch w:val="default"/>
    <w:sig w:usb0="00000001" w:usb1="080E0000" w:usb2="00000000" w:usb3="00000000" w:csb0="00040000" w:csb1="00000000"/>
    <w:embedRegular r:id="rId8" w:fontKey="{21D06E8C-E266-4DC3-AB72-89161E876FD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
                  <w:spacing w:before="7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1181C"/>
    <w:multiLevelType w:val="singleLevel"/>
    <w:tmpl w:val="91C1181C"/>
    <w:lvl w:ilvl="0" w:tentative="0">
      <w:start w:val="2"/>
      <w:numFmt w:val="chineseCounting"/>
      <w:suff w:val="nothing"/>
      <w:lvlText w:val="（%1）"/>
      <w:lvlJc w:val="left"/>
      <w:rPr>
        <w:rFonts w:hint="eastAsia"/>
      </w:rPr>
    </w:lvl>
  </w:abstractNum>
  <w:abstractNum w:abstractNumId="1">
    <w:nsid w:val="9214F70C"/>
    <w:multiLevelType w:val="singleLevel"/>
    <w:tmpl w:val="9214F70C"/>
    <w:lvl w:ilvl="0" w:tentative="0">
      <w:start w:val="7"/>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MjBjZjQ0ODBjMTk3MGU5YWRmM2RjMTljNGU1NmQifQ=="/>
  </w:docVars>
  <w:rsids>
    <w:rsidRoot w:val="00F1361C"/>
    <w:rsid w:val="000222C6"/>
    <w:rsid w:val="0002549F"/>
    <w:rsid w:val="000468DB"/>
    <w:rsid w:val="00055A8A"/>
    <w:rsid w:val="00057BD2"/>
    <w:rsid w:val="0006487A"/>
    <w:rsid w:val="00065F8F"/>
    <w:rsid w:val="00070A43"/>
    <w:rsid w:val="00074388"/>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59C0"/>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26537"/>
    <w:rsid w:val="00434489"/>
    <w:rsid w:val="00437085"/>
    <w:rsid w:val="00443880"/>
    <w:rsid w:val="004464F4"/>
    <w:rsid w:val="00451ACC"/>
    <w:rsid w:val="00471401"/>
    <w:rsid w:val="00473F31"/>
    <w:rsid w:val="0048263A"/>
    <w:rsid w:val="00487E5D"/>
    <w:rsid w:val="00492798"/>
    <w:rsid w:val="004A711F"/>
    <w:rsid w:val="004B199D"/>
    <w:rsid w:val="004B4690"/>
    <w:rsid w:val="004E0A2D"/>
    <w:rsid w:val="004E206B"/>
    <w:rsid w:val="004E6DF7"/>
    <w:rsid w:val="004F0FBD"/>
    <w:rsid w:val="004F5420"/>
    <w:rsid w:val="00505A47"/>
    <w:rsid w:val="00512FDA"/>
    <w:rsid w:val="00520BFD"/>
    <w:rsid w:val="00520DA0"/>
    <w:rsid w:val="005602B0"/>
    <w:rsid w:val="00560A26"/>
    <w:rsid w:val="005664BB"/>
    <w:rsid w:val="00566FFA"/>
    <w:rsid w:val="0057481D"/>
    <w:rsid w:val="0058486E"/>
    <w:rsid w:val="00585B33"/>
    <w:rsid w:val="005863E1"/>
    <w:rsid w:val="0059014D"/>
    <w:rsid w:val="005A304C"/>
    <w:rsid w:val="005A486E"/>
    <w:rsid w:val="005B5C64"/>
    <w:rsid w:val="005C5337"/>
    <w:rsid w:val="005C6BD0"/>
    <w:rsid w:val="005D1C8B"/>
    <w:rsid w:val="005D468D"/>
    <w:rsid w:val="005D5CED"/>
    <w:rsid w:val="005F1A4C"/>
    <w:rsid w:val="00605688"/>
    <w:rsid w:val="006070AF"/>
    <w:rsid w:val="00607E6C"/>
    <w:rsid w:val="006101B1"/>
    <w:rsid w:val="00614E44"/>
    <w:rsid w:val="00621F7C"/>
    <w:rsid w:val="0062270A"/>
    <w:rsid w:val="00622830"/>
    <w:rsid w:val="00623DA0"/>
    <w:rsid w:val="00630AEF"/>
    <w:rsid w:val="006325F8"/>
    <w:rsid w:val="00633463"/>
    <w:rsid w:val="00634C9A"/>
    <w:rsid w:val="006440E4"/>
    <w:rsid w:val="00652D77"/>
    <w:rsid w:val="0066343B"/>
    <w:rsid w:val="00664777"/>
    <w:rsid w:val="006748A4"/>
    <w:rsid w:val="00681A31"/>
    <w:rsid w:val="00683E73"/>
    <w:rsid w:val="006A3141"/>
    <w:rsid w:val="006A5E34"/>
    <w:rsid w:val="006B2422"/>
    <w:rsid w:val="006B2B9A"/>
    <w:rsid w:val="006C1937"/>
    <w:rsid w:val="006D28FF"/>
    <w:rsid w:val="006F020C"/>
    <w:rsid w:val="00705919"/>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B269A"/>
    <w:rsid w:val="007D1682"/>
    <w:rsid w:val="007D312A"/>
    <w:rsid w:val="007D3F19"/>
    <w:rsid w:val="007E23B0"/>
    <w:rsid w:val="007E23E5"/>
    <w:rsid w:val="007E34C0"/>
    <w:rsid w:val="007F1991"/>
    <w:rsid w:val="007F2C2F"/>
    <w:rsid w:val="007F55FC"/>
    <w:rsid w:val="007F5665"/>
    <w:rsid w:val="00800112"/>
    <w:rsid w:val="00813348"/>
    <w:rsid w:val="008253BB"/>
    <w:rsid w:val="0083706E"/>
    <w:rsid w:val="008408F6"/>
    <w:rsid w:val="008412CC"/>
    <w:rsid w:val="008423A5"/>
    <w:rsid w:val="00850625"/>
    <w:rsid w:val="00853718"/>
    <w:rsid w:val="00855221"/>
    <w:rsid w:val="00860645"/>
    <w:rsid w:val="008669DF"/>
    <w:rsid w:val="00871F71"/>
    <w:rsid w:val="00872FD8"/>
    <w:rsid w:val="00885AF4"/>
    <w:rsid w:val="008939CD"/>
    <w:rsid w:val="008A6E6F"/>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2929"/>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6B0D"/>
    <w:rsid w:val="00CB4E70"/>
    <w:rsid w:val="00CC09B6"/>
    <w:rsid w:val="00CC666F"/>
    <w:rsid w:val="00CD1E3F"/>
    <w:rsid w:val="00CE44F6"/>
    <w:rsid w:val="00CE49DA"/>
    <w:rsid w:val="00CE7B61"/>
    <w:rsid w:val="00D00095"/>
    <w:rsid w:val="00D114F0"/>
    <w:rsid w:val="00D157EB"/>
    <w:rsid w:val="00D15FEB"/>
    <w:rsid w:val="00D20620"/>
    <w:rsid w:val="00D21D89"/>
    <w:rsid w:val="00D254F7"/>
    <w:rsid w:val="00D26091"/>
    <w:rsid w:val="00D265E3"/>
    <w:rsid w:val="00D2685C"/>
    <w:rsid w:val="00D34E7C"/>
    <w:rsid w:val="00D35489"/>
    <w:rsid w:val="00D36AFE"/>
    <w:rsid w:val="00D51276"/>
    <w:rsid w:val="00D7035F"/>
    <w:rsid w:val="00D96159"/>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EF7AAC"/>
    <w:rsid w:val="00F05438"/>
    <w:rsid w:val="00F1361C"/>
    <w:rsid w:val="00F156F0"/>
    <w:rsid w:val="00F160C7"/>
    <w:rsid w:val="00F2408F"/>
    <w:rsid w:val="00F240E9"/>
    <w:rsid w:val="00F329EB"/>
    <w:rsid w:val="00F36D8F"/>
    <w:rsid w:val="00F417B1"/>
    <w:rsid w:val="00F45853"/>
    <w:rsid w:val="00F47EC7"/>
    <w:rsid w:val="00F602DF"/>
    <w:rsid w:val="00F754A1"/>
    <w:rsid w:val="00F81FD9"/>
    <w:rsid w:val="00F841AA"/>
    <w:rsid w:val="00F84A94"/>
    <w:rsid w:val="00F87E96"/>
    <w:rsid w:val="00FA23E8"/>
    <w:rsid w:val="00FD3CC1"/>
    <w:rsid w:val="00FD7009"/>
    <w:rsid w:val="00FF1E02"/>
    <w:rsid w:val="00FF30B4"/>
    <w:rsid w:val="01A249C3"/>
    <w:rsid w:val="032D4760"/>
    <w:rsid w:val="05975A08"/>
    <w:rsid w:val="05FB2772"/>
    <w:rsid w:val="0669648E"/>
    <w:rsid w:val="06B801E1"/>
    <w:rsid w:val="085A4331"/>
    <w:rsid w:val="09B3669D"/>
    <w:rsid w:val="0A2032A3"/>
    <w:rsid w:val="0ACB72E5"/>
    <w:rsid w:val="0BD1285F"/>
    <w:rsid w:val="0DE21480"/>
    <w:rsid w:val="0F311479"/>
    <w:rsid w:val="0FEFF10E"/>
    <w:rsid w:val="10C055FF"/>
    <w:rsid w:val="118107EC"/>
    <w:rsid w:val="15DF74D1"/>
    <w:rsid w:val="16BB723D"/>
    <w:rsid w:val="1793097A"/>
    <w:rsid w:val="17FFB366"/>
    <w:rsid w:val="18534BA8"/>
    <w:rsid w:val="185C1918"/>
    <w:rsid w:val="19375FF7"/>
    <w:rsid w:val="19AE22BE"/>
    <w:rsid w:val="1D155CEE"/>
    <w:rsid w:val="1DC54782"/>
    <w:rsid w:val="1E5A5B2F"/>
    <w:rsid w:val="1E8B5456"/>
    <w:rsid w:val="23B856E8"/>
    <w:rsid w:val="23E50676"/>
    <w:rsid w:val="240371BF"/>
    <w:rsid w:val="24270C66"/>
    <w:rsid w:val="26172211"/>
    <w:rsid w:val="29B83B80"/>
    <w:rsid w:val="29FD04D3"/>
    <w:rsid w:val="2BD58DEE"/>
    <w:rsid w:val="2BDC73E3"/>
    <w:rsid w:val="2CF92D3D"/>
    <w:rsid w:val="2F05054A"/>
    <w:rsid w:val="30B97C74"/>
    <w:rsid w:val="31981078"/>
    <w:rsid w:val="319F7F4E"/>
    <w:rsid w:val="31C06AA2"/>
    <w:rsid w:val="336A04A3"/>
    <w:rsid w:val="34D66C80"/>
    <w:rsid w:val="359E27D8"/>
    <w:rsid w:val="3730204C"/>
    <w:rsid w:val="384F1DA4"/>
    <w:rsid w:val="387E5813"/>
    <w:rsid w:val="39AD1B7B"/>
    <w:rsid w:val="39B90593"/>
    <w:rsid w:val="3A8B515E"/>
    <w:rsid w:val="3A992C70"/>
    <w:rsid w:val="3C3A3DDF"/>
    <w:rsid w:val="3C66733D"/>
    <w:rsid w:val="3D065BAF"/>
    <w:rsid w:val="3D3F73AB"/>
    <w:rsid w:val="3E99752B"/>
    <w:rsid w:val="3EF754C1"/>
    <w:rsid w:val="3F7F6DE7"/>
    <w:rsid w:val="3FFA232E"/>
    <w:rsid w:val="4194777E"/>
    <w:rsid w:val="421666B2"/>
    <w:rsid w:val="43EE4212"/>
    <w:rsid w:val="4574072F"/>
    <w:rsid w:val="47B01E42"/>
    <w:rsid w:val="4813176D"/>
    <w:rsid w:val="482A15FB"/>
    <w:rsid w:val="48A03AC8"/>
    <w:rsid w:val="493144F7"/>
    <w:rsid w:val="49747FC0"/>
    <w:rsid w:val="49A30776"/>
    <w:rsid w:val="4B5D76B0"/>
    <w:rsid w:val="4DFE0068"/>
    <w:rsid w:val="4ECE2238"/>
    <w:rsid w:val="50667B86"/>
    <w:rsid w:val="533C5142"/>
    <w:rsid w:val="54184806"/>
    <w:rsid w:val="55C04EA2"/>
    <w:rsid w:val="56C9FFDE"/>
    <w:rsid w:val="57C008D1"/>
    <w:rsid w:val="596F369C"/>
    <w:rsid w:val="5B795474"/>
    <w:rsid w:val="5C150A62"/>
    <w:rsid w:val="631122C9"/>
    <w:rsid w:val="63350A29"/>
    <w:rsid w:val="63AD6150"/>
    <w:rsid w:val="658F5E84"/>
    <w:rsid w:val="67704F2B"/>
    <w:rsid w:val="6C4A05C8"/>
    <w:rsid w:val="6CEE2D6F"/>
    <w:rsid w:val="6D3D2D32"/>
    <w:rsid w:val="6D4D6A44"/>
    <w:rsid w:val="6E600263"/>
    <w:rsid w:val="6ED36BA4"/>
    <w:rsid w:val="6F072F89"/>
    <w:rsid w:val="70441846"/>
    <w:rsid w:val="70C075D3"/>
    <w:rsid w:val="72734D90"/>
    <w:rsid w:val="741B3E7C"/>
    <w:rsid w:val="75585ABA"/>
    <w:rsid w:val="758F699C"/>
    <w:rsid w:val="759B6318"/>
    <w:rsid w:val="75DFF505"/>
    <w:rsid w:val="76950A1B"/>
    <w:rsid w:val="774F572B"/>
    <w:rsid w:val="77BBB4F9"/>
    <w:rsid w:val="7908556B"/>
    <w:rsid w:val="7B6BF4D3"/>
    <w:rsid w:val="7BBE1B47"/>
    <w:rsid w:val="7CDC7CD3"/>
    <w:rsid w:val="7DDB3462"/>
    <w:rsid w:val="7FAF5630"/>
    <w:rsid w:val="9B5F793A"/>
    <w:rsid w:val="ADD3A9A6"/>
    <w:rsid w:val="B61FAF58"/>
    <w:rsid w:val="B9BDA6A3"/>
    <w:rsid w:val="EFFEF9CE"/>
    <w:rsid w:val="F73557F3"/>
    <w:rsid w:val="FDEA2DE3"/>
    <w:rsid w:val="FED51A50"/>
    <w:rsid w:val="FEEFAD60"/>
    <w:rsid w:val="FEFFF695"/>
    <w:rsid w:val="FF77A370"/>
    <w:rsid w:val="FFABDD17"/>
    <w:rsid w:val="FFFF3926"/>
    <w:rsid w:val="FFFFD1B3"/>
    <w:rsid w:val="FFFFD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rPr>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8"/>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character" w:customStyle="1" w:styleId="34">
    <w:name w:val="21"/>
    <w:basedOn w:val="16"/>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20845;&#24188;\&#24188;&#20799;&#22253;\&#39044;&#31639;&#20844;&#24320;\&#24180;&#24230;\&#20915;&#31639;&#24180;&#24230;\22&#24180;&#24230;&#20915;&#31639;\2022&#24180;&#20915;&#31639;&#20844;&#24320;&#22270;&#34920;(&#27169;&#2649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H:\&#20845;&#24188;\&#24188;&#20799;&#22253;\&#39044;&#31639;&#20844;&#24320;\&#24180;&#24230;\&#20915;&#31639;&#24180;&#24230;\22&#24180;&#24230;&#20915;&#31639;\2022&#24180;&#20915;&#31639;&#20844;&#24320;&#22270;&#34920;(&#27169;&#2649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H:\&#20845;&#24188;\&#24188;&#20799;&#22253;\&#39044;&#31639;&#20844;&#24320;\&#24180;&#24230;\&#20915;&#31639;&#24180;&#24230;\22&#24180;&#24230;&#20915;&#31639;\2022&#24180;&#20915;&#31639;&#20844;&#24320;&#22270;&#34920;(&#27169;&#2649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H:\&#20845;&#24188;\&#24188;&#20799;&#22253;\&#39044;&#31639;&#20844;&#24320;\&#24180;&#24230;\&#20915;&#31639;&#24180;&#24230;\22&#24180;&#24230;&#20915;&#31639;\2022&#24180;&#20915;&#31639;&#20844;&#24320;&#22270;&#34920;(&#27169;&#2649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H:\&#20845;&#24188;\&#24188;&#20799;&#22253;\&#39044;&#31639;&#20844;&#24320;\&#24180;&#24230;\&#20915;&#31639;&#24180;&#24230;\22&#24180;&#24230;&#20915;&#31639;\2022&#24180;&#20915;&#31639;&#20844;&#24320;&#22270;&#34920;(&#27169;&#2649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H:\&#20845;&#24188;\&#24188;&#20799;&#22253;\&#39044;&#31639;&#20844;&#24320;\&#24180;&#24230;\&#20915;&#31639;&#24180;&#24230;\22&#24180;&#24230;&#20915;&#31639;\2022&#24180;&#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决算公开图表!$A$14:$A$20</c:f>
              <c:strCache>
                <c:ptCount val="7"/>
                <c:pt idx="0">
                  <c:v>一般公共预算财政拨款收入</c:v>
                </c:pt>
                <c:pt idx="1">
                  <c:v>政府性基金预算财政拨款</c:v>
                </c:pt>
                <c:pt idx="2">
                  <c:v>国有资本经营预算财政拨款收入</c:v>
                </c:pt>
                <c:pt idx="3">
                  <c:v>事业收入</c:v>
                </c:pt>
                <c:pt idx="4">
                  <c:v>经营收入</c:v>
                </c:pt>
                <c:pt idx="5">
                  <c:v>附属单位上缴收入</c:v>
                </c:pt>
                <c:pt idx="6">
                  <c:v>其他收入</c:v>
                </c:pt>
              </c:strCache>
            </c:strRef>
          </c:cat>
          <c:val>
            <c:numRef>
              <c:f>决算公开图表!$B$14:$B$20</c:f>
              <c:numCache>
                <c:formatCode>#,##0.00</c:formatCode>
                <c:ptCount val="7"/>
                <c:pt idx="0">
                  <c:v>267.53</c:v>
                </c:pt>
              </c:numCache>
            </c:numRef>
          </c:val>
        </c:ser>
        <c:dLbls>
          <c:showLegendKey val="0"/>
          <c:showVal val="1"/>
          <c:showCatName val="0"/>
          <c:showSerName val="0"/>
          <c:showPercent val="0"/>
          <c:showBubbleSize val="0"/>
          <c:showLeaderLines val="1"/>
        </c:dLbls>
        <c:firstSliceAng val="0"/>
      </c:pieChart>
      <c:spPr>
        <a:noFill/>
        <a:ln w="3175">
          <a:noFill/>
        </a:ln>
      </c:spPr>
    </c:plotArea>
    <c:legend>
      <c:legendPos val="r"/>
      <c:layout>
        <c:manualLayout>
          <c:xMode val="edge"/>
          <c:yMode val="edge"/>
          <c:x val="0.588"/>
          <c:y val="0.2215"/>
          <c:w val="0.386"/>
          <c:h val="0.76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图3</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Pt>
            <c:idx val="3"/>
            <c:bubble3D val="0"/>
          </c:dPt>
          <c:dPt>
            <c:idx val="4"/>
            <c:bubble3D val="0"/>
          </c:dPt>
          <c:dLbls>
            <c:dLbl>
              <c:idx val="2"/>
              <c:delete val="1"/>
            </c:dLbl>
            <c:dLbl>
              <c:idx val="3"/>
              <c:delete val="1"/>
            </c:dLbl>
            <c:dLbl>
              <c:idx val="4"/>
              <c:delete val="1"/>
            </c:dLbl>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决算公开图表!$A$24:$A$28</c:f>
              <c:strCache>
                <c:ptCount val="5"/>
                <c:pt idx="0">
                  <c:v>基本支出</c:v>
                </c:pt>
                <c:pt idx="1">
                  <c:v>项目支出</c:v>
                </c:pt>
                <c:pt idx="2">
                  <c:v>上缴上级支出</c:v>
                </c:pt>
                <c:pt idx="3">
                  <c:v>经营支出</c:v>
                </c:pt>
                <c:pt idx="4">
                  <c:v>对附属单位补助支出</c:v>
                </c:pt>
              </c:strCache>
            </c:strRef>
          </c:cat>
          <c:val>
            <c:numRef>
              <c:f>决算公开图表!$B$24:$B$28</c:f>
              <c:numCache>
                <c:formatCode>#,##0.00</c:formatCode>
                <c:ptCount val="5"/>
                <c:pt idx="0">
                  <c:v>50.33</c:v>
                </c:pt>
                <c:pt idx="1">
                  <c:v>217.21</c:v>
                </c:pt>
              </c:numCache>
            </c:numRef>
          </c:val>
        </c:ser>
        <c:dLbls>
          <c:showLegendKey val="0"/>
          <c:showVal val="1"/>
          <c:showCatName val="0"/>
          <c:showSerName val="0"/>
          <c:showPercent val="0"/>
          <c:showBubbleSize val="0"/>
          <c:showLeaderLines val="1"/>
        </c:dLbls>
        <c:firstSliceAng val="0"/>
      </c:pieChart>
      <c:spPr>
        <a:noFill/>
        <a:ln w="3175">
          <a:noFill/>
        </a:ln>
      </c:spPr>
    </c:plotArea>
    <c:legend>
      <c:legendPos val="r"/>
      <c:layout>
        <c:manualLayout>
          <c:xMode val="edge"/>
          <c:yMode val="edge"/>
          <c:x val="0.06175"/>
          <c:y val="0.9005"/>
          <c:w val="0.8755"/>
          <c:h val="0.06075"/>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4.</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财政拨款收、支决算总计变动情况</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'[2022年决算公开图表(模板).xls]决算公开图表'!$A$33</c:f>
              <c:strCache>
                <c:ptCount val="1"/>
                <c:pt idx="0">
                  <c:v>2022年</c:v>
                </c:pt>
              </c:strCache>
            </c:strRef>
          </c:tx>
          <c:invertIfNegative val="0"/>
          <c:dLbls>
            <c:delete val="1"/>
          </c:dLbls>
          <c:cat>
            <c:strRef>
              <c:f>'[2022年决算公开图表(模板).xls]决算公开图表'!$B$32:$C$32</c:f>
              <c:strCache>
                <c:ptCount val="2"/>
                <c:pt idx="0">
                  <c:v>收入</c:v>
                </c:pt>
                <c:pt idx="1">
                  <c:v>支出</c:v>
                </c:pt>
              </c:strCache>
            </c:strRef>
          </c:cat>
          <c:val>
            <c:numRef>
              <c:f>'[2022年决算公开图表(模板).xls]决算公开图表'!$B$33:$C$33</c:f>
              <c:numCache>
                <c:formatCode>General</c:formatCode>
                <c:ptCount val="2"/>
                <c:pt idx="0">
                  <c:v>267.53</c:v>
                </c:pt>
                <c:pt idx="1">
                  <c:v>267.53</c:v>
                </c:pt>
              </c:numCache>
            </c:numRef>
          </c:val>
        </c:ser>
        <c:ser>
          <c:idx val="1"/>
          <c:order val="1"/>
          <c:tx>
            <c:strRef>
              <c:f>'[2022年决算公开图表(模板).xls]决算公开图表'!$A$34</c:f>
              <c:strCache>
                <c:ptCount val="1"/>
                <c:pt idx="0">
                  <c:v>2021年</c:v>
                </c:pt>
              </c:strCache>
            </c:strRef>
          </c:tx>
          <c:invertIfNegative val="0"/>
          <c:dLbls>
            <c:delete val="1"/>
          </c:dLbls>
          <c:cat>
            <c:strRef>
              <c:f>'[2022年决算公开图表(模板).xls]决算公开图表'!$B$32:$C$32</c:f>
              <c:strCache>
                <c:ptCount val="2"/>
                <c:pt idx="0">
                  <c:v>收入</c:v>
                </c:pt>
                <c:pt idx="1">
                  <c:v>支出</c:v>
                </c:pt>
              </c:strCache>
            </c:strRef>
          </c:cat>
          <c:val>
            <c:numRef>
              <c:f>'[2022年决算公开图表(模板).xls]决算公开图表'!$B$34:$C$34</c:f>
              <c:numCache>
                <c:formatCode>General</c:formatCode>
                <c:ptCount val="2"/>
                <c:pt idx="0">
                  <c:v>220.86</c:v>
                </c:pt>
                <c:pt idx="1">
                  <c:v>220.86</c:v>
                </c:pt>
              </c:numCache>
            </c:numRef>
          </c:val>
        </c:ser>
        <c:dLbls>
          <c:showLegendKey val="0"/>
          <c:showVal val="0"/>
          <c:showCatName val="0"/>
          <c:showSerName val="0"/>
          <c:showPercent val="0"/>
          <c:showBubbleSize val="0"/>
        </c:dLbls>
        <c:gapWidth val="150"/>
        <c:axId val="70207360"/>
        <c:axId val="70208896"/>
      </c:barChart>
      <c:catAx>
        <c:axId val="7020736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208896"/>
        <c:crosses val="autoZero"/>
        <c:auto val="1"/>
        <c:lblAlgn val="ctr"/>
        <c:lblOffset val="100"/>
        <c:noMultiLvlLbl val="0"/>
      </c:catAx>
      <c:valAx>
        <c:axId val="702088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207360"/>
        <c:crosses val="autoZero"/>
        <c:crossBetween val="between"/>
      </c:valAx>
    </c:plotArea>
    <c:legend>
      <c:legendPos val="r"/>
      <c:layout>
        <c:manualLayout>
          <c:xMode val="edge"/>
          <c:yMode val="edge"/>
          <c:x val="0.7965"/>
          <c:y val="0.46025"/>
          <c:w val="0.182"/>
          <c:h val="0.16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5.</a:t>
            </a:r>
            <a:r>
              <a:rPr lang="zh-CN" altLang="en-US"/>
              <a:t>一般公共预算财政拨款支出决算变动情况</a:t>
            </a:r>
            <a:endParaRPr lang="zh-CN" altLang="en-US"/>
          </a:p>
        </c:rich>
      </c:tx>
      <c:layout>
        <c:manualLayout>
          <c:xMode val="edge"/>
          <c:yMode val="edge"/>
          <c:x val="0.138030426563587"/>
          <c:y val="0.0013153771395704"/>
        </c:manualLayout>
      </c:layout>
      <c:overlay val="0"/>
    </c:title>
    <c:autoTitleDeleted val="0"/>
    <c:plotArea>
      <c:layout/>
      <c:barChart>
        <c:barDir val="col"/>
        <c:grouping val="clustered"/>
        <c:varyColors val="0"/>
        <c:ser>
          <c:idx val="0"/>
          <c:order val="0"/>
          <c:invertIfNegative val="0"/>
          <c:dLbls>
            <c:delete val="1"/>
          </c:dLbls>
          <c:cat>
            <c:strRef>
              <c:f>'[2022年决算公开图表(模板).xls]决算公开图表'!$A$40:$A$41</c:f>
              <c:strCache>
                <c:ptCount val="2"/>
                <c:pt idx="0">
                  <c:v>2022年</c:v>
                </c:pt>
                <c:pt idx="1">
                  <c:v>2021年</c:v>
                </c:pt>
              </c:strCache>
            </c:strRef>
          </c:cat>
          <c:val>
            <c:numRef>
              <c:f>'[2022年决算公开图表(模板).xls]决算公开图表'!$B$40:$B$41</c:f>
              <c:numCache>
                <c:formatCode>General</c:formatCode>
                <c:ptCount val="2"/>
                <c:pt idx="0">
                  <c:v>267.53</c:v>
                </c:pt>
                <c:pt idx="1">
                  <c:v>220.86</c:v>
                </c:pt>
              </c:numCache>
            </c:numRef>
          </c:val>
        </c:ser>
        <c:dLbls>
          <c:showLegendKey val="0"/>
          <c:showVal val="0"/>
          <c:showCatName val="0"/>
          <c:showSerName val="0"/>
          <c:showPercent val="0"/>
          <c:showBubbleSize val="0"/>
        </c:dLbls>
        <c:gapWidth val="219"/>
        <c:overlap val="-27"/>
        <c:axId val="135201152"/>
        <c:axId val="135203456"/>
      </c:barChart>
      <c:catAx>
        <c:axId val="135201152"/>
        <c:scaling>
          <c:orientation val="minMax"/>
        </c:scaling>
        <c:delete val="0"/>
        <c:axPos val="b"/>
        <c:majorTickMark val="none"/>
        <c:minorTickMark val="none"/>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203456"/>
        <c:crosses val="autoZero"/>
        <c:auto val="1"/>
        <c:lblAlgn val="ctr"/>
        <c:lblOffset val="100"/>
        <c:noMultiLvlLbl val="0"/>
      </c:catAx>
      <c:valAx>
        <c:axId val="135203456"/>
        <c:scaling>
          <c:orientation val="minMax"/>
        </c:scaling>
        <c:delete val="0"/>
        <c:axPos val="l"/>
        <c:majorGridlines/>
        <c:numFmt formatCode="General" sourceLinked="1"/>
        <c:majorTickMark val="none"/>
        <c:minorTickMark val="none"/>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201152"/>
        <c:crosses val="autoZero"/>
        <c:crossBetween val="between"/>
      </c:valAx>
    </c:plotArea>
    <c:plotVisOnly val="1"/>
    <c:dispBlanksAs val="gap"/>
    <c:showDLblsOverMax val="0"/>
  </c:chart>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6.</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一般公共预算财政拨款支出决算结构</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97606861253285"/>
          <c:y val="0.00738007380073801"/>
        </c:manualLayout>
      </c:layout>
      <c:overlay val="0"/>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altLang="en-US"/>
                      <a:t>教育支出
98.6</a:t>
                    </a:r>
                    <a:r>
                      <a:rPr lang="en-US" altLang="en-US"/>
                      <a:t>0</a:t>
                    </a:r>
                    <a:r>
                      <a:rPr altLang="en-US"/>
                      <a:t>%</a:t>
                    </a:r>
                    <a:endParaRPr altLang="en-US"/>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2051630350672"/>
                  <c:y val="0.07739488530685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52482921373572"/>
                  <c:y val="0.074692529848893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'[2022年决算公开图表(模板).xls]决算公开图表'!$A$47:$A$51</c:f>
              <c:strCache>
                <c:ptCount val="5"/>
                <c:pt idx="0">
                  <c:v>教育支出</c:v>
                </c:pt>
                <c:pt idx="1">
                  <c:v>社会保障和就业支出</c:v>
                </c:pt>
                <c:pt idx="2">
                  <c:v>卫生健康支出</c:v>
                </c:pt>
              </c:strCache>
            </c:strRef>
          </c:cat>
          <c:val>
            <c:numRef>
              <c:f>'[2022年决算公开图表(模板).xls]决算公开图表'!$B$47:$B$51</c:f>
              <c:numCache>
                <c:formatCode>#,##0.00</c:formatCode>
                <c:ptCount val="5"/>
                <c:pt idx="0">
                  <c:v>263.81</c:v>
                </c:pt>
                <c:pt idx="1">
                  <c:v>2.45</c:v>
                </c:pt>
                <c:pt idx="2">
                  <c:v>1.28</c:v>
                </c:pt>
              </c:numCache>
            </c:numRef>
          </c:val>
        </c:ser>
        <c:dLbls>
          <c:showLegendKey val="0"/>
          <c:showVal val="0"/>
          <c:showCatName val="1"/>
          <c:showSerName val="0"/>
          <c:showPercent val="1"/>
          <c:showBubbleSize val="0"/>
          <c:showLeaderLines val="1"/>
        </c:dLbls>
        <c:firstSliceAng val="0"/>
      </c:pieChart>
      <c:spPr>
        <a:noFill/>
        <a:ln w="3175">
          <a:noFill/>
        </a:ln>
      </c:spPr>
    </c:plotArea>
    <c:plotVisOnly val="1"/>
    <c:dispBlanksAs val="zero"/>
    <c:showDLblsOverMax val="0"/>
  </c:chart>
  <c:spPr>
    <a:solidFill>
      <a:schemeClr val="bg1"/>
    </a:solidFill>
    <a:ln w="9525" cap="flat" cmpd="sng" algn="ctr">
      <a:solidFill>
        <a:schemeClr val="tx1"/>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图7</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64444444444444"/>
          <c:y val="0.0315387944927937"/>
        </c:manualLayout>
      </c:layout>
      <c:overlay val="0"/>
      <c:spPr>
        <a:noFill/>
        <a:ln w="3175">
          <a:noFill/>
        </a:ln>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'[2022年决算公开图表(模板).xls]决算公开图表'!$A$57:$A$59</c:f>
              <c:strCache>
                <c:ptCount val="3"/>
                <c:pt idx="0">
                  <c:v>因公出国（境）费</c:v>
                </c:pt>
                <c:pt idx="1">
                  <c:v>公务用车购置及运行维护费</c:v>
                </c:pt>
                <c:pt idx="2">
                  <c:v>公务接待费</c:v>
                </c:pt>
              </c:strCache>
            </c:strRef>
          </c:cat>
          <c:val>
            <c:numRef>
              <c:f>'[2022年决算公开图表(模板).xls]决算公开图表'!$B$57:$B$59</c:f>
              <c:numCache>
                <c:formatCode>#,##0.00</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13325"/>
          <c:y val="0.90175"/>
          <c:w val="0.736"/>
          <c:h val="0.06025"/>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0.77631</cdr:x>
      <cdr:y>0.12269</cdr:y>
    </cdr:from>
    <cdr:to>
      <cdr:x>0.94524</cdr:x>
      <cdr:y>0.184</cdr:y>
    </cdr:to>
    <cdr:sp>
      <cdr:nvSpPr>
        <cdr:cNvPr id="2" name="矩形 1"/>
        <cdr:cNvSpPr/>
      </cdr:nvSpPr>
      <cdr:spPr xmlns:a="http://schemas.openxmlformats.org/drawingml/2006/main">
        <a:xfrm xmlns:a="http://schemas.openxmlformats.org/drawingml/2006/main">
          <a:off x="3829289" y="377387"/>
          <a:ext cx="833278" cy="188586"/>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0.76352</cdr:x>
      <cdr:y>0.152</cdr:y>
    </cdr:from>
    <cdr:to>
      <cdr:x>0.95119</cdr:x>
      <cdr:y>0.22266</cdr:y>
    </cdr:to>
    <cdr:sp>
      <cdr:nvSpPr>
        <cdr:cNvPr id="2" name="矩形 1"/>
        <cdr:cNvSpPr/>
      </cdr:nvSpPr>
      <cdr:spPr xmlns:a="http://schemas.openxmlformats.org/drawingml/2006/main">
        <a:xfrm xmlns:a="http://schemas.openxmlformats.org/drawingml/2006/main">
          <a:off x="3408876" y="406060"/>
          <a:ext cx="837887" cy="188764"/>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0.77855</cdr:x>
      <cdr:y>0.15659</cdr:y>
    </cdr:from>
    <cdr:to>
      <cdr:x>0.97745</cdr:x>
      <cdr:y>0.24864</cdr:y>
    </cdr:to>
    <cdr:sp>
      <cdr:nvSpPr>
        <cdr:cNvPr id="2" name="矩形 1"/>
        <cdr:cNvSpPr/>
      </cdr:nvSpPr>
      <cdr:spPr xmlns:a="http://schemas.openxmlformats.org/drawingml/2006/main">
        <a:xfrm xmlns:a="http://schemas.openxmlformats.org/drawingml/2006/main">
          <a:off x="3268836" y="320478"/>
          <a:ext cx="835106" cy="188390"/>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0.78611</cdr:x>
      <cdr:y>0.16608</cdr:y>
    </cdr:from>
    <cdr:to>
      <cdr:x>0.9523</cdr:x>
      <cdr:y>0.29202</cdr:y>
    </cdr:to>
    <cdr:sp>
      <cdr:nvSpPr>
        <cdr:cNvPr id="2" name="矩形 1"/>
        <cdr:cNvSpPr/>
      </cdr:nvSpPr>
      <cdr:spPr xmlns:a="http://schemas.openxmlformats.org/drawingml/2006/main">
        <a:xfrm xmlns:a="http://schemas.openxmlformats.org/drawingml/2006/main">
          <a:off x="3595592" y="444517"/>
          <a:ext cx="760137" cy="337082"/>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0.76196</cdr:x>
      <cdr:y>0.17274</cdr:y>
    </cdr:from>
    <cdr:to>
      <cdr:x>0.92746</cdr:x>
      <cdr:y>0.30519</cdr:y>
    </cdr:to>
    <cdr:sp>
      <cdr:nvSpPr>
        <cdr:cNvPr id="2" name="矩形 1"/>
        <cdr:cNvSpPr/>
      </cdr:nvSpPr>
      <cdr:spPr xmlns:a="http://schemas.openxmlformats.org/drawingml/2006/main">
        <a:xfrm xmlns:a="http://schemas.openxmlformats.org/drawingml/2006/main">
          <a:off x="3496261" y="443038"/>
          <a:ext cx="759398" cy="339703"/>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0.78069</cdr:x>
      <cdr:y>0.19977</cdr:y>
    </cdr:from>
    <cdr:to>
      <cdr:x>0.98681</cdr:x>
      <cdr:y>0.31881</cdr:y>
    </cdr:to>
    <cdr:sp>
      <cdr:nvSpPr>
        <cdr:cNvPr id="2" name="矩形 1"/>
        <cdr:cNvSpPr/>
      </cdr:nvSpPr>
      <cdr:spPr xmlns:a="http://schemas.openxmlformats.org/drawingml/2006/main">
        <a:xfrm xmlns:a="http://schemas.openxmlformats.org/drawingml/2006/main">
          <a:off x="2816288" y="531391"/>
          <a:ext cx="743565" cy="316648"/>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49"/>
    <customShpInfo spid="_x0000_s2050"/>
    <customShpInfo spid="_x0000_s2053"/>
    <customShpInfo spid="_x0000_s2054"/>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2FE0F-467D-492D-A30F-94FDF56D14B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10666</Words>
  <Characters>881</Characters>
  <Lines>7</Lines>
  <Paragraphs>23</Paragraphs>
  <TotalTime>18</TotalTime>
  <ScaleCrop>false</ScaleCrop>
  <LinksUpToDate>false</LinksUpToDate>
  <CharactersWithSpaces>11524</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May</cp:lastModifiedBy>
  <cp:lastPrinted>2023-09-19T04:36:00Z</cp:lastPrinted>
  <dcterms:modified xsi:type="dcterms:W3CDTF">2023-09-20T00:48:32Z</dcterms:modified>
  <dc:title>四川省***</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FBAB3B2DDEEB4A5994EABCFC06151295_12</vt:lpwstr>
  </property>
</Properties>
</file>