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0308A">
      <w:pPr>
        <w:spacing w:line="600" w:lineRule="exact"/>
        <w:jc w:val="center"/>
        <w:outlineLvl w:val="0"/>
        <w:rPr>
          <w:rFonts w:ascii="方正小标宋简体" w:hAnsi="宋体" w:eastAsia="方正小标宋简体"/>
          <w:color w:val="000000"/>
          <w:sz w:val="72"/>
          <w:szCs w:val="72"/>
        </w:rPr>
      </w:pPr>
      <w:bookmarkStart w:id="0" w:name="_Toc15306267"/>
    </w:p>
    <w:p w14:paraId="6C2EE909">
      <w:pPr>
        <w:spacing w:line="600" w:lineRule="exact"/>
        <w:jc w:val="center"/>
        <w:outlineLvl w:val="0"/>
        <w:rPr>
          <w:rFonts w:ascii="方正小标宋简体" w:hAnsi="宋体" w:eastAsia="方正小标宋简体"/>
          <w:color w:val="000000"/>
          <w:sz w:val="72"/>
          <w:szCs w:val="72"/>
        </w:rPr>
      </w:pPr>
    </w:p>
    <w:p w14:paraId="54F4B872">
      <w:pPr>
        <w:spacing w:line="600" w:lineRule="exact"/>
        <w:jc w:val="center"/>
        <w:outlineLvl w:val="0"/>
        <w:rPr>
          <w:rFonts w:ascii="方正小标宋简体" w:hAnsi="宋体" w:eastAsia="方正小标宋简体"/>
          <w:color w:val="000000"/>
          <w:sz w:val="72"/>
          <w:szCs w:val="72"/>
        </w:rPr>
      </w:pPr>
    </w:p>
    <w:p w14:paraId="33560698">
      <w:pPr>
        <w:spacing w:line="600" w:lineRule="exact"/>
        <w:jc w:val="center"/>
        <w:outlineLvl w:val="0"/>
        <w:rPr>
          <w:rFonts w:ascii="方正小标宋简体" w:hAnsi="宋体" w:eastAsia="方正小标宋简体"/>
          <w:color w:val="000000"/>
          <w:sz w:val="72"/>
          <w:szCs w:val="72"/>
        </w:rPr>
      </w:pPr>
    </w:p>
    <w:p w14:paraId="07D406F0">
      <w:pPr>
        <w:adjustRightInd w:val="0"/>
        <w:snapToGrid w:val="0"/>
        <w:spacing w:line="360" w:lineRule="auto"/>
        <w:ind w:firstLine="3520" w:firstLineChars="800"/>
        <w:jc w:val="both"/>
        <w:outlineLvl w:val="0"/>
        <w:rPr>
          <w:rFonts w:hint="eastAsia" w:asciiTheme="minorEastAsia" w:hAnsiTheme="minorEastAsia" w:eastAsiaTheme="minorEastAsia" w:cstheme="minorEastAsia"/>
          <w:color w:val="000000"/>
          <w:sz w:val="44"/>
          <w:szCs w:val="44"/>
        </w:rPr>
      </w:pPr>
    </w:p>
    <w:bookmarkEnd w:id="0"/>
    <w:p w14:paraId="1A456AEE">
      <w:pPr>
        <w:adjustRightInd w:val="0"/>
        <w:snapToGrid w:val="0"/>
        <w:spacing w:line="360" w:lineRule="auto"/>
        <w:jc w:val="center"/>
        <w:outlineLvl w:val="0"/>
        <w:rPr>
          <w:rFonts w:hint="eastAsia" w:asciiTheme="minorEastAsia" w:hAnsiTheme="minorEastAsia" w:eastAsiaTheme="minorEastAsia" w:cstheme="minorEastAsia"/>
          <w:color w:val="000000"/>
          <w:sz w:val="44"/>
          <w:szCs w:val="44"/>
        </w:rPr>
      </w:pPr>
      <w:bookmarkStart w:id="1" w:name="_Toc15378442"/>
      <w:bookmarkStart w:id="2" w:name="_Toc15377194"/>
      <w:bookmarkStart w:id="3" w:name="_Toc15396598"/>
      <w:bookmarkStart w:id="4" w:name="_Toc15377426"/>
      <w:bookmarkStart w:id="5" w:name="_Toc15306268"/>
      <w:bookmarkStart w:id="6" w:name="_Toc15396476"/>
      <w:r>
        <w:rPr>
          <w:rFonts w:hint="eastAsia" w:asciiTheme="minorEastAsia" w:hAnsiTheme="minorEastAsia" w:eastAsiaTheme="minorEastAsia" w:cstheme="minorEastAsia"/>
          <w:color w:val="000000"/>
          <w:sz w:val="44"/>
          <w:szCs w:val="44"/>
        </w:rPr>
        <w:t>20</w:t>
      </w:r>
      <w:r>
        <w:rPr>
          <w:rFonts w:hint="eastAsia" w:asciiTheme="minorEastAsia" w:hAnsiTheme="minorEastAsia" w:eastAsiaTheme="minorEastAsia" w:cstheme="minorEastAsia"/>
          <w:color w:val="000000"/>
          <w:sz w:val="44"/>
          <w:szCs w:val="44"/>
          <w:lang w:val="en-US" w:eastAsia="zh-CN"/>
        </w:rPr>
        <w:t>22</w:t>
      </w:r>
      <w:r>
        <w:rPr>
          <w:rFonts w:hint="eastAsia" w:asciiTheme="minorEastAsia" w:hAnsiTheme="minorEastAsia" w:eastAsiaTheme="minorEastAsia" w:cstheme="minorEastAsia"/>
          <w:color w:val="000000"/>
          <w:sz w:val="44"/>
          <w:szCs w:val="44"/>
        </w:rPr>
        <w:t>年度</w:t>
      </w:r>
    </w:p>
    <w:p w14:paraId="76D0746E">
      <w:pPr>
        <w:adjustRightInd w:val="0"/>
        <w:snapToGrid w:val="0"/>
        <w:spacing w:line="360" w:lineRule="auto"/>
        <w:jc w:val="center"/>
        <w:outlineLvl w:val="0"/>
        <w:rPr>
          <w:rFonts w:ascii="方正小标宋简体" w:hAnsi="宋体" w:eastAsia="方正小标宋简体"/>
          <w:color w:val="000000"/>
          <w:sz w:val="44"/>
          <w:szCs w:val="44"/>
        </w:rPr>
      </w:pPr>
      <w:r>
        <w:rPr>
          <w:rFonts w:hint="eastAsia" w:asciiTheme="minorEastAsia" w:hAnsiTheme="minorEastAsia" w:eastAsiaTheme="minorEastAsia" w:cstheme="minorEastAsia"/>
          <w:color w:val="000000"/>
          <w:sz w:val="44"/>
          <w:szCs w:val="44"/>
        </w:rPr>
        <w:t>广安市公安局交通警察支队部门决算</w:t>
      </w:r>
      <w:bookmarkEnd w:id="1"/>
      <w:bookmarkEnd w:id="2"/>
      <w:bookmarkEnd w:id="3"/>
      <w:bookmarkEnd w:id="4"/>
      <w:bookmarkEnd w:id="5"/>
      <w:bookmarkEnd w:id="6"/>
      <w:r>
        <w:rPr>
          <w:rFonts w:hint="eastAsia" w:asciiTheme="minorEastAsia" w:hAnsiTheme="minorEastAsia" w:eastAsiaTheme="minorEastAsia" w:cstheme="minorEastAsia"/>
          <w:color w:val="000000"/>
          <w:sz w:val="44"/>
          <w:szCs w:val="44"/>
        </w:rPr>
        <w:t>编制说明</w:t>
      </w:r>
    </w:p>
    <w:p w14:paraId="5B21943F">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0F944FA">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E7CDEB5">
      <w:pPr>
        <w:pStyle w:val="12"/>
      </w:pPr>
      <w:r>
        <w:rPr>
          <w:rFonts w:hint="eastAsia"/>
        </w:rPr>
        <w:t>公开时间：20</w:t>
      </w:r>
      <w:r>
        <w:rPr>
          <w:rFonts w:hint="eastAsia"/>
          <w:lang w:val="en-US" w:eastAsia="zh-CN"/>
        </w:rPr>
        <w:t>23</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p>
    <w:p w14:paraId="0DB4A250"/>
    <w:p w14:paraId="7646F1BE">
      <w:pPr>
        <w:pStyle w:val="12"/>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rPr>
        <w:t>4</w:t>
      </w:r>
      <w:r>
        <w:rPr>
          <w:rFonts w:hint="eastAsia"/>
        </w:rPr>
        <w:fldChar w:fldCharType="end"/>
      </w:r>
    </w:p>
    <w:p w14:paraId="73643F2B">
      <w:pPr>
        <w:pStyle w:val="13"/>
        <w:rPr>
          <w:rFonts w:cstheme="minorBidi"/>
        </w:rPr>
      </w:pPr>
      <w:r>
        <w:fldChar w:fldCharType="begin"/>
      </w:r>
      <w:r>
        <w:instrText xml:space="preserve"> HYPERLINK \l "_Toc15396600" </w:instrText>
      </w:r>
      <w:r>
        <w:fldChar w:fldCharType="separate"/>
      </w:r>
      <w:r>
        <w:rPr>
          <w:rStyle w:val="18"/>
          <w:rFonts w:hint="eastAsia"/>
        </w:rPr>
        <w:t>一、基本职能及主要工作</w:t>
      </w:r>
      <w:r>
        <w:tab/>
      </w:r>
      <w:r>
        <w:rPr>
          <w:rFonts w:hint="eastAsia"/>
        </w:rPr>
        <w:t>4</w:t>
      </w:r>
      <w:r>
        <w:rPr>
          <w:rFonts w:hint="eastAsia"/>
        </w:rPr>
        <w:fldChar w:fldCharType="end"/>
      </w:r>
    </w:p>
    <w:p w14:paraId="0CFFF181">
      <w:pPr>
        <w:pStyle w:val="13"/>
        <w:rPr>
          <w:rFonts w:hint="eastAsia" w:eastAsia="仿宋" w:cstheme="minorBidi"/>
          <w:lang w:val="en-US" w:eastAsia="zh-CN"/>
        </w:rPr>
      </w:pPr>
      <w:r>
        <w:fldChar w:fldCharType="begin"/>
      </w:r>
      <w:r>
        <w:instrText xml:space="preserve"> HYPERLINK \l "_Toc15396601" </w:instrText>
      </w:r>
      <w:r>
        <w:fldChar w:fldCharType="separate"/>
      </w:r>
      <w:r>
        <w:rPr>
          <w:rStyle w:val="18"/>
          <w:rFonts w:hint="eastAsia"/>
        </w:rPr>
        <w:t>二、机构设置</w:t>
      </w:r>
      <w:r>
        <w:tab/>
      </w:r>
      <w:r>
        <w:rPr>
          <w:rFonts w:hint="eastAsia"/>
          <w:lang w:val="en-US" w:eastAsia="zh-CN"/>
        </w:rPr>
        <w:t>8</w:t>
      </w:r>
      <w:r>
        <w:rPr>
          <w:rFonts w:hint="eastAsia"/>
        </w:rPr>
        <w:fldChar w:fldCharType="end"/>
      </w:r>
    </w:p>
    <w:p w14:paraId="3906CB5D">
      <w:pPr>
        <w:pStyle w:val="12"/>
        <w:rPr>
          <w:rFonts w:hint="eastAsia" w:eastAsia="仿宋"/>
          <w:lang w:val="en-US" w:eastAsia="zh-CN"/>
        </w:rPr>
      </w:pPr>
      <w:r>
        <w:fldChar w:fldCharType="begin"/>
      </w:r>
      <w:r>
        <w:instrText xml:space="preserve"> HYPERLINK \l "_Toc15396602" </w:instrText>
      </w:r>
      <w:r>
        <w:fldChar w:fldCharType="separate"/>
      </w:r>
      <w:r>
        <w:rPr>
          <w:rStyle w:val="18"/>
          <w:rFonts w:hint="eastAsia"/>
        </w:rPr>
        <w:t>第二部分</w:t>
      </w:r>
      <w:r>
        <w:rPr>
          <w:rStyle w:val="18"/>
        </w:rPr>
        <w:t xml:space="preserve"> </w:t>
      </w:r>
      <w:r>
        <w:rPr>
          <w:rStyle w:val="18"/>
          <w:rFonts w:hint="eastAsia"/>
          <w:lang w:val="en-US" w:eastAsia="zh-CN"/>
        </w:rPr>
        <w:t>2022年度</w:t>
      </w:r>
      <w:r>
        <w:rPr>
          <w:rStyle w:val="18"/>
          <w:rFonts w:hint="eastAsia"/>
        </w:rPr>
        <w:t>部门决算情况说明</w:t>
      </w:r>
      <w:r>
        <w:tab/>
      </w:r>
      <w:r>
        <w:rPr>
          <w:rFonts w:hint="eastAsia"/>
          <w:lang w:val="en-US" w:eastAsia="zh-CN"/>
        </w:rPr>
        <w:t>8</w:t>
      </w:r>
      <w:r>
        <w:rPr>
          <w:rFonts w:hint="eastAsia"/>
        </w:rPr>
        <w:fldChar w:fldCharType="end"/>
      </w:r>
    </w:p>
    <w:p w14:paraId="1847F120">
      <w:pPr>
        <w:pStyle w:val="13"/>
        <w:rPr>
          <w:rFonts w:hint="eastAsia" w:eastAsia="仿宋" w:cstheme="minorBidi"/>
          <w:lang w:val="en-US" w:eastAsia="zh-CN"/>
        </w:rPr>
      </w:pPr>
      <w:r>
        <w:fldChar w:fldCharType="begin"/>
      </w:r>
      <w:r>
        <w:instrText xml:space="preserve"> HYPERLINK \l "_Toc15396603" </w:instrText>
      </w:r>
      <w:r>
        <w:fldChar w:fldCharType="separate"/>
      </w:r>
      <w:r>
        <w:rPr>
          <w:rStyle w:val="18"/>
          <w:rFonts w:hint="eastAsia"/>
        </w:rPr>
        <w:t>一、收入支出决算总体情况说明</w:t>
      </w:r>
      <w:r>
        <w:tab/>
      </w:r>
      <w:r>
        <w:rPr>
          <w:rFonts w:hint="eastAsia"/>
          <w:lang w:val="en-US" w:eastAsia="zh-CN"/>
        </w:rPr>
        <w:t>8</w:t>
      </w:r>
      <w:r>
        <w:rPr>
          <w:rFonts w:hint="eastAsia"/>
        </w:rPr>
        <w:fldChar w:fldCharType="end"/>
      </w:r>
    </w:p>
    <w:p w14:paraId="07B59A70">
      <w:pPr>
        <w:pStyle w:val="13"/>
        <w:rPr>
          <w:rFonts w:hint="eastAsia" w:eastAsia="仿宋" w:cstheme="minorBidi"/>
          <w:lang w:val="en-US" w:eastAsia="zh-CN"/>
        </w:rPr>
      </w:pPr>
      <w:r>
        <w:fldChar w:fldCharType="begin"/>
      </w:r>
      <w:r>
        <w:instrText xml:space="preserve"> HYPERLINK \l "_Toc15396604" </w:instrText>
      </w:r>
      <w:r>
        <w:fldChar w:fldCharType="separate"/>
      </w:r>
      <w:r>
        <w:rPr>
          <w:rStyle w:val="18"/>
          <w:rFonts w:hint="eastAsia"/>
        </w:rPr>
        <w:t>二、收入决算情况说明</w:t>
      </w:r>
      <w:r>
        <w:tab/>
      </w:r>
      <w:r>
        <w:rPr>
          <w:rFonts w:hint="eastAsia"/>
          <w:lang w:val="en-US" w:eastAsia="zh-CN"/>
        </w:rPr>
        <w:t>9</w:t>
      </w:r>
      <w:r>
        <w:rPr>
          <w:rFonts w:hint="eastAsia"/>
        </w:rPr>
        <w:fldChar w:fldCharType="end"/>
      </w:r>
    </w:p>
    <w:p w14:paraId="75812B7F">
      <w:pPr>
        <w:pStyle w:val="13"/>
        <w:rPr>
          <w:rFonts w:hint="eastAsia" w:eastAsia="仿宋" w:cstheme="minorBidi"/>
          <w:lang w:val="en-US" w:eastAsia="zh-CN"/>
        </w:rPr>
      </w:pPr>
      <w:r>
        <w:fldChar w:fldCharType="begin"/>
      </w:r>
      <w:r>
        <w:instrText xml:space="preserve"> HYPERLINK \l "_Toc15396605" </w:instrText>
      </w:r>
      <w:r>
        <w:fldChar w:fldCharType="separate"/>
      </w:r>
      <w:r>
        <w:rPr>
          <w:rStyle w:val="18"/>
          <w:rFonts w:hint="eastAsia"/>
        </w:rPr>
        <w:t>三、支出决算情况说明</w:t>
      </w:r>
      <w:r>
        <w:tab/>
      </w:r>
      <w:r>
        <w:rPr>
          <w:rFonts w:hint="eastAsia"/>
          <w:lang w:val="en-US" w:eastAsia="zh-CN"/>
        </w:rPr>
        <w:t>1</w:t>
      </w:r>
      <w:r>
        <w:rPr>
          <w:rFonts w:hint="eastAsia"/>
        </w:rPr>
        <w:fldChar w:fldCharType="end"/>
      </w:r>
      <w:r>
        <w:rPr>
          <w:rFonts w:hint="eastAsia"/>
          <w:lang w:val="en-US" w:eastAsia="zh-CN"/>
        </w:rPr>
        <w:t>0</w:t>
      </w:r>
    </w:p>
    <w:p w14:paraId="22223B83">
      <w:pPr>
        <w:pStyle w:val="13"/>
        <w:rPr>
          <w:rFonts w:hint="eastAsia" w:eastAsia="仿宋" w:cstheme="minorBidi"/>
          <w:lang w:val="en-US" w:eastAsia="zh-CN"/>
        </w:rPr>
      </w:pPr>
      <w:r>
        <w:fldChar w:fldCharType="begin"/>
      </w:r>
      <w:r>
        <w:instrText xml:space="preserve"> HYPERLINK \l "_Toc15396606" </w:instrText>
      </w:r>
      <w:r>
        <w:fldChar w:fldCharType="separate"/>
      </w:r>
      <w:r>
        <w:rPr>
          <w:rStyle w:val="18"/>
          <w:rFonts w:hint="eastAsia"/>
        </w:rPr>
        <w:t>四、财政拨款收入支出决算总体情况说明</w:t>
      </w:r>
      <w:r>
        <w:tab/>
      </w:r>
      <w:r>
        <w:rPr>
          <w:rFonts w:hint="eastAsia"/>
          <w:lang w:val="en-US" w:eastAsia="zh-CN"/>
        </w:rPr>
        <w:t>1</w:t>
      </w:r>
      <w:r>
        <w:rPr>
          <w:rFonts w:hint="eastAsia"/>
        </w:rPr>
        <w:fldChar w:fldCharType="end"/>
      </w:r>
      <w:r>
        <w:rPr>
          <w:rFonts w:hint="eastAsia"/>
          <w:lang w:val="en-US" w:eastAsia="zh-CN"/>
        </w:rPr>
        <w:t>1</w:t>
      </w:r>
    </w:p>
    <w:p w14:paraId="7112B26C">
      <w:pPr>
        <w:pStyle w:val="13"/>
        <w:rPr>
          <w:rFonts w:hint="eastAsia" w:eastAsia="仿宋" w:cstheme="minorBidi"/>
          <w:lang w:val="en-US" w:eastAsia="zh-CN"/>
        </w:rPr>
      </w:pPr>
      <w:r>
        <w:fldChar w:fldCharType="begin"/>
      </w:r>
      <w:r>
        <w:instrText xml:space="preserve"> HYPERLINK \l "_Toc15396607" </w:instrText>
      </w:r>
      <w:r>
        <w:fldChar w:fldCharType="separate"/>
      </w:r>
      <w:r>
        <w:rPr>
          <w:rStyle w:val="18"/>
          <w:rFonts w:hint="eastAsia"/>
        </w:rPr>
        <w:t>五、一般公共预算财政拨款支出决算情况说明</w:t>
      </w:r>
      <w:r>
        <w:tab/>
      </w:r>
      <w:r>
        <w:rPr>
          <w:rFonts w:hint="eastAsia"/>
          <w:lang w:val="en-US" w:eastAsia="zh-CN"/>
        </w:rPr>
        <w:t>1</w:t>
      </w:r>
      <w:r>
        <w:rPr>
          <w:rFonts w:hint="eastAsia"/>
        </w:rPr>
        <w:fldChar w:fldCharType="end"/>
      </w:r>
      <w:r>
        <w:rPr>
          <w:rFonts w:hint="eastAsia"/>
          <w:lang w:val="en-US" w:eastAsia="zh-CN"/>
        </w:rPr>
        <w:t>2</w:t>
      </w:r>
    </w:p>
    <w:p w14:paraId="3B65D6E9">
      <w:pPr>
        <w:pStyle w:val="13"/>
        <w:rPr>
          <w:rFonts w:hint="eastAsia" w:eastAsia="仿宋" w:cstheme="minorBidi"/>
          <w:lang w:val="en-US" w:eastAsia="zh-CN"/>
        </w:rPr>
      </w:pPr>
      <w:r>
        <w:fldChar w:fldCharType="begin"/>
      </w:r>
      <w:r>
        <w:instrText xml:space="preserve"> HYPERLINK \l "_Toc15396608" </w:instrText>
      </w:r>
      <w:r>
        <w:fldChar w:fldCharType="separate"/>
      </w:r>
      <w:r>
        <w:rPr>
          <w:rStyle w:val="18"/>
          <w:rFonts w:hint="eastAsia"/>
        </w:rPr>
        <w:t>六、一般公共预算财政拨款基本支出决算情况说明</w:t>
      </w:r>
      <w:r>
        <w:tab/>
      </w:r>
      <w:r>
        <w:rPr>
          <w:rFonts w:hint="eastAsia"/>
          <w:lang w:val="en-US" w:eastAsia="zh-CN"/>
        </w:rPr>
        <w:t>1</w:t>
      </w:r>
      <w:r>
        <w:rPr>
          <w:rFonts w:hint="eastAsia"/>
        </w:rPr>
        <w:fldChar w:fldCharType="end"/>
      </w:r>
      <w:r>
        <w:rPr>
          <w:rFonts w:hint="eastAsia"/>
          <w:lang w:val="en-US" w:eastAsia="zh-CN"/>
        </w:rPr>
        <w:t>5</w:t>
      </w:r>
    </w:p>
    <w:p w14:paraId="0F55AE67">
      <w:pPr>
        <w:pStyle w:val="13"/>
        <w:adjustRightInd w:val="0"/>
        <w:snapToGrid w:val="0"/>
        <w:spacing w:line="440" w:lineRule="exact"/>
        <w:jc w:val="left"/>
        <w:rPr>
          <w:rFonts w:hint="default" w:eastAsia="仿宋"/>
          <w:lang w:val="en-US" w:eastAsia="zh-CN"/>
        </w:rPr>
      </w:pPr>
      <w:r>
        <w:fldChar w:fldCharType="begin"/>
      </w:r>
      <w:r>
        <w:instrText xml:space="preserve"> HYPERLINK \l "_Toc15396609" </w:instrText>
      </w:r>
      <w:r>
        <w:fldChar w:fldCharType="separate"/>
      </w:r>
      <w:r>
        <w:rPr>
          <w:rStyle w:val="18"/>
          <w:rFonts w:hint="eastAsia"/>
        </w:rPr>
        <w:t>七、</w:t>
      </w:r>
      <w:r>
        <w:rPr>
          <w:rFonts w:hint="eastAsia"/>
          <w:sz w:val="24"/>
        </w:rPr>
        <w:t>一般公共预算财政拨款</w:t>
      </w:r>
      <w:r>
        <w:rPr>
          <w:rFonts w:hint="eastAsia"/>
          <w:sz w:val="24"/>
          <w:lang w:eastAsia="zh-CN"/>
        </w:rPr>
        <w:t>项目</w:t>
      </w:r>
      <w:r>
        <w:rPr>
          <w:rFonts w:hint="eastAsia"/>
          <w:sz w:val="24"/>
        </w:rPr>
        <w:t>支出决算情况说明</w:t>
      </w:r>
      <w:r>
        <w:tab/>
      </w:r>
      <w:r>
        <w:rPr>
          <w:rFonts w:hint="eastAsia"/>
          <w:lang w:val="en-US" w:eastAsia="zh-CN"/>
        </w:rPr>
        <w:t>16</w:t>
      </w:r>
    </w:p>
    <w:p w14:paraId="2264674F">
      <w:pPr>
        <w:pStyle w:val="13"/>
        <w:rPr>
          <w:rFonts w:hint="eastAsia" w:eastAsia="仿宋" w:cstheme="minorBidi"/>
          <w:lang w:val="en-US" w:eastAsia="zh-CN"/>
        </w:rPr>
      </w:pPr>
      <w:r>
        <w:rPr>
          <w:rStyle w:val="18"/>
          <w:rFonts w:hint="eastAsia"/>
          <w:lang w:eastAsia="zh-CN"/>
        </w:rPr>
        <w:t>八、财政拨款</w:t>
      </w:r>
      <w:r>
        <w:rPr>
          <w:rStyle w:val="18"/>
        </w:rPr>
        <w:t>“</w:t>
      </w:r>
      <w:r>
        <w:rPr>
          <w:rStyle w:val="18"/>
          <w:rFonts w:hint="eastAsia"/>
        </w:rPr>
        <w:t>三公”经费支出决算情况说明</w:t>
      </w:r>
      <w:r>
        <w:tab/>
      </w:r>
      <w:r>
        <w:rPr>
          <w:rFonts w:hint="eastAsia"/>
          <w:lang w:val="en-US" w:eastAsia="zh-CN"/>
        </w:rPr>
        <w:t>1</w:t>
      </w:r>
      <w:r>
        <w:rPr>
          <w:rFonts w:hint="eastAsia"/>
        </w:rPr>
        <w:fldChar w:fldCharType="end"/>
      </w:r>
      <w:r>
        <w:rPr>
          <w:rFonts w:hint="eastAsia"/>
          <w:lang w:val="en-US" w:eastAsia="zh-CN"/>
        </w:rPr>
        <w:t>7</w:t>
      </w:r>
    </w:p>
    <w:p w14:paraId="25E84226">
      <w:pPr>
        <w:pStyle w:val="13"/>
        <w:rPr>
          <w:rFonts w:hint="eastAsia" w:eastAsia="仿宋" w:cstheme="minorBidi"/>
          <w:lang w:val="en-US" w:eastAsia="zh-CN"/>
        </w:rPr>
      </w:pPr>
      <w:r>
        <w:fldChar w:fldCharType="begin"/>
      </w:r>
      <w:r>
        <w:instrText xml:space="preserve"> HYPERLINK \l "_Toc15396610" </w:instrText>
      </w:r>
      <w:r>
        <w:fldChar w:fldCharType="separate"/>
      </w:r>
      <w:r>
        <w:rPr>
          <w:rFonts w:hint="eastAsia"/>
          <w:lang w:eastAsia="zh-CN"/>
        </w:rPr>
        <w:t>九</w:t>
      </w:r>
      <w:r>
        <w:rPr>
          <w:rStyle w:val="18"/>
          <w:rFonts w:hint="eastAsia"/>
        </w:rPr>
        <w:t>、政府性基金预算支出决算情况说明</w:t>
      </w:r>
      <w:r>
        <w:tab/>
      </w:r>
      <w:r>
        <w:rPr>
          <w:rFonts w:hint="eastAsia"/>
          <w:lang w:val="en-US" w:eastAsia="zh-CN"/>
        </w:rPr>
        <w:t>2</w:t>
      </w:r>
      <w:r>
        <w:rPr>
          <w:rFonts w:hint="eastAsia"/>
        </w:rPr>
        <w:fldChar w:fldCharType="end"/>
      </w:r>
      <w:r>
        <w:rPr>
          <w:rFonts w:hint="eastAsia"/>
          <w:lang w:val="en-US" w:eastAsia="zh-CN"/>
        </w:rPr>
        <w:t>0</w:t>
      </w:r>
    </w:p>
    <w:p w14:paraId="6C9EFF88">
      <w:pPr>
        <w:pStyle w:val="13"/>
        <w:rPr>
          <w:rFonts w:hint="eastAsia" w:eastAsia="仿宋"/>
          <w:lang w:val="en-US" w:eastAsia="zh-CN"/>
        </w:rPr>
      </w:pPr>
      <w:r>
        <w:fldChar w:fldCharType="begin"/>
      </w:r>
      <w:r>
        <w:instrText xml:space="preserve"> HYPERLINK \l "_Toc15396611" </w:instrText>
      </w:r>
      <w:r>
        <w:fldChar w:fldCharType="separate"/>
      </w:r>
      <w:r>
        <w:rPr>
          <w:rFonts w:hint="eastAsia"/>
          <w:lang w:eastAsia="zh-CN"/>
        </w:rPr>
        <w:t>十</w:t>
      </w:r>
      <w:r>
        <w:rPr>
          <w:rStyle w:val="18"/>
          <w:rFonts w:hint="eastAsia"/>
        </w:rPr>
        <w:t>、 国有资本经营预算支出决算情况说明</w:t>
      </w:r>
      <w:r>
        <w:tab/>
      </w:r>
      <w:r>
        <w:rPr>
          <w:rFonts w:hint="eastAsia"/>
          <w:lang w:val="en-US" w:eastAsia="zh-CN"/>
        </w:rPr>
        <w:t>2</w:t>
      </w:r>
      <w:r>
        <w:rPr>
          <w:rFonts w:hint="eastAsia"/>
        </w:rPr>
        <w:fldChar w:fldCharType="end"/>
      </w:r>
      <w:r>
        <w:rPr>
          <w:rFonts w:hint="eastAsia"/>
          <w:lang w:val="en-US" w:eastAsia="zh-CN"/>
        </w:rPr>
        <w:t>0</w:t>
      </w:r>
    </w:p>
    <w:p w14:paraId="474989E5">
      <w:pPr>
        <w:pStyle w:val="13"/>
        <w:rPr>
          <w:rFonts w:hint="eastAsia" w:eastAsia="仿宋" w:cstheme="minorBidi"/>
          <w:lang w:val="en-US" w:eastAsia="zh-CN"/>
        </w:rPr>
      </w:pPr>
      <w:r>
        <w:fldChar w:fldCharType="begin"/>
      </w:r>
      <w:r>
        <w:instrText xml:space="preserve"> HYPERLINK \l "_Toc15396612" </w:instrText>
      </w:r>
      <w:r>
        <w:fldChar w:fldCharType="separate"/>
      </w:r>
      <w:r>
        <w:rPr>
          <w:rStyle w:val="18"/>
          <w:rFonts w:hint="eastAsia"/>
        </w:rPr>
        <w:t>十</w:t>
      </w:r>
      <w:r>
        <w:rPr>
          <w:rStyle w:val="18"/>
          <w:rFonts w:hint="eastAsia"/>
          <w:lang w:eastAsia="zh-CN"/>
        </w:rPr>
        <w:t>一</w:t>
      </w:r>
      <w:r>
        <w:rPr>
          <w:rStyle w:val="18"/>
          <w:rFonts w:hint="eastAsia"/>
        </w:rPr>
        <w:t>、其他重要事项的情况说明</w:t>
      </w:r>
      <w:r>
        <w:tab/>
      </w:r>
      <w:r>
        <w:rPr>
          <w:rFonts w:hint="eastAsia"/>
          <w:lang w:val="en-US" w:eastAsia="zh-CN"/>
        </w:rPr>
        <w:t>2</w:t>
      </w:r>
      <w:r>
        <w:rPr>
          <w:rFonts w:hint="eastAsia"/>
        </w:rPr>
        <w:fldChar w:fldCharType="end"/>
      </w:r>
      <w:r>
        <w:rPr>
          <w:rFonts w:hint="eastAsia"/>
          <w:lang w:val="en-US" w:eastAsia="zh-CN"/>
        </w:rPr>
        <w:t>0</w:t>
      </w:r>
    </w:p>
    <w:p w14:paraId="1E88CE29">
      <w:pPr>
        <w:pStyle w:val="12"/>
        <w:rPr>
          <w:rFonts w:hint="eastAsia" w:eastAsia="仿宋" w:cstheme="minorBidi"/>
          <w:lang w:val="en-US" w:eastAsia="zh-CN"/>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rPr>
          <w:rFonts w:hint="eastAsia"/>
          <w:lang w:val="en-US" w:eastAsia="zh-CN"/>
        </w:rPr>
        <w:t>2</w:t>
      </w:r>
      <w:r>
        <w:rPr>
          <w:rFonts w:hint="eastAsia"/>
        </w:rPr>
        <w:fldChar w:fldCharType="end"/>
      </w:r>
      <w:r>
        <w:rPr>
          <w:rFonts w:hint="eastAsia"/>
          <w:lang w:val="en-US" w:eastAsia="zh-CN"/>
        </w:rPr>
        <w:t>3</w:t>
      </w:r>
    </w:p>
    <w:p w14:paraId="01BD1ED8">
      <w:pPr>
        <w:pStyle w:val="12"/>
        <w:rPr>
          <w:rFonts w:hint="eastAsia" w:eastAsia="仿宋" w:cstheme="minorBidi"/>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2</w:t>
      </w:r>
      <w:r>
        <w:rPr>
          <w:rFonts w:hint="eastAsia"/>
        </w:rPr>
        <w:fldChar w:fldCharType="end"/>
      </w:r>
      <w:r>
        <w:rPr>
          <w:rFonts w:hint="eastAsia"/>
          <w:lang w:val="en-US" w:eastAsia="zh-CN"/>
        </w:rPr>
        <w:t>5</w:t>
      </w:r>
    </w:p>
    <w:p w14:paraId="5F587ED7">
      <w:pPr>
        <w:pStyle w:val="12"/>
        <w:ind w:firstLine="560" w:firstLineChars="200"/>
        <w:jc w:val="both"/>
        <w:rPr>
          <w:rFonts w:hint="default" w:eastAsia="仿宋"/>
          <w:lang w:val="en-US" w:eastAsia="zh-CN"/>
        </w:rPr>
      </w:pPr>
      <w:r>
        <w:rPr>
          <w:rFonts w:hint="eastAsia"/>
          <w:lang w:eastAsia="zh-CN"/>
        </w:rPr>
        <w:t>附件</w:t>
      </w:r>
      <w:r>
        <w:rPr>
          <w:rFonts w:hint="eastAsia"/>
          <w:lang w:val="en-US" w:eastAsia="zh-CN"/>
        </w:rPr>
        <w:t>1</w:t>
      </w:r>
      <w:r>
        <w:tab/>
      </w:r>
      <w:r>
        <w:rPr>
          <w:rFonts w:hint="eastAsia"/>
          <w:lang w:val="en-US" w:eastAsia="zh-CN"/>
        </w:rPr>
        <w:t>25</w:t>
      </w:r>
    </w:p>
    <w:p w14:paraId="1EDA0B94">
      <w:pPr>
        <w:pStyle w:val="12"/>
        <w:ind w:firstLine="560" w:firstLineChars="200"/>
        <w:jc w:val="both"/>
        <w:rPr>
          <w:rFonts w:hint="eastAsia"/>
          <w:lang w:val="en-US" w:eastAsia="zh-CN"/>
        </w:rPr>
      </w:pPr>
      <w:r>
        <w:rPr>
          <w:rFonts w:hint="eastAsia"/>
          <w:lang w:eastAsia="zh-CN"/>
        </w:rPr>
        <w:t>附件</w:t>
      </w:r>
      <w:r>
        <w:rPr>
          <w:rFonts w:hint="eastAsia"/>
          <w:lang w:val="en-US" w:eastAsia="zh-CN"/>
        </w:rPr>
        <w:t>2</w:t>
      </w:r>
      <w:r>
        <w:tab/>
      </w:r>
      <w:r>
        <w:rPr>
          <w:rFonts w:hint="eastAsia"/>
          <w:lang w:val="en-US" w:eastAsia="zh-CN"/>
        </w:rPr>
        <w:t>39</w:t>
      </w:r>
    </w:p>
    <w:p w14:paraId="17027AD6">
      <w:pPr>
        <w:pStyle w:val="12"/>
        <w:ind w:firstLine="560" w:firstLineChars="200"/>
        <w:jc w:val="both"/>
        <w:rPr>
          <w:rFonts w:hint="eastAsia" w:ascii="仿宋" w:hAnsi="仿宋" w:eastAsia="仿宋" w:cs="仿宋"/>
          <w:sz w:val="28"/>
          <w:szCs w:val="28"/>
          <w:lang w:val="en-US" w:eastAsia="zh-CN"/>
        </w:rPr>
      </w:pPr>
      <w:r>
        <w:rPr>
          <w:rFonts w:hint="eastAsia"/>
          <w:lang w:eastAsia="zh-CN"/>
        </w:rPr>
        <w:t>附件</w:t>
      </w:r>
      <w:r>
        <w:rPr>
          <w:rFonts w:hint="eastAsia"/>
          <w:lang w:val="en-US" w:eastAsia="zh-CN"/>
        </w:rPr>
        <w:t>3</w:t>
      </w:r>
      <w:r>
        <w:tab/>
      </w:r>
      <w:r>
        <w:rPr>
          <w:rFonts w:hint="eastAsia"/>
          <w:lang w:val="en-US" w:eastAsia="zh-CN"/>
        </w:rPr>
        <w:t>45</w:t>
      </w:r>
    </w:p>
    <w:p w14:paraId="7E7DCE1D">
      <w:pPr>
        <w:pStyle w:val="12"/>
        <w:rPr>
          <w:rFonts w:hint="default" w:eastAsia="仿宋"/>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5</w:t>
      </w:r>
      <w:r>
        <w:rPr>
          <w:rFonts w:hint="eastAsia"/>
        </w:rPr>
        <w:fldChar w:fldCharType="end"/>
      </w:r>
      <w:r>
        <w:rPr>
          <w:rFonts w:hint="eastAsia"/>
          <w:lang w:val="en-US" w:eastAsia="zh-CN"/>
        </w:rPr>
        <w:t>1</w:t>
      </w:r>
    </w:p>
    <w:p w14:paraId="3F894BFA"/>
    <w:p w14:paraId="68287850">
      <w:pPr>
        <w:pStyle w:val="13"/>
        <w:rPr>
          <w:rFonts w:hint="default" w:eastAsia="仿宋" w:cstheme="minorBidi"/>
          <w:lang w:val="en-US" w:eastAsia="zh-CN"/>
        </w:rPr>
      </w:pPr>
      <w:r>
        <w:rPr>
          <w:rFonts w:hint="eastAsia"/>
        </w:rPr>
        <w:t>一、</w:t>
      </w:r>
      <w:r>
        <w:fldChar w:fldCharType="begin"/>
      </w:r>
      <w:r>
        <w:instrText xml:space="preserve"> HYPERLINK \l "_Toc15396619" </w:instrText>
      </w:r>
      <w:r>
        <w:fldChar w:fldCharType="separate"/>
      </w:r>
      <w:r>
        <w:rPr>
          <w:rStyle w:val="18"/>
          <w:rFonts w:hint="eastAsia"/>
        </w:rPr>
        <w:t>收入支出决算总表</w:t>
      </w:r>
      <w:r>
        <w:tab/>
      </w:r>
      <w:r>
        <w:rPr>
          <w:rFonts w:hint="eastAsia"/>
          <w:lang w:val="en-US" w:eastAsia="zh-CN"/>
        </w:rPr>
        <w:t>5</w:t>
      </w:r>
      <w:r>
        <w:rPr>
          <w:rFonts w:hint="eastAsia"/>
        </w:rPr>
        <w:fldChar w:fldCharType="end"/>
      </w:r>
      <w:r>
        <w:rPr>
          <w:rFonts w:hint="eastAsia"/>
          <w:lang w:val="en-US" w:eastAsia="zh-CN"/>
        </w:rPr>
        <w:t>1</w:t>
      </w:r>
    </w:p>
    <w:p w14:paraId="37A23DE6">
      <w:pPr>
        <w:pStyle w:val="13"/>
        <w:rPr>
          <w:rFonts w:hint="default" w:eastAsia="仿宋" w:cstheme="minorBidi"/>
          <w:lang w:val="en-US" w:eastAsia="zh-CN"/>
        </w:rPr>
      </w:pPr>
      <w:r>
        <w:rPr>
          <w:rFonts w:hint="eastAsia"/>
        </w:rPr>
        <w:t>二、</w:t>
      </w:r>
      <w:r>
        <w:fldChar w:fldCharType="begin"/>
      </w:r>
      <w:r>
        <w:instrText xml:space="preserve"> HYPERLINK \l "_Toc15396620" </w:instrText>
      </w:r>
      <w:r>
        <w:fldChar w:fldCharType="separate"/>
      </w:r>
      <w:r>
        <w:rPr>
          <w:rStyle w:val="18"/>
          <w:rFonts w:hint="eastAsia"/>
        </w:rPr>
        <w:t>收入决算表</w:t>
      </w:r>
      <w:r>
        <w:tab/>
      </w:r>
      <w:r>
        <w:rPr>
          <w:rFonts w:hint="eastAsia"/>
          <w:lang w:val="en-US" w:eastAsia="zh-CN"/>
        </w:rPr>
        <w:t>5</w:t>
      </w:r>
      <w:r>
        <w:rPr>
          <w:rFonts w:hint="eastAsia"/>
        </w:rPr>
        <w:fldChar w:fldCharType="end"/>
      </w:r>
      <w:r>
        <w:rPr>
          <w:rFonts w:hint="eastAsia"/>
          <w:lang w:val="en-US" w:eastAsia="zh-CN"/>
        </w:rPr>
        <w:t>2</w:t>
      </w:r>
    </w:p>
    <w:p w14:paraId="12311AC9">
      <w:pPr>
        <w:pStyle w:val="13"/>
        <w:rPr>
          <w:rFonts w:hint="default" w:eastAsia="仿宋" w:cstheme="minorBidi"/>
          <w:lang w:val="en-US" w:eastAsia="zh-CN"/>
        </w:rPr>
      </w:pPr>
      <w:r>
        <w:rPr>
          <w:rFonts w:hint="eastAsia"/>
        </w:rPr>
        <w:t>三、</w:t>
      </w:r>
      <w:r>
        <w:fldChar w:fldCharType="begin"/>
      </w:r>
      <w:r>
        <w:instrText xml:space="preserve"> HYPERLINK \l "_Toc15396621" </w:instrText>
      </w:r>
      <w:r>
        <w:fldChar w:fldCharType="separate"/>
      </w:r>
      <w:r>
        <w:rPr>
          <w:rStyle w:val="18"/>
          <w:rFonts w:hint="eastAsia"/>
        </w:rPr>
        <w:t>支出决算表</w:t>
      </w:r>
      <w:r>
        <w:tab/>
      </w:r>
      <w:r>
        <w:rPr>
          <w:rFonts w:hint="eastAsia"/>
          <w:lang w:val="en-US" w:eastAsia="zh-CN"/>
        </w:rPr>
        <w:t>5</w:t>
      </w:r>
      <w:r>
        <w:rPr>
          <w:rFonts w:hint="eastAsia"/>
        </w:rPr>
        <w:fldChar w:fldCharType="end"/>
      </w:r>
      <w:r>
        <w:rPr>
          <w:rFonts w:hint="eastAsia"/>
          <w:lang w:val="en-US" w:eastAsia="zh-CN"/>
        </w:rPr>
        <w:t>2</w:t>
      </w:r>
    </w:p>
    <w:p w14:paraId="7F0C2703">
      <w:pPr>
        <w:pStyle w:val="13"/>
        <w:rPr>
          <w:rFonts w:hint="default" w:eastAsia="仿宋" w:cstheme="minorBidi"/>
          <w:lang w:val="en-US" w:eastAsia="zh-CN"/>
        </w:rPr>
      </w:pPr>
      <w:r>
        <w:rPr>
          <w:rFonts w:hint="eastAsia"/>
        </w:rPr>
        <w:t>四、</w:t>
      </w:r>
      <w:r>
        <w:fldChar w:fldCharType="begin"/>
      </w:r>
      <w:r>
        <w:instrText xml:space="preserve"> HYPERLINK \l "_Toc15396622" </w:instrText>
      </w:r>
      <w:r>
        <w:fldChar w:fldCharType="separate"/>
      </w:r>
      <w:r>
        <w:rPr>
          <w:rStyle w:val="18"/>
          <w:rFonts w:hint="eastAsia"/>
        </w:rPr>
        <w:t>财政拨款收入支出决算总表</w:t>
      </w:r>
      <w:r>
        <w:tab/>
      </w:r>
      <w:r>
        <w:rPr>
          <w:rFonts w:hint="eastAsia"/>
          <w:lang w:val="en-US" w:eastAsia="zh-CN"/>
        </w:rPr>
        <w:t>5</w:t>
      </w:r>
      <w:r>
        <w:rPr>
          <w:rFonts w:hint="eastAsia"/>
        </w:rPr>
        <w:fldChar w:fldCharType="end"/>
      </w:r>
      <w:r>
        <w:rPr>
          <w:rFonts w:hint="eastAsia"/>
          <w:lang w:val="en-US" w:eastAsia="zh-CN"/>
        </w:rPr>
        <w:t>2</w:t>
      </w:r>
    </w:p>
    <w:p w14:paraId="33F195AD">
      <w:pPr>
        <w:pStyle w:val="13"/>
        <w:rPr>
          <w:rFonts w:hint="eastAsia"/>
          <w:lang w:val="en-US" w:eastAsia="zh-CN"/>
        </w:rPr>
      </w:pPr>
      <w:r>
        <w:rPr>
          <w:rFonts w:hint="eastAsia"/>
        </w:rPr>
        <w:t>五、</w:t>
      </w:r>
      <w:r>
        <w:fldChar w:fldCharType="begin"/>
      </w:r>
      <w:r>
        <w:instrText xml:space="preserve"> HYPERLINK \l "_Toc15396623" </w:instrText>
      </w:r>
      <w:r>
        <w:fldChar w:fldCharType="separate"/>
      </w:r>
      <w:r>
        <w:rPr>
          <w:rFonts w:hint="eastAsia"/>
        </w:rPr>
        <w:t>财政拨款支出决算明细表</w:t>
      </w:r>
      <w:r>
        <w:tab/>
      </w:r>
      <w:r>
        <w:rPr>
          <w:rFonts w:hint="eastAsia"/>
          <w:lang w:val="en-US" w:eastAsia="zh-CN"/>
        </w:rPr>
        <w:t>5</w:t>
      </w:r>
      <w:r>
        <w:rPr>
          <w:rFonts w:hint="eastAsia"/>
        </w:rPr>
        <w:fldChar w:fldCharType="end"/>
      </w:r>
      <w:r>
        <w:rPr>
          <w:rFonts w:hint="eastAsia"/>
          <w:lang w:val="en-US" w:eastAsia="zh-CN"/>
        </w:rPr>
        <w:t>2</w:t>
      </w:r>
    </w:p>
    <w:p w14:paraId="1EE6D5A9">
      <w:pPr>
        <w:pStyle w:val="13"/>
        <w:rPr>
          <w:rFonts w:hint="default" w:eastAsia="仿宋" w:cstheme="minorBidi"/>
          <w:lang w:val="en-US" w:eastAsia="zh-CN"/>
        </w:rPr>
      </w:pPr>
      <w:r>
        <w:rPr>
          <w:rFonts w:hint="eastAsia"/>
        </w:rPr>
        <w:t>六、</w:t>
      </w:r>
      <w:r>
        <w:fldChar w:fldCharType="begin"/>
      </w:r>
      <w:r>
        <w:instrText xml:space="preserve"> HYPERLINK \l "_Toc15396624" </w:instrText>
      </w:r>
      <w:r>
        <w:fldChar w:fldCharType="separate"/>
      </w:r>
      <w:r>
        <w:rPr>
          <w:rStyle w:val="18"/>
          <w:rFonts w:hint="eastAsia"/>
        </w:rPr>
        <w:t>一般公共预算财政拨款支出决算表</w:t>
      </w:r>
      <w:r>
        <w:tab/>
      </w:r>
      <w:r>
        <w:rPr>
          <w:rFonts w:hint="eastAsia"/>
          <w:lang w:val="en-US" w:eastAsia="zh-CN"/>
        </w:rPr>
        <w:t>5</w:t>
      </w:r>
      <w:r>
        <w:rPr>
          <w:rFonts w:hint="eastAsia"/>
        </w:rPr>
        <w:fldChar w:fldCharType="end"/>
      </w:r>
      <w:r>
        <w:rPr>
          <w:rFonts w:hint="eastAsia"/>
          <w:lang w:val="en-US" w:eastAsia="zh-CN"/>
        </w:rPr>
        <w:t>2</w:t>
      </w:r>
    </w:p>
    <w:p w14:paraId="26025B82">
      <w:pPr>
        <w:pStyle w:val="13"/>
        <w:rPr>
          <w:rFonts w:hint="default" w:eastAsia="仿宋" w:cstheme="minorBidi"/>
          <w:lang w:val="en-US" w:eastAsia="zh-CN"/>
        </w:rPr>
      </w:pPr>
      <w:r>
        <w:rPr>
          <w:rFonts w:hint="eastAsia"/>
        </w:rPr>
        <w:t>七、</w:t>
      </w:r>
      <w:r>
        <w:fldChar w:fldCharType="begin"/>
      </w:r>
      <w:r>
        <w:instrText xml:space="preserve"> HYPERLINK \l "_Toc15396625" </w:instrText>
      </w:r>
      <w:r>
        <w:fldChar w:fldCharType="separate"/>
      </w:r>
      <w:r>
        <w:rPr>
          <w:rStyle w:val="18"/>
          <w:rFonts w:hint="eastAsia"/>
        </w:rPr>
        <w:t>一般公共预算财政拨款支出决算明细表</w:t>
      </w:r>
      <w:r>
        <w:tab/>
      </w:r>
      <w:r>
        <w:rPr>
          <w:rFonts w:hint="eastAsia"/>
          <w:lang w:val="en-US" w:eastAsia="zh-CN"/>
        </w:rPr>
        <w:t>5</w:t>
      </w:r>
      <w:r>
        <w:rPr>
          <w:rFonts w:hint="eastAsia"/>
        </w:rPr>
        <w:fldChar w:fldCharType="end"/>
      </w:r>
      <w:r>
        <w:rPr>
          <w:rFonts w:hint="eastAsia"/>
          <w:lang w:val="en-US" w:eastAsia="zh-CN"/>
        </w:rPr>
        <w:t>2</w:t>
      </w:r>
    </w:p>
    <w:p w14:paraId="051E73C1">
      <w:pPr>
        <w:pStyle w:val="13"/>
        <w:rPr>
          <w:rFonts w:hint="default" w:eastAsia="仿宋" w:cstheme="minorBidi"/>
          <w:lang w:val="en-US" w:eastAsia="zh-CN"/>
        </w:rPr>
      </w:pPr>
      <w:r>
        <w:rPr>
          <w:rFonts w:hint="eastAsia"/>
        </w:rPr>
        <w:t>八、</w:t>
      </w:r>
      <w:r>
        <w:fldChar w:fldCharType="begin"/>
      </w:r>
      <w:r>
        <w:instrText xml:space="preserve"> HYPERLINK \l "_Toc15396626" </w:instrText>
      </w:r>
      <w:r>
        <w:fldChar w:fldCharType="separate"/>
      </w:r>
      <w:r>
        <w:rPr>
          <w:rStyle w:val="18"/>
          <w:rFonts w:hint="eastAsia"/>
        </w:rPr>
        <w:t>一般公共预算财政拨款基本支出决算</w:t>
      </w:r>
      <w:r>
        <w:rPr>
          <w:rStyle w:val="18"/>
          <w:rFonts w:hint="eastAsia"/>
          <w:lang w:eastAsia="zh-CN"/>
        </w:rPr>
        <w:t>明细</w:t>
      </w:r>
      <w:r>
        <w:rPr>
          <w:rStyle w:val="18"/>
          <w:rFonts w:hint="eastAsia"/>
        </w:rPr>
        <w:t>表</w:t>
      </w:r>
      <w:r>
        <w:tab/>
      </w:r>
      <w:r>
        <w:rPr>
          <w:rFonts w:hint="eastAsia"/>
          <w:lang w:val="en-US" w:eastAsia="zh-CN"/>
        </w:rPr>
        <w:t>5</w:t>
      </w:r>
      <w:r>
        <w:rPr>
          <w:rFonts w:hint="eastAsia"/>
        </w:rPr>
        <w:fldChar w:fldCharType="end"/>
      </w:r>
      <w:r>
        <w:rPr>
          <w:rFonts w:hint="eastAsia"/>
          <w:lang w:val="en-US" w:eastAsia="zh-CN"/>
        </w:rPr>
        <w:t>2</w:t>
      </w:r>
    </w:p>
    <w:p w14:paraId="1F0EAEB7">
      <w:pPr>
        <w:pStyle w:val="13"/>
        <w:rPr>
          <w:rFonts w:hint="default" w:eastAsia="仿宋" w:cstheme="minorBidi"/>
          <w:lang w:val="en-US" w:eastAsia="zh-CN"/>
        </w:rPr>
      </w:pPr>
      <w:r>
        <w:rPr>
          <w:rFonts w:hint="eastAsia"/>
        </w:rPr>
        <w:t>九、</w:t>
      </w:r>
      <w:r>
        <w:fldChar w:fldCharType="begin"/>
      </w:r>
      <w:r>
        <w:instrText xml:space="preserve"> HYPERLINK \l "_Toc15396627" </w:instrText>
      </w:r>
      <w:r>
        <w:fldChar w:fldCharType="separate"/>
      </w:r>
      <w:r>
        <w:rPr>
          <w:rStyle w:val="18"/>
          <w:rFonts w:hint="eastAsia"/>
        </w:rPr>
        <w:t>一般公共预算财政拨款项目支出决算表</w:t>
      </w:r>
      <w:r>
        <w:tab/>
      </w:r>
      <w:r>
        <w:rPr>
          <w:rFonts w:hint="eastAsia"/>
          <w:lang w:val="en-US" w:eastAsia="zh-CN"/>
        </w:rPr>
        <w:t>5</w:t>
      </w:r>
      <w:r>
        <w:rPr>
          <w:rFonts w:hint="eastAsia"/>
        </w:rPr>
        <w:fldChar w:fldCharType="end"/>
      </w:r>
      <w:r>
        <w:rPr>
          <w:rFonts w:hint="eastAsia"/>
          <w:lang w:val="en-US" w:eastAsia="zh-CN"/>
        </w:rPr>
        <w:t>2</w:t>
      </w:r>
    </w:p>
    <w:p w14:paraId="063A9826">
      <w:pPr>
        <w:pStyle w:val="13"/>
        <w:rPr>
          <w:rFonts w:hint="default" w:eastAsia="仿宋" w:cstheme="minorBidi"/>
          <w:lang w:val="en-US" w:eastAsia="zh-CN"/>
        </w:rPr>
      </w:pPr>
      <w:r>
        <w:rPr>
          <w:rFonts w:hint="eastAsia"/>
        </w:rPr>
        <w:t>十、</w:t>
      </w:r>
      <w:r>
        <w:fldChar w:fldCharType="begin"/>
      </w:r>
      <w:r>
        <w:instrText xml:space="preserve"> HYPERLINK \l "_Toc15396628" </w:instrText>
      </w:r>
      <w:r>
        <w:fldChar w:fldCharType="separate"/>
      </w:r>
      <w:r>
        <w:rPr>
          <w:rFonts w:hint="eastAsia"/>
          <w:lang w:eastAsia="zh-CN"/>
        </w:rPr>
        <w:t>政府性基金预算财政拨款收入</w:t>
      </w:r>
      <w:r>
        <w:rPr>
          <w:rStyle w:val="18"/>
          <w:rFonts w:hint="eastAsia"/>
        </w:rPr>
        <w:t>支出决算表</w:t>
      </w:r>
      <w:r>
        <w:tab/>
      </w:r>
      <w:r>
        <w:rPr>
          <w:rFonts w:hint="eastAsia"/>
          <w:lang w:val="en-US" w:eastAsia="zh-CN"/>
        </w:rPr>
        <w:t>5</w:t>
      </w:r>
      <w:r>
        <w:rPr>
          <w:rFonts w:hint="eastAsia"/>
        </w:rPr>
        <w:fldChar w:fldCharType="end"/>
      </w:r>
      <w:r>
        <w:rPr>
          <w:rFonts w:hint="eastAsia"/>
          <w:lang w:val="en-US" w:eastAsia="zh-CN"/>
        </w:rPr>
        <w:t>2</w:t>
      </w:r>
    </w:p>
    <w:p w14:paraId="4B0E12AE">
      <w:pPr>
        <w:pStyle w:val="13"/>
        <w:rPr>
          <w:rFonts w:hint="default" w:eastAsia="仿宋" w:cstheme="minorBidi"/>
          <w:lang w:val="en-US" w:eastAsia="zh-CN"/>
        </w:rPr>
      </w:pPr>
      <w:r>
        <w:rPr>
          <w:rFonts w:hint="eastAsia"/>
        </w:rPr>
        <w:t>十一、</w:t>
      </w:r>
      <w:r>
        <w:fldChar w:fldCharType="begin"/>
      </w:r>
      <w:r>
        <w:instrText xml:space="preserve"> HYPERLINK \l "_Toc15396629" </w:instrText>
      </w:r>
      <w:r>
        <w:fldChar w:fldCharType="separate"/>
      </w:r>
      <w:r>
        <w:rPr>
          <w:rFonts w:hint="eastAsia"/>
          <w:lang w:eastAsia="zh-CN"/>
        </w:rPr>
        <w:t>国有资本经营</w:t>
      </w:r>
      <w:r>
        <w:rPr>
          <w:rStyle w:val="18"/>
          <w:rFonts w:hint="eastAsia"/>
        </w:rPr>
        <w:t>预算财政拨款收入支出决算表</w:t>
      </w:r>
      <w:r>
        <w:tab/>
      </w:r>
      <w:r>
        <w:rPr>
          <w:rFonts w:hint="eastAsia"/>
          <w:lang w:val="en-US" w:eastAsia="zh-CN"/>
        </w:rPr>
        <w:t>5</w:t>
      </w:r>
      <w:r>
        <w:rPr>
          <w:rFonts w:hint="eastAsia"/>
        </w:rPr>
        <w:fldChar w:fldCharType="end"/>
      </w:r>
      <w:r>
        <w:rPr>
          <w:rFonts w:hint="eastAsia"/>
          <w:lang w:val="en-US" w:eastAsia="zh-CN"/>
        </w:rPr>
        <w:t>2</w:t>
      </w:r>
    </w:p>
    <w:p w14:paraId="58BB0CF2">
      <w:pPr>
        <w:pStyle w:val="13"/>
        <w:rPr>
          <w:rFonts w:hint="default" w:eastAsia="仿宋" w:cstheme="minorBidi"/>
          <w:lang w:val="en-US" w:eastAsia="zh-CN"/>
        </w:rPr>
      </w:pPr>
      <w:r>
        <w:rPr>
          <w:rFonts w:hint="eastAsia"/>
        </w:rPr>
        <w:t>十二、</w:t>
      </w:r>
      <w:r>
        <w:fldChar w:fldCharType="begin"/>
      </w:r>
      <w:r>
        <w:instrText xml:space="preserve"> HYPERLINK \l "_Toc15396630" </w:instrText>
      </w:r>
      <w:r>
        <w:fldChar w:fldCharType="separate"/>
      </w:r>
      <w:r>
        <w:rPr>
          <w:rFonts w:hint="eastAsia"/>
          <w:lang w:eastAsia="zh-CN"/>
        </w:rPr>
        <w:t>国有资本经营预算财政拨款</w:t>
      </w:r>
      <w:r>
        <w:rPr>
          <w:rStyle w:val="18"/>
          <w:rFonts w:hint="eastAsia"/>
        </w:rPr>
        <w:t>支出决算表</w:t>
      </w:r>
      <w:r>
        <w:tab/>
      </w:r>
      <w:r>
        <w:rPr>
          <w:rFonts w:hint="eastAsia"/>
          <w:lang w:val="en-US" w:eastAsia="zh-CN"/>
        </w:rPr>
        <w:t>5</w:t>
      </w:r>
      <w:r>
        <w:rPr>
          <w:rFonts w:hint="eastAsia"/>
        </w:rPr>
        <w:fldChar w:fldCharType="end"/>
      </w:r>
      <w:r>
        <w:rPr>
          <w:rFonts w:hint="eastAsia"/>
          <w:lang w:val="en-US" w:eastAsia="zh-CN"/>
        </w:rPr>
        <w:t>2</w:t>
      </w:r>
    </w:p>
    <w:p w14:paraId="0E874318">
      <w:pPr>
        <w:pStyle w:val="13"/>
        <w:rPr>
          <w:rFonts w:hint="default" w:eastAsia="仿宋"/>
          <w:lang w:val="en-US" w:eastAsia="zh-CN"/>
        </w:rPr>
      </w:pPr>
      <w:r>
        <w:rPr>
          <w:rFonts w:hint="eastAsia"/>
          <w:lang w:eastAsia="zh-CN"/>
        </w:rPr>
        <w:t>十三、财政拨款“三公”经费支出决算表</w:t>
      </w:r>
      <w:r>
        <w:tab/>
      </w:r>
      <w:r>
        <w:rPr>
          <w:rFonts w:hint="eastAsia"/>
          <w:lang w:val="en-US" w:eastAsia="zh-CN"/>
        </w:rPr>
        <w:t>52</w:t>
      </w:r>
    </w:p>
    <w:p w14:paraId="205243CE"/>
    <w:p w14:paraId="1888C819">
      <w:pPr>
        <w:widowControl/>
        <w:jc w:val="left"/>
        <w:rPr>
          <w:rFonts w:ascii="仿宋" w:hAnsi="仿宋" w:eastAsia="仿宋"/>
          <w:color w:val="000000"/>
          <w:sz w:val="24"/>
        </w:rPr>
      </w:pPr>
      <w:r>
        <w:rPr>
          <w:rFonts w:ascii="仿宋" w:hAnsi="仿宋" w:eastAsia="仿宋"/>
          <w:color w:val="000000"/>
          <w:sz w:val="24"/>
        </w:rPr>
        <w:fldChar w:fldCharType="end"/>
      </w:r>
    </w:p>
    <w:p w14:paraId="4AF94FBE">
      <w:pPr>
        <w:widowControl/>
        <w:jc w:val="left"/>
        <w:rPr>
          <w:rFonts w:ascii="黑体" w:hAnsi="黑体" w:eastAsia="黑体"/>
          <w:bCs/>
          <w:kern w:val="44"/>
          <w:sz w:val="44"/>
          <w:szCs w:val="44"/>
        </w:rPr>
      </w:pPr>
      <w:bookmarkStart w:id="7" w:name="_Toc15396599"/>
      <w:bookmarkStart w:id="8" w:name="_Toc15377196"/>
      <w:r>
        <w:rPr>
          <w:rFonts w:ascii="黑体" w:hAnsi="黑体" w:eastAsia="黑体"/>
          <w:b/>
        </w:rPr>
        <w:br w:type="page"/>
      </w:r>
    </w:p>
    <w:p w14:paraId="43896BE0">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7"/>
      <w:bookmarkEnd w:id="8"/>
    </w:p>
    <w:p w14:paraId="31836CB6">
      <w:pPr>
        <w:widowControl/>
        <w:jc w:val="left"/>
        <w:rPr>
          <w:rFonts w:ascii="黑体" w:eastAsia="黑体"/>
          <w:color w:val="000000"/>
          <w:sz w:val="32"/>
          <w:szCs w:val="32"/>
        </w:rPr>
      </w:pPr>
    </w:p>
    <w:p w14:paraId="0183B7BE">
      <w:pPr>
        <w:pStyle w:val="4"/>
        <w:rPr>
          <w:rStyle w:val="28"/>
          <w:rFonts w:ascii="仿宋" w:hAnsi="仿宋" w:eastAsia="仿宋"/>
          <w:b w:val="0"/>
          <w:bCs w:val="0"/>
        </w:rPr>
      </w:pPr>
      <w:bookmarkStart w:id="9" w:name="_Toc15396600"/>
      <w:bookmarkStart w:id="10"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9"/>
      <w:bookmarkEnd w:id="10"/>
    </w:p>
    <w:p w14:paraId="4D6D35D3">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1" w:name="_Toc15378445"/>
      <w:bookmarkStart w:id="12" w:name="_Toc15377198"/>
      <w:r>
        <w:rPr>
          <w:rFonts w:hint="eastAsia" w:ascii="仿宋" w:hAnsi="仿宋" w:eastAsia="仿宋"/>
          <w:bCs/>
          <w:color w:val="000000"/>
          <w:sz w:val="32"/>
          <w:szCs w:val="32"/>
        </w:rPr>
        <w:t>（一）主要职能。</w:t>
      </w:r>
      <w:bookmarkEnd w:id="11"/>
      <w:bookmarkEnd w:id="12"/>
    </w:p>
    <w:p w14:paraId="07CC2BEA">
      <w:pPr>
        <w:autoSpaceDE w:val="0"/>
        <w:autoSpaceDN w:val="0"/>
        <w:adjustRightInd w:val="0"/>
        <w:ind w:firstLine="600" w:firstLineChars="200"/>
        <w:jc w:val="left"/>
        <w:rPr>
          <w:rFonts w:ascii="仿宋_GB2312" w:eastAsia="仿宋_GB2312" w:cs="黑体"/>
          <w:kern w:val="0"/>
          <w:sz w:val="30"/>
          <w:szCs w:val="30"/>
        </w:rPr>
      </w:pPr>
      <w:r>
        <w:rPr>
          <w:rFonts w:hint="eastAsia" w:ascii="仿宋_GB2312" w:eastAsia="仿宋_GB2312" w:cs="黑体"/>
          <w:kern w:val="0"/>
          <w:sz w:val="30"/>
          <w:szCs w:val="30"/>
        </w:rPr>
        <w:t>广安市公安局交通警察支队的职能：掌握全市道路交通安全情况，组织、指导和监督全市公安机关依法查处道路交通违法行为和交通事故；组织、指导和维护道路交通秩序和公路治安秩序，负责驾驶员考试考核及其牌证发放和开展交通安全教育活动；指导全市公安机关参与城市建设、道路交通和安全设施的规划；负责全市公安交警部门的经费、装备的管理；指导全市交通警察队伍的教育、培训和管理工作。</w:t>
      </w:r>
    </w:p>
    <w:p w14:paraId="1F7F29A0">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3" w:name="_Toc15377199"/>
      <w:bookmarkStart w:id="14" w:name="_Toc15378446"/>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22</w:t>
      </w:r>
      <w:r>
        <w:rPr>
          <w:rFonts w:hint="eastAsia" w:ascii="仿宋" w:hAnsi="仿宋" w:eastAsia="仿宋"/>
          <w:bCs/>
          <w:color w:val="000000"/>
          <w:sz w:val="32"/>
          <w:szCs w:val="32"/>
        </w:rPr>
        <w:t>年重点工作完成情况。</w:t>
      </w:r>
      <w:bookmarkEnd w:id="13"/>
      <w:bookmarkEnd w:id="14"/>
    </w:p>
    <w:p w14:paraId="7FF6A708">
      <w:pPr>
        <w:spacing w:line="600" w:lineRule="exact"/>
        <w:ind w:left="319" w:leftChars="152" w:firstLine="0" w:firstLineChars="0"/>
        <w:contextualSpacing/>
        <w:rPr>
          <w:rFonts w:hint="eastAsia" w:ascii="仿宋" w:hAnsi="仿宋" w:eastAsia="仿宋" w:cs="仿宋"/>
          <w:sz w:val="30"/>
          <w:szCs w:val="30"/>
          <w:lang w:val="en-US" w:eastAsia="zh-CN"/>
        </w:rPr>
      </w:pPr>
      <w:bookmarkStart w:id="15" w:name="_Toc15377200"/>
      <w:bookmarkStart w:id="16" w:name="_Toc15396601"/>
      <w:r>
        <w:rPr>
          <w:rFonts w:hint="eastAsia" w:ascii="仿宋" w:hAnsi="仿宋" w:eastAsia="仿宋" w:cs="仿宋"/>
          <w:sz w:val="30"/>
          <w:szCs w:val="30"/>
        </w:rPr>
        <w:t>广安市公安局交通警察支队202</w:t>
      </w:r>
      <w:r>
        <w:rPr>
          <w:rFonts w:hint="eastAsia" w:ascii="仿宋" w:hAnsi="仿宋" w:eastAsia="仿宋" w:cs="仿宋"/>
          <w:sz w:val="30"/>
          <w:szCs w:val="30"/>
          <w:lang w:val="en-US" w:eastAsia="zh-CN"/>
        </w:rPr>
        <w:t>2</w:t>
      </w:r>
      <w:r>
        <w:rPr>
          <w:rFonts w:hint="eastAsia" w:ascii="仿宋" w:hAnsi="仿宋" w:eastAsia="仿宋" w:cs="仿宋"/>
          <w:sz w:val="30"/>
          <w:szCs w:val="30"/>
        </w:rPr>
        <w:t>年完成的重点工作有</w:t>
      </w:r>
      <w:r>
        <w:rPr>
          <w:rFonts w:hint="eastAsia" w:ascii="仿宋" w:hAnsi="仿宋" w:eastAsia="仿宋" w:cs="仿宋"/>
          <w:sz w:val="30"/>
          <w:szCs w:val="30"/>
          <w:lang w:eastAsia="zh-CN"/>
        </w:rPr>
        <w:t>：</w:t>
      </w:r>
    </w:p>
    <w:p w14:paraId="126CEF04">
      <w:pPr>
        <w:keepNext w:val="0"/>
        <w:keepLines w:val="0"/>
        <w:pageBreakBefore w:val="0"/>
        <w:kinsoku/>
        <w:wordWrap/>
        <w:overflowPunct/>
        <w:topLinePunct w:val="0"/>
        <w:autoSpaceDE/>
        <w:autoSpaceDN/>
        <w:bidi w:val="0"/>
        <w:adjustRightInd/>
        <w:snapToGrid/>
        <w:spacing w:line="240" w:lineRule="auto"/>
        <w:ind w:firstLine="600" w:firstLineChars="200"/>
        <w:contextualSpacing/>
        <w:textAlignment w:val="auto"/>
        <w:rPr>
          <w:rFonts w:hint="eastAsia" w:ascii="仿宋" w:hAnsi="仿宋" w:eastAsia="仿宋" w:cs="仿宋"/>
          <w:kern w:val="32"/>
          <w:sz w:val="30"/>
          <w:szCs w:val="30"/>
          <w:lang w:eastAsia="zh-CN"/>
        </w:rPr>
      </w:pPr>
      <w:r>
        <w:rPr>
          <w:rFonts w:hint="eastAsia" w:ascii="仿宋" w:hAnsi="仿宋" w:eastAsia="仿宋" w:cs="仿宋"/>
          <w:kern w:val="32"/>
          <w:sz w:val="30"/>
          <w:szCs w:val="30"/>
        </w:rPr>
        <w:t>1、化解重大风险，护卫</w:t>
      </w:r>
      <w:r>
        <w:rPr>
          <w:rFonts w:hint="eastAsia" w:ascii="仿宋" w:hAnsi="仿宋" w:eastAsia="仿宋" w:cs="仿宋"/>
          <w:kern w:val="32"/>
          <w:sz w:val="30"/>
          <w:szCs w:val="30"/>
          <w:lang w:eastAsia="zh-CN"/>
        </w:rPr>
        <w:t>重大活动开展</w:t>
      </w:r>
    </w:p>
    <w:p w14:paraId="2247459E">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(1).持续深化事故预防“减量控大”工作。</w:t>
      </w:r>
      <w:r>
        <w:rPr>
          <w:rFonts w:hint="eastAsia" w:ascii="仿宋" w:hAnsi="仿宋" w:eastAsia="仿宋" w:cs="仿宋"/>
          <w:kern w:val="32"/>
          <w:sz w:val="30"/>
          <w:szCs w:val="30"/>
        </w:rPr>
        <w:t>认真落实事故预防主责，扎实开展交通安全隐患排查整治、城市交通安全综合治理、公路交通安全风险防控等六大攻坚行动，坚决守好农村公路、城市道路、国省干道阵地。</w:t>
      </w:r>
    </w:p>
    <w:p w14:paraId="314A2638">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(2).统筹开展专项整治。</w:t>
      </w:r>
      <w:r>
        <w:rPr>
          <w:rFonts w:hint="eastAsia" w:ascii="仿宋" w:hAnsi="仿宋" w:eastAsia="仿宋" w:cs="仿宋"/>
          <w:kern w:val="32"/>
          <w:sz w:val="30"/>
          <w:szCs w:val="30"/>
        </w:rPr>
        <w:t xml:space="preserve">瞄准重点车辆、重点违法、重要时段，针对性开展路面秩序整治。坚持严查“三超一疲劳”、非法营运、酒驾、醉驾、闯红灯、不礼让斑马线等交通违法不放松。持续强化工程运输车、“三车”和客货运输车、变型拖拉机、面包车等车辆综合治理、源头治理。 </w:t>
      </w:r>
    </w:p>
    <w:p w14:paraId="29BC578A">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(3).做好重大活动交通安保。</w:t>
      </w:r>
      <w:r>
        <w:rPr>
          <w:rFonts w:hint="eastAsia" w:ascii="仿宋" w:hAnsi="仿宋" w:eastAsia="仿宋" w:cs="仿宋"/>
          <w:kern w:val="32"/>
          <w:sz w:val="30"/>
          <w:szCs w:val="30"/>
        </w:rPr>
        <w:t>提前分析研判、精心组织落实，全力做好</w:t>
      </w:r>
      <w:r>
        <w:rPr>
          <w:rFonts w:hint="eastAsia" w:ascii="仿宋" w:hAnsi="仿宋" w:eastAsia="仿宋" w:cs="仿宋"/>
          <w:kern w:val="32"/>
          <w:sz w:val="30"/>
          <w:szCs w:val="30"/>
          <w:lang w:eastAsia="zh-CN"/>
        </w:rPr>
        <w:t>重大活动</w:t>
      </w:r>
      <w:r>
        <w:rPr>
          <w:rFonts w:hint="eastAsia" w:ascii="仿宋" w:hAnsi="仿宋" w:eastAsia="仿宋" w:cs="仿宋"/>
          <w:kern w:val="32"/>
          <w:sz w:val="30"/>
          <w:szCs w:val="30"/>
        </w:rPr>
        <w:t>交通安保工作。围绕保障群众安畅出行目标，结合流量、路况、天气等要素变化，采取路面管控、宣传诱导等措施，进一步强化重要节假日、重大活动交通保障。严格落实疫情常态化防控要求，配合做好冷链运输车检查等工作，切实加强基层执勤执法防护。</w:t>
      </w:r>
    </w:p>
    <w:p w14:paraId="03F41129">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(4).强化道路交通应急管理。</w:t>
      </w:r>
      <w:r>
        <w:rPr>
          <w:rFonts w:hint="eastAsia" w:ascii="仿宋" w:hAnsi="仿宋" w:eastAsia="仿宋" w:cs="仿宋"/>
          <w:kern w:val="32"/>
          <w:sz w:val="30"/>
          <w:szCs w:val="30"/>
        </w:rPr>
        <w:t xml:space="preserve">依托支队指挥调度平台和全市交通综合态势“一张图”，做强“情指勤督舆”一体化实战指挥体系，实现对应急突发事件、交通事故、路面拥堵等情况的迅速反应、精准施策、及时处置。加强与气象、应急、交通等部门及高速路公司协作配合，灵通信息、共商共研、联勤联动，大力提升春运等出行高峰密集期、汛期、恶劣天气等条件下道路交通管理能力。 </w:t>
      </w:r>
    </w:p>
    <w:p w14:paraId="79E4826D">
      <w:pPr>
        <w:spacing w:line="600" w:lineRule="exact"/>
        <w:ind w:firstLine="600" w:firstLineChars="200"/>
        <w:contextualSpacing/>
        <w:rPr>
          <w:rFonts w:hint="eastAsia" w:ascii="仿宋" w:hAnsi="仿宋" w:eastAsia="仿宋" w:cs="仿宋"/>
          <w:kern w:val="32"/>
          <w:sz w:val="30"/>
          <w:szCs w:val="30"/>
        </w:rPr>
      </w:pPr>
      <w:r>
        <w:rPr>
          <w:rFonts w:hint="eastAsia" w:ascii="仿宋" w:hAnsi="仿宋" w:eastAsia="仿宋" w:cs="仿宋"/>
          <w:kern w:val="32"/>
          <w:sz w:val="30"/>
          <w:szCs w:val="30"/>
        </w:rPr>
        <w:t>2、创新治理交通，维护良好通行秩序</w:t>
      </w:r>
    </w:p>
    <w:p w14:paraId="6102F95B">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1</w:t>
      </w:r>
      <w:r>
        <w:rPr>
          <w:rFonts w:hint="eastAsia" w:ascii="仿宋" w:hAnsi="仿宋" w:eastAsia="仿宋" w:cs="仿宋"/>
          <w:b/>
          <w:kern w:val="32"/>
          <w:sz w:val="30"/>
          <w:szCs w:val="30"/>
        </w:rPr>
        <w:t>).积极提升源头治理能力。</w:t>
      </w:r>
      <w:r>
        <w:rPr>
          <w:rFonts w:hint="eastAsia" w:ascii="仿宋" w:hAnsi="仿宋" w:eastAsia="仿宋" w:cs="仿宋"/>
          <w:kern w:val="32"/>
          <w:sz w:val="30"/>
          <w:szCs w:val="30"/>
        </w:rPr>
        <w:t>组织开展道路交通隐患大排查大整治“回头看”，梳理排查、盯紧看牢隐患排治结果，根据情况分类分级落实跟踪督促。</w:t>
      </w:r>
      <w:r>
        <w:rPr>
          <w:rFonts w:hint="eastAsia" w:ascii="仿宋" w:hAnsi="仿宋" w:eastAsia="仿宋" w:cs="仿宋"/>
          <w:bCs/>
          <w:kern w:val="32"/>
          <w:sz w:val="30"/>
          <w:szCs w:val="30"/>
        </w:rPr>
        <w:t>强化客货运源头监管，</w:t>
      </w:r>
      <w:r>
        <w:rPr>
          <w:rFonts w:hint="eastAsia" w:ascii="仿宋" w:hAnsi="仿宋" w:eastAsia="仿宋" w:cs="仿宋"/>
          <w:kern w:val="32"/>
          <w:sz w:val="30"/>
          <w:szCs w:val="30"/>
        </w:rPr>
        <w:t>加强与交通部门配合，持续深化客货运突出违法违规行为专项整治、</w:t>
      </w:r>
      <w:r>
        <w:rPr>
          <w:rFonts w:hint="eastAsia" w:ascii="仿宋" w:hAnsi="仿宋" w:eastAsia="仿宋" w:cs="仿宋"/>
          <w:bCs/>
          <w:kern w:val="32"/>
          <w:sz w:val="30"/>
          <w:szCs w:val="30"/>
        </w:rPr>
        <w:t>道路重点营运车辆和企业安全生产记分管理，</w:t>
      </w:r>
      <w:r>
        <w:rPr>
          <w:rFonts w:hint="eastAsia" w:ascii="仿宋" w:hAnsi="仿宋" w:eastAsia="仿宋" w:cs="仿宋"/>
          <w:kern w:val="32"/>
          <w:sz w:val="30"/>
          <w:szCs w:val="30"/>
        </w:rPr>
        <w:t>重拳纠违、联合惩戒，大力清理风险隐患企业及驾驶人，引导树立规范健康行业风气。积极推动57座以上大客车、卧铺客车退出营运市场。加快推进国省道中央隔离护栏升级改造，动态清零逾期未检验、未报废、未年检等车辆源头隐患。</w:t>
      </w:r>
    </w:p>
    <w:p w14:paraId="624C9BD4">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2</w:t>
      </w:r>
      <w:r>
        <w:rPr>
          <w:rFonts w:hint="eastAsia" w:ascii="仿宋" w:hAnsi="仿宋" w:eastAsia="仿宋" w:cs="仿宋"/>
          <w:b/>
          <w:kern w:val="32"/>
          <w:sz w:val="30"/>
          <w:szCs w:val="30"/>
        </w:rPr>
        <w:t>).全力推动农村交通安全治理。</w:t>
      </w:r>
      <w:r>
        <w:rPr>
          <w:rFonts w:hint="eastAsia" w:ascii="仿宋" w:hAnsi="仿宋" w:eastAsia="仿宋" w:cs="仿宋"/>
          <w:kern w:val="32"/>
          <w:sz w:val="30"/>
          <w:szCs w:val="30"/>
        </w:rPr>
        <w:t>认真贯彻落实</w:t>
      </w:r>
      <w:r>
        <w:rPr>
          <w:rFonts w:hint="eastAsia" w:ascii="仿宋" w:hAnsi="仿宋" w:eastAsia="仿宋" w:cs="仿宋"/>
          <w:kern w:val="32"/>
          <w:sz w:val="30"/>
          <w:szCs w:val="30"/>
          <w:lang w:eastAsia="zh-CN"/>
        </w:rPr>
        <w:t>上级</w:t>
      </w:r>
      <w:r>
        <w:rPr>
          <w:rFonts w:hint="eastAsia" w:ascii="仿宋" w:hAnsi="仿宋" w:eastAsia="仿宋" w:cs="仿宋"/>
          <w:kern w:val="32"/>
          <w:sz w:val="30"/>
          <w:szCs w:val="30"/>
        </w:rPr>
        <w:t>精神，充分利用道安平台，推动各地落实农村交</w:t>
      </w:r>
      <w:r>
        <w:rPr>
          <w:rFonts w:hint="eastAsia" w:ascii="仿宋" w:hAnsi="仿宋" w:eastAsia="仿宋" w:cs="仿宋"/>
          <w:kern w:val="32"/>
          <w:sz w:val="30"/>
          <w:szCs w:val="30"/>
          <w:lang w:eastAsia="zh-CN"/>
        </w:rPr>
        <w:t>管</w:t>
      </w:r>
      <w:r>
        <w:rPr>
          <w:rFonts w:hint="eastAsia" w:ascii="仿宋" w:hAnsi="仿宋" w:eastAsia="仿宋" w:cs="仿宋"/>
          <w:kern w:val="32"/>
          <w:sz w:val="30"/>
          <w:szCs w:val="30"/>
        </w:rPr>
        <w:t>领导和监管责任。积极探索推广“交管办”分类管理、派出所和交警中队勤务融合、亡人事故领导干部出现场等经验做法。深化农村道路固本强基、“一盔一带”安全守护行动和“两站两员”建设，用好农村交管信息系统及手机APP应用，全面提升农村道路交通安全基层治理水平。</w:t>
      </w:r>
    </w:p>
    <w:p w14:paraId="7401BDDE">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3</w:t>
      </w:r>
      <w:r>
        <w:rPr>
          <w:rFonts w:hint="eastAsia" w:ascii="仿宋" w:hAnsi="仿宋" w:eastAsia="仿宋" w:cs="仿宋"/>
          <w:b/>
          <w:kern w:val="32"/>
          <w:sz w:val="30"/>
          <w:szCs w:val="30"/>
        </w:rPr>
        <w:t>).创新交通安全宣传教育。</w:t>
      </w:r>
      <w:r>
        <w:rPr>
          <w:rFonts w:hint="eastAsia" w:ascii="仿宋" w:hAnsi="仿宋" w:eastAsia="仿宋" w:cs="仿宋"/>
          <w:kern w:val="32"/>
          <w:sz w:val="30"/>
          <w:szCs w:val="30"/>
        </w:rPr>
        <w:t>深入推进道路交通安全宣传教育提升行动，持续开展“五大曝光行动”，强化主题宣传、预警提示。创新宣传模式，延伸宣传触角，联合住建部门，推动道路交通安全宣传教育进社区、入小区。畅通宣传渠道，加大“双微”、公众号阵地建设和对短视频等传播力、感染力较强宣传内容的制作投放力度。坚持涉警舆情监测研判常态化，规范交警执法直播，做到依法处置、舆论引导、社会面管控“三同步”。</w:t>
      </w:r>
    </w:p>
    <w:p w14:paraId="3554F29E">
      <w:pPr>
        <w:spacing w:line="600" w:lineRule="exact"/>
        <w:ind w:firstLine="600" w:firstLineChars="200"/>
        <w:contextualSpacing/>
        <w:rPr>
          <w:rFonts w:hint="eastAsia" w:ascii="仿宋" w:hAnsi="仿宋" w:eastAsia="仿宋" w:cs="仿宋"/>
          <w:kern w:val="32"/>
          <w:sz w:val="30"/>
          <w:szCs w:val="30"/>
        </w:rPr>
      </w:pPr>
      <w:r>
        <w:rPr>
          <w:rFonts w:hint="eastAsia" w:ascii="仿宋" w:hAnsi="仿宋" w:eastAsia="仿宋" w:cs="仿宋"/>
          <w:kern w:val="32"/>
          <w:sz w:val="30"/>
          <w:szCs w:val="30"/>
        </w:rPr>
        <w:t>3、深化改革服务，护航经济社会发展</w:t>
      </w:r>
    </w:p>
    <w:p w14:paraId="3866874A">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1</w:t>
      </w:r>
      <w:r>
        <w:rPr>
          <w:rFonts w:hint="eastAsia" w:ascii="仿宋" w:hAnsi="仿宋" w:eastAsia="仿宋" w:cs="仿宋"/>
          <w:b/>
          <w:kern w:val="32"/>
          <w:sz w:val="30"/>
          <w:szCs w:val="30"/>
        </w:rPr>
        <w:t>).持续深化公安交管“放管服”改革。</w:t>
      </w:r>
      <w:r>
        <w:rPr>
          <w:rFonts w:hint="eastAsia" w:ascii="仿宋" w:hAnsi="仿宋" w:eastAsia="仿宋" w:cs="仿宋"/>
          <w:kern w:val="32"/>
          <w:sz w:val="30"/>
          <w:szCs w:val="30"/>
        </w:rPr>
        <w:t>常态化推进“我为群众办实事”，立足市情实际，完善城市通行便利、缓解停车难和方便老年人业务办理措施，适时扩大实施范围。强化各地“放管服”改革落实情况检查，规范机动车登记服务站代办车驾业务，持续降低群众办事成本、提升办理体验。</w:t>
      </w:r>
    </w:p>
    <w:p w14:paraId="65815655">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2</w:t>
      </w:r>
      <w:r>
        <w:rPr>
          <w:rFonts w:hint="eastAsia" w:ascii="仿宋" w:hAnsi="仿宋" w:eastAsia="仿宋" w:cs="仿宋"/>
          <w:b/>
          <w:kern w:val="32"/>
          <w:sz w:val="30"/>
          <w:szCs w:val="30"/>
        </w:rPr>
        <w:t>).大力服务成渝双城经济圈建设。</w:t>
      </w:r>
      <w:r>
        <w:rPr>
          <w:rFonts w:hint="eastAsia" w:ascii="仿宋" w:hAnsi="仿宋" w:eastAsia="仿宋" w:cs="仿宋"/>
          <w:kern w:val="32"/>
          <w:sz w:val="30"/>
          <w:szCs w:val="30"/>
        </w:rPr>
        <w:t>全面落实国家建设成渝双城经济圈发展战略，持续深化渝广两地道路交通应急处置、联勤联动、互访互学，落地落细临时号牌互认等便捷生活措施。</w:t>
      </w:r>
    </w:p>
    <w:p w14:paraId="46E72CDF">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3</w:t>
      </w:r>
      <w:r>
        <w:rPr>
          <w:rFonts w:hint="eastAsia" w:ascii="仿宋" w:hAnsi="仿宋" w:eastAsia="仿宋" w:cs="仿宋"/>
          <w:b/>
          <w:kern w:val="32"/>
          <w:sz w:val="30"/>
          <w:szCs w:val="30"/>
        </w:rPr>
        <w:t>).强化信息技术应用。</w:t>
      </w:r>
      <w:r>
        <w:rPr>
          <w:rFonts w:hint="eastAsia" w:ascii="仿宋" w:hAnsi="仿宋" w:eastAsia="仿宋" w:cs="仿宋"/>
          <w:kern w:val="32"/>
          <w:sz w:val="30"/>
          <w:szCs w:val="30"/>
        </w:rPr>
        <w:t>深入推进“智慧交管”建设，围绕指挥调度、公路防控、业务监管、数据管理、运维保障“六大体系”，抓紧完善集成指挥平台、业务综合监管等系统建设，加大对国省道、城市道路、农村公路主阵地和秩序管理、车驾管理、事故处理等业务监管，着力提升指挥调度、路面监测、查缉布控、异常查处水平，以信息技术的深度应用做强道路交通管理。</w:t>
      </w:r>
    </w:p>
    <w:p w14:paraId="3C2C12ED">
      <w:pPr>
        <w:spacing w:line="600" w:lineRule="exact"/>
        <w:ind w:firstLine="600" w:firstLineChars="200"/>
        <w:contextualSpacing/>
        <w:rPr>
          <w:rFonts w:hint="eastAsia" w:ascii="仿宋" w:hAnsi="仿宋" w:eastAsia="仿宋" w:cs="仿宋"/>
          <w:kern w:val="32"/>
          <w:sz w:val="30"/>
          <w:szCs w:val="30"/>
        </w:rPr>
      </w:pPr>
      <w:r>
        <w:rPr>
          <w:rFonts w:hint="eastAsia" w:ascii="仿宋" w:hAnsi="仿宋" w:eastAsia="仿宋" w:cs="仿宋"/>
          <w:kern w:val="32"/>
          <w:sz w:val="30"/>
          <w:szCs w:val="30"/>
        </w:rPr>
        <w:t>4、从严管党治警，打造忠诚干净担当铁军</w:t>
      </w:r>
    </w:p>
    <w:p w14:paraId="693905FC">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1</w:t>
      </w:r>
      <w:r>
        <w:rPr>
          <w:rFonts w:hint="eastAsia" w:ascii="仿宋" w:hAnsi="仿宋" w:eastAsia="仿宋" w:cs="仿宋"/>
          <w:b/>
          <w:kern w:val="32"/>
          <w:sz w:val="30"/>
          <w:szCs w:val="30"/>
        </w:rPr>
        <w:t>).坚持从严管党治警。</w:t>
      </w:r>
      <w:r>
        <w:rPr>
          <w:rFonts w:hint="eastAsia" w:ascii="仿宋" w:hAnsi="仿宋" w:eastAsia="仿宋" w:cs="仿宋"/>
          <w:kern w:val="32"/>
          <w:sz w:val="30"/>
          <w:szCs w:val="30"/>
        </w:rPr>
        <w:t>持续巩固队伍教育整顿成果，全面强化从严管党治警，常态化开展队伍风险隐患分析研判、排查防控，严查违法违纪、严肃责任追究，刚性执纪严管队伍。严格党内政治生活，抓实政治学习、民主生活、谈心谈话等各项工作。深入开展党建带队建示范单位等创建活动，扎实抓好党的组织建设。用好“两个积（记）分办法”管理手段，增强日常管理约束力、引导力。加强辅警管理，推动队伍严管严治全覆盖、无空白。</w:t>
      </w:r>
    </w:p>
    <w:p w14:paraId="33BE9DEA">
      <w:pPr>
        <w:spacing w:line="600" w:lineRule="exact"/>
        <w:ind w:firstLine="602" w:firstLineChars="200"/>
        <w:contextualSpacing/>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2</w:t>
      </w:r>
      <w:r>
        <w:rPr>
          <w:rFonts w:hint="eastAsia" w:ascii="仿宋" w:hAnsi="仿宋" w:eastAsia="仿宋" w:cs="仿宋"/>
          <w:b/>
          <w:kern w:val="32"/>
          <w:sz w:val="30"/>
          <w:szCs w:val="30"/>
        </w:rPr>
        <w:t>).强化执法规范化建设。</w:t>
      </w:r>
      <w:r>
        <w:rPr>
          <w:rFonts w:hint="eastAsia" w:ascii="仿宋" w:hAnsi="仿宋" w:eastAsia="仿宋" w:cs="仿宋"/>
          <w:kern w:val="32"/>
          <w:sz w:val="30"/>
          <w:szCs w:val="30"/>
        </w:rPr>
        <w:t>积极推动修订《四川省</w:t>
      </w:r>
      <w:r>
        <w:rPr>
          <w:rFonts w:hint="eastAsia" w:ascii="仿宋" w:hAnsi="仿宋" w:eastAsia="仿宋" w:cs="仿宋"/>
          <w:kern w:val="32"/>
          <w:sz w:val="30"/>
          <w:szCs w:val="30"/>
          <w:lang w:eastAsia="zh-CN"/>
        </w:rPr>
        <w:t>〈</w:t>
      </w:r>
      <w:r>
        <w:rPr>
          <w:rFonts w:hint="eastAsia" w:ascii="仿宋" w:hAnsi="仿宋" w:eastAsia="仿宋" w:cs="仿宋"/>
          <w:kern w:val="32"/>
          <w:sz w:val="30"/>
          <w:szCs w:val="30"/>
        </w:rPr>
        <w:t>中华人民共和国道路交通安全法</w:t>
      </w:r>
      <w:r>
        <w:rPr>
          <w:rFonts w:hint="eastAsia" w:ascii="仿宋" w:hAnsi="仿宋" w:eastAsia="仿宋" w:cs="仿宋"/>
          <w:kern w:val="32"/>
          <w:sz w:val="30"/>
          <w:szCs w:val="30"/>
          <w:lang w:eastAsia="zh-CN"/>
        </w:rPr>
        <w:t>〉</w:t>
      </w:r>
      <w:r>
        <w:rPr>
          <w:rFonts w:hint="eastAsia" w:ascii="仿宋" w:hAnsi="仿宋" w:eastAsia="仿宋" w:cs="仿宋"/>
          <w:kern w:val="32"/>
          <w:sz w:val="30"/>
          <w:szCs w:val="30"/>
        </w:rPr>
        <w:t>实施办法》，促进</w:t>
      </w:r>
      <w:r>
        <w:rPr>
          <w:rFonts w:hint="eastAsia" w:ascii="仿宋" w:hAnsi="仿宋" w:eastAsia="仿宋" w:cs="仿宋"/>
          <w:kern w:val="32"/>
          <w:sz w:val="30"/>
          <w:szCs w:val="30"/>
          <w:lang w:eastAsia="zh-CN"/>
        </w:rPr>
        <w:t>地方性法规</w:t>
      </w:r>
      <w:r>
        <w:rPr>
          <w:rFonts w:hint="eastAsia" w:ascii="仿宋" w:hAnsi="仿宋" w:eastAsia="仿宋" w:cs="仿宋"/>
          <w:kern w:val="32"/>
          <w:sz w:val="30"/>
          <w:szCs w:val="30"/>
        </w:rPr>
        <w:t>和上位法有效衔接。深化非现场执法、货车执法、窗口业务等常态治理。建立健全执法规范建设长效机制，加大对执法记录仪使用情况抽检抽查力度，不断强化执勤执法监督。认真落实依法行政，认真做好文件制发、流程设置审核检查，严防违规增设行政许可程序、增加办事流程等问题发生。</w:t>
      </w:r>
    </w:p>
    <w:p w14:paraId="7996E056">
      <w:pPr>
        <w:spacing w:line="590" w:lineRule="exact"/>
        <w:ind w:firstLine="301" w:firstLineChars="100"/>
        <w:jc w:val="left"/>
        <w:rPr>
          <w:rFonts w:hint="eastAsia" w:ascii="仿宋" w:hAnsi="仿宋" w:eastAsia="仿宋" w:cs="仿宋"/>
          <w:kern w:val="32"/>
          <w:sz w:val="30"/>
          <w:szCs w:val="30"/>
        </w:rPr>
      </w:pPr>
      <w:r>
        <w:rPr>
          <w:rFonts w:hint="eastAsia" w:ascii="仿宋" w:hAnsi="仿宋" w:eastAsia="仿宋" w:cs="仿宋"/>
          <w:b/>
          <w:kern w:val="32"/>
          <w:sz w:val="30"/>
          <w:szCs w:val="30"/>
        </w:rPr>
        <w:t>(</w:t>
      </w:r>
      <w:r>
        <w:rPr>
          <w:rFonts w:hint="eastAsia" w:ascii="仿宋" w:hAnsi="仿宋" w:eastAsia="仿宋" w:cs="仿宋"/>
          <w:b/>
          <w:kern w:val="32"/>
          <w:sz w:val="30"/>
          <w:szCs w:val="30"/>
          <w:lang w:val="en-US" w:eastAsia="zh-CN"/>
        </w:rPr>
        <w:t>3</w:t>
      </w:r>
      <w:r>
        <w:rPr>
          <w:rFonts w:hint="eastAsia" w:ascii="仿宋" w:hAnsi="仿宋" w:eastAsia="仿宋" w:cs="仿宋"/>
          <w:b/>
          <w:kern w:val="32"/>
          <w:sz w:val="30"/>
          <w:szCs w:val="30"/>
        </w:rPr>
        <w:t>).切实落实从优待警。</w:t>
      </w:r>
      <w:r>
        <w:rPr>
          <w:rFonts w:hint="eastAsia" w:ascii="仿宋" w:hAnsi="仿宋" w:eastAsia="仿宋" w:cs="仿宋"/>
          <w:kern w:val="32"/>
          <w:sz w:val="30"/>
          <w:szCs w:val="30"/>
        </w:rPr>
        <w:t>积极组织民（辅）警投身</w:t>
      </w:r>
      <w:r>
        <w:rPr>
          <w:rFonts w:hint="eastAsia" w:ascii="仿宋" w:hAnsi="仿宋" w:eastAsia="仿宋" w:cs="仿宋"/>
          <w:kern w:val="32"/>
          <w:sz w:val="30"/>
          <w:szCs w:val="30"/>
          <w:lang w:eastAsia="zh-CN"/>
        </w:rPr>
        <w:t>主题</w:t>
      </w:r>
      <w:r>
        <w:rPr>
          <w:rFonts w:hint="eastAsia" w:ascii="仿宋" w:hAnsi="仿宋" w:eastAsia="仿宋" w:cs="仿宋"/>
          <w:kern w:val="32"/>
          <w:sz w:val="30"/>
          <w:szCs w:val="30"/>
        </w:rPr>
        <w:t>实践活动及学习培训、轮岗交流，推动个人能力发展、素质提升，增强队伍活力。加快保障民警合法权益制度完善、落地实施，切实保障民（辅）警执勤执法、休息休假等权利。探索建设警营文化沙龙、荣誉室，积极争取保障好基层大队“五小工程”。</w:t>
      </w:r>
    </w:p>
    <w:p w14:paraId="547BE6F9">
      <w:pPr>
        <w:spacing w:line="560" w:lineRule="exact"/>
        <w:ind w:firstLine="640" w:firstLineChars="200"/>
        <w:rPr>
          <w:rStyle w:val="28"/>
          <w:rFonts w:ascii="仿宋_GB2312" w:hAnsi="仿宋_GB2312" w:eastAsia="仿宋_GB2312" w:cs="Times New Roman"/>
          <w:b w:val="0"/>
          <w:bCs w:val="0"/>
          <w:kern w:val="32"/>
          <w:szCs w:val="24"/>
        </w:rPr>
      </w:pPr>
      <w:r>
        <w:rPr>
          <w:rFonts w:hint="eastAsia" w:ascii="黑体" w:hAnsi="黑体" w:eastAsia="黑体"/>
          <w:kern w:val="32"/>
          <w:sz w:val="32"/>
          <w:szCs w:val="32"/>
        </w:rPr>
        <w:t>二、</w:t>
      </w:r>
      <w:r>
        <w:rPr>
          <w:rFonts w:hint="eastAsia" w:ascii="黑体" w:hAnsi="黑体" w:eastAsia="黑体"/>
          <w:color w:val="000000"/>
          <w:sz w:val="32"/>
          <w:szCs w:val="32"/>
        </w:rPr>
        <w:t>机</w:t>
      </w:r>
      <w:r>
        <w:rPr>
          <w:rStyle w:val="28"/>
          <w:rFonts w:hint="eastAsia" w:ascii="黑体" w:hAnsi="黑体" w:eastAsia="黑体"/>
        </w:rPr>
        <w:t>构设置</w:t>
      </w:r>
      <w:bookmarkEnd w:id="15"/>
      <w:bookmarkEnd w:id="16"/>
    </w:p>
    <w:p w14:paraId="610403FC">
      <w:pPr>
        <w:autoSpaceDE w:val="0"/>
        <w:autoSpaceDN w:val="0"/>
        <w:adjustRightInd w:val="0"/>
        <w:ind w:firstLine="600" w:firstLineChars="200"/>
        <w:jc w:val="left"/>
        <w:rPr>
          <w:rFonts w:hint="eastAsia" w:ascii="仿宋_GB2312" w:eastAsia="仿宋_GB2312" w:cs="黑体"/>
          <w:kern w:val="0"/>
          <w:sz w:val="30"/>
          <w:szCs w:val="30"/>
        </w:rPr>
      </w:pPr>
      <w:bookmarkStart w:id="17" w:name="_Toc15377203"/>
      <w:bookmarkStart w:id="18" w:name="_Toc15377434"/>
      <w:bookmarkStart w:id="19" w:name="_Toc15378450"/>
      <w:bookmarkStart w:id="20" w:name="_Toc15306277"/>
      <w:r>
        <w:rPr>
          <w:rFonts w:hint="eastAsia" w:ascii="仿宋_GB2312" w:eastAsia="仿宋_GB2312" w:cs="黑体"/>
          <w:kern w:val="0"/>
          <w:sz w:val="30"/>
          <w:szCs w:val="30"/>
        </w:rPr>
        <w:t>广安市公安局交通警察支队</w:t>
      </w:r>
      <w:r>
        <w:rPr>
          <w:rFonts w:hint="eastAsia" w:ascii="仿宋_GB2312" w:eastAsia="仿宋_GB2312" w:cs="黑体"/>
          <w:kern w:val="0"/>
          <w:sz w:val="30"/>
          <w:szCs w:val="30"/>
          <w:lang w:eastAsia="zh-CN"/>
        </w:rPr>
        <w:t>（广安市公安局交警支队）下属</w:t>
      </w:r>
      <w:r>
        <w:rPr>
          <w:rFonts w:hint="eastAsia" w:ascii="仿宋_GB2312" w:eastAsia="仿宋_GB2312" w:cs="黑体"/>
          <w:kern w:val="0"/>
          <w:sz w:val="30"/>
          <w:szCs w:val="30"/>
          <w:lang w:val="en-US" w:eastAsia="zh-CN"/>
        </w:rPr>
        <w:t>行政单位1个，为广安市公安局交通警察支队（广安市公安局交警支队）机关，单位</w:t>
      </w:r>
      <w:r>
        <w:rPr>
          <w:rFonts w:hint="eastAsia" w:ascii="仿宋_GB2312" w:eastAsia="仿宋_GB2312" w:cs="黑体"/>
          <w:kern w:val="0"/>
          <w:sz w:val="30"/>
          <w:szCs w:val="30"/>
        </w:rPr>
        <w:t>内设</w:t>
      </w:r>
      <w:r>
        <w:rPr>
          <w:rFonts w:hint="eastAsia" w:ascii="仿宋_GB2312" w:eastAsia="仿宋_GB2312" w:cs="黑体"/>
          <w:kern w:val="0"/>
          <w:sz w:val="30"/>
          <w:szCs w:val="30"/>
          <w:lang w:val="en-US" w:eastAsia="zh-CN"/>
        </w:rPr>
        <w:t>13个科所队室，主要包括：</w:t>
      </w:r>
      <w:r>
        <w:rPr>
          <w:rFonts w:hint="eastAsia" w:ascii="仿宋_GB2312" w:eastAsia="仿宋_GB2312" w:cs="黑体"/>
          <w:kern w:val="0"/>
          <w:sz w:val="30"/>
          <w:szCs w:val="30"/>
        </w:rPr>
        <w:t>办公室、政工监察室、警务保障大队、事故大队、秩序大队、科技大队、宣传法制大队、督察大队、车辆管理所、交通智能监控中心及第一大队、第二大队、第三大队等。</w:t>
      </w:r>
    </w:p>
    <w:p w14:paraId="5BBEBAEA">
      <w:pPr>
        <w:autoSpaceDE w:val="0"/>
        <w:autoSpaceDN w:val="0"/>
        <w:adjustRightInd w:val="0"/>
        <w:ind w:firstLine="600" w:firstLineChars="200"/>
        <w:jc w:val="left"/>
        <w:rPr>
          <w:rFonts w:hint="default" w:ascii="仿宋_GB2312" w:eastAsia="仿宋_GB2312" w:cs="黑体"/>
          <w:kern w:val="0"/>
          <w:sz w:val="30"/>
          <w:szCs w:val="30"/>
          <w:lang w:val="en-US" w:eastAsia="zh-CN"/>
        </w:rPr>
      </w:pPr>
      <w:r>
        <w:rPr>
          <w:rFonts w:hint="eastAsia" w:ascii="仿宋_GB2312" w:eastAsia="仿宋_GB2312" w:cs="黑体"/>
          <w:kern w:val="0"/>
          <w:sz w:val="30"/>
          <w:szCs w:val="30"/>
          <w:lang w:val="en-US" w:eastAsia="zh-CN"/>
        </w:rPr>
        <w:t>纳入2022年部门决算编制范围的二级预算单位包括：广安市公安局交通警察支队（广安市公安局交警支队）机关。</w:t>
      </w:r>
    </w:p>
    <w:bookmarkEnd w:id="17"/>
    <w:bookmarkEnd w:id="18"/>
    <w:bookmarkEnd w:id="19"/>
    <w:bookmarkEnd w:id="20"/>
    <w:p w14:paraId="23E7CE25">
      <w:pPr>
        <w:widowControl/>
        <w:jc w:val="left"/>
        <w:rPr>
          <w:rFonts w:ascii="仿宋" w:hAnsi="仿宋" w:eastAsia="仿宋"/>
          <w:color w:val="000000"/>
          <w:kern w:val="0"/>
          <w:sz w:val="32"/>
          <w:szCs w:val="32"/>
        </w:rPr>
      </w:pPr>
    </w:p>
    <w:p w14:paraId="65F8C542">
      <w:pPr>
        <w:pStyle w:val="3"/>
        <w:ind w:right="440"/>
        <w:jc w:val="right"/>
        <w:rPr>
          <w:rStyle w:val="27"/>
          <w:rFonts w:ascii="黑体" w:hAnsi="黑体" w:eastAsia="黑体"/>
          <w:b w:val="0"/>
          <w:bCs w:val="0"/>
        </w:rPr>
      </w:pPr>
      <w:bookmarkStart w:id="21" w:name="_Toc15396602"/>
      <w:bookmarkStart w:id="22"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w:t>
      </w:r>
      <w:r>
        <w:rPr>
          <w:rStyle w:val="27"/>
          <w:rFonts w:hint="eastAsia" w:ascii="黑体" w:hAnsi="黑体" w:eastAsia="黑体"/>
          <w:b w:val="0"/>
          <w:bCs w:val="0"/>
          <w:lang w:val="en-US" w:eastAsia="zh-CN"/>
        </w:rPr>
        <w:t>22</w:t>
      </w:r>
      <w:r>
        <w:rPr>
          <w:rStyle w:val="27"/>
          <w:rFonts w:hint="eastAsia" w:ascii="黑体" w:hAnsi="黑体" w:eastAsia="黑体"/>
          <w:b w:val="0"/>
          <w:bCs w:val="0"/>
        </w:rPr>
        <w:t>年度部门决算情况说明</w:t>
      </w:r>
      <w:bookmarkEnd w:id="21"/>
      <w:bookmarkEnd w:id="22"/>
    </w:p>
    <w:p w14:paraId="7262CF0A"/>
    <w:p w14:paraId="5EC75948">
      <w:pPr>
        <w:pStyle w:val="26"/>
        <w:numPr>
          <w:ilvl w:val="0"/>
          <w:numId w:val="1"/>
        </w:numPr>
        <w:spacing w:line="600" w:lineRule="exact"/>
        <w:ind w:firstLineChars="0"/>
        <w:outlineLvl w:val="1"/>
        <w:rPr>
          <w:rStyle w:val="28"/>
          <w:rFonts w:ascii="黑体" w:hAnsi="黑体" w:eastAsia="黑体"/>
          <w:b w:val="0"/>
        </w:rPr>
      </w:pPr>
      <w:bookmarkStart w:id="23" w:name="_Toc15377205"/>
      <w:bookmarkStart w:id="24"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3"/>
      <w:bookmarkEnd w:id="24"/>
    </w:p>
    <w:p w14:paraId="2F75B023">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22</w:t>
      </w:r>
      <w:r>
        <w:rPr>
          <w:rFonts w:hint="eastAsia" w:ascii="仿宋" w:hAnsi="仿宋" w:eastAsia="仿宋" w:cs="仿宋"/>
          <w:color w:val="000000"/>
          <w:sz w:val="30"/>
          <w:szCs w:val="30"/>
        </w:rPr>
        <w:t>年度</w:t>
      </w:r>
      <w:r>
        <w:rPr>
          <w:rFonts w:hint="eastAsia" w:ascii="仿宋" w:hAnsi="仿宋" w:eastAsia="仿宋" w:cs="仿宋"/>
          <w:color w:val="000000"/>
          <w:sz w:val="30"/>
          <w:szCs w:val="30"/>
          <w:lang w:eastAsia="zh-CN"/>
        </w:rPr>
        <w:t>收入、支出总计均为</w:t>
      </w:r>
      <w:r>
        <w:rPr>
          <w:rFonts w:hint="eastAsia" w:ascii="仿宋" w:hAnsi="仿宋" w:eastAsia="仿宋" w:cs="仿宋"/>
          <w:color w:val="000000"/>
          <w:sz w:val="30"/>
          <w:szCs w:val="30"/>
          <w:lang w:val="en-US" w:eastAsia="zh-CN"/>
        </w:rPr>
        <w:t>11235.53万元</w:t>
      </w:r>
      <w:r>
        <w:rPr>
          <w:rFonts w:hint="eastAsia" w:ascii="仿宋" w:hAnsi="仿宋" w:eastAsia="仿宋" w:cs="仿宋"/>
          <w:color w:val="000000"/>
          <w:sz w:val="30"/>
          <w:szCs w:val="30"/>
        </w:rPr>
        <w:t>。与20</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w:t>
      </w:r>
      <w:r>
        <w:rPr>
          <w:rFonts w:hint="eastAsia" w:ascii="仿宋" w:hAnsi="仿宋" w:eastAsia="仿宋" w:cs="仿宋"/>
          <w:color w:val="000000"/>
          <w:sz w:val="30"/>
          <w:szCs w:val="30"/>
        </w:rPr>
        <w:t>相比，收入总计</w:t>
      </w:r>
      <w:r>
        <w:rPr>
          <w:rFonts w:hint="eastAsia" w:ascii="仿宋" w:hAnsi="仿宋" w:eastAsia="仿宋" w:cs="仿宋"/>
          <w:color w:val="000000"/>
          <w:sz w:val="30"/>
          <w:szCs w:val="30"/>
          <w:lang w:eastAsia="zh-CN"/>
        </w:rPr>
        <w:t>增加</w:t>
      </w:r>
      <w:r>
        <w:rPr>
          <w:rFonts w:hint="eastAsia" w:ascii="仿宋" w:hAnsi="仿宋" w:eastAsia="仿宋" w:cs="仿宋"/>
          <w:color w:val="000000"/>
          <w:sz w:val="30"/>
          <w:szCs w:val="30"/>
          <w:lang w:val="en-US" w:eastAsia="zh-CN"/>
        </w:rPr>
        <w:t>1945.25</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，增长</w:t>
      </w:r>
      <w:r>
        <w:rPr>
          <w:rFonts w:hint="eastAsia" w:ascii="仿宋" w:hAnsi="仿宋" w:eastAsia="仿宋" w:cs="仿宋"/>
          <w:color w:val="000000"/>
          <w:sz w:val="30"/>
          <w:szCs w:val="30"/>
          <w:lang w:val="en-US" w:eastAsia="zh-CN"/>
        </w:rPr>
        <w:t>20.93</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支出</w:t>
      </w:r>
      <w:r>
        <w:rPr>
          <w:rFonts w:hint="eastAsia" w:ascii="仿宋" w:hAnsi="仿宋" w:eastAsia="仿宋" w:cs="仿宋"/>
          <w:color w:val="000000"/>
          <w:sz w:val="30"/>
          <w:szCs w:val="30"/>
          <w:lang w:eastAsia="zh-CN"/>
        </w:rPr>
        <w:t>总计减少</w:t>
      </w:r>
      <w:r>
        <w:rPr>
          <w:rFonts w:hint="eastAsia" w:ascii="仿宋" w:hAnsi="仿宋" w:eastAsia="仿宋" w:cs="仿宋"/>
          <w:color w:val="000000"/>
          <w:sz w:val="30"/>
          <w:szCs w:val="30"/>
          <w:lang w:val="en-US" w:eastAsia="zh-CN"/>
        </w:rPr>
        <w:t>730.05</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下降</w:t>
      </w:r>
      <w:r>
        <w:rPr>
          <w:rFonts w:hint="eastAsia" w:ascii="仿宋" w:hAnsi="仿宋" w:eastAsia="仿宋" w:cs="仿宋"/>
          <w:color w:val="000000"/>
          <w:sz w:val="30"/>
          <w:szCs w:val="30"/>
          <w:lang w:val="en-US" w:eastAsia="zh-CN"/>
        </w:rPr>
        <w:t>6.1</w:t>
      </w:r>
      <w:r>
        <w:rPr>
          <w:rFonts w:hint="eastAsia" w:ascii="仿宋" w:hAnsi="仿宋" w:eastAsia="仿宋" w:cs="仿宋"/>
          <w:color w:val="000000"/>
          <w:sz w:val="30"/>
          <w:szCs w:val="30"/>
        </w:rPr>
        <w:t>%。主要变动原因是收入因</w:t>
      </w:r>
      <w:r>
        <w:rPr>
          <w:rFonts w:hint="eastAsia" w:ascii="仿宋" w:hAnsi="仿宋" w:eastAsia="仿宋" w:cs="仿宋"/>
          <w:color w:val="000000"/>
          <w:sz w:val="30"/>
          <w:szCs w:val="30"/>
          <w:lang w:eastAsia="zh-CN"/>
        </w:rPr>
        <w:t>省级转移支付收入和政府性基金财政拨款收入增加</w:t>
      </w:r>
      <w:r>
        <w:rPr>
          <w:rFonts w:hint="eastAsia" w:ascii="仿宋" w:hAnsi="仿宋" w:eastAsia="仿宋" w:cs="仿宋"/>
          <w:color w:val="000000"/>
          <w:sz w:val="30"/>
          <w:szCs w:val="30"/>
        </w:rPr>
        <w:t>而</w:t>
      </w:r>
      <w:r>
        <w:rPr>
          <w:rFonts w:hint="eastAsia" w:ascii="仿宋" w:hAnsi="仿宋" w:eastAsia="仿宋" w:cs="仿宋"/>
          <w:color w:val="000000"/>
          <w:sz w:val="30"/>
          <w:szCs w:val="30"/>
          <w:lang w:eastAsia="zh-CN"/>
        </w:rPr>
        <w:t>增加</w:t>
      </w:r>
      <w:r>
        <w:rPr>
          <w:rFonts w:hint="eastAsia" w:ascii="仿宋" w:hAnsi="仿宋" w:eastAsia="仿宋" w:cs="仿宋"/>
          <w:color w:val="000000"/>
          <w:sz w:val="30"/>
          <w:szCs w:val="30"/>
        </w:rPr>
        <w:t>，支出</w:t>
      </w:r>
      <w:r>
        <w:rPr>
          <w:rFonts w:hint="eastAsia" w:ascii="仿宋" w:hAnsi="仿宋" w:eastAsia="仿宋" w:cs="仿宋"/>
          <w:color w:val="000000"/>
          <w:sz w:val="30"/>
          <w:szCs w:val="30"/>
          <w:lang w:eastAsia="zh-CN"/>
        </w:rPr>
        <w:t>减少</w:t>
      </w:r>
      <w:r>
        <w:rPr>
          <w:rFonts w:hint="eastAsia" w:ascii="仿宋" w:hAnsi="仿宋" w:eastAsia="仿宋" w:cs="仿宋"/>
          <w:color w:val="000000"/>
          <w:sz w:val="30"/>
          <w:szCs w:val="30"/>
        </w:rPr>
        <w:t>是因为</w:t>
      </w:r>
      <w:r>
        <w:rPr>
          <w:rFonts w:hint="eastAsia" w:ascii="仿宋" w:hAnsi="仿宋" w:eastAsia="仿宋" w:cs="仿宋"/>
          <w:color w:val="000000"/>
          <w:sz w:val="30"/>
          <w:szCs w:val="30"/>
          <w:lang w:val="en-US" w:eastAsia="zh-CN"/>
        </w:rPr>
        <w:t>2022年度项目支出特别是一大队业务技术用房建设项目工程款支付相对较少</w:t>
      </w:r>
      <w:r>
        <w:rPr>
          <w:rFonts w:hint="eastAsia" w:ascii="仿宋" w:hAnsi="仿宋" w:eastAsia="仿宋" w:cs="仿宋"/>
          <w:color w:val="000000"/>
          <w:sz w:val="30"/>
          <w:szCs w:val="30"/>
        </w:rPr>
        <w:t>。</w:t>
      </w:r>
    </w:p>
    <w:p w14:paraId="01A4F4C1">
      <w:pPr>
        <w:ind w:firstLine="420" w:firstLineChars="200"/>
      </w:pPr>
    </w:p>
    <w:p w14:paraId="4ABBE042">
      <w:r>
        <w:drawing>
          <wp:inline distT="0" distB="0" distL="0" distR="0">
            <wp:extent cx="5274310" cy="3076575"/>
            <wp:effectExtent l="5080" t="4445" r="16510" b="508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E4F287F">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14:paraId="7FE0C9C0">
      <w:pPr>
        <w:spacing w:line="600" w:lineRule="exact"/>
        <w:ind w:firstLine="640" w:firstLineChars="200"/>
        <w:jc w:val="left"/>
        <w:rPr>
          <w:rFonts w:ascii="仿宋_GB2312" w:eastAsia="仿宋_GB2312"/>
          <w:color w:val="000000"/>
          <w:sz w:val="32"/>
          <w:szCs w:val="32"/>
        </w:rPr>
      </w:pPr>
    </w:p>
    <w:p w14:paraId="512C632C">
      <w:pPr>
        <w:pStyle w:val="26"/>
        <w:numPr>
          <w:ilvl w:val="0"/>
          <w:numId w:val="1"/>
        </w:numPr>
        <w:spacing w:line="600" w:lineRule="exact"/>
        <w:ind w:firstLineChars="0"/>
        <w:outlineLvl w:val="1"/>
        <w:rPr>
          <w:rStyle w:val="28"/>
          <w:rFonts w:ascii="黑体" w:hAnsi="黑体" w:eastAsia="黑体"/>
          <w:b w:val="0"/>
        </w:rPr>
      </w:pPr>
      <w:bookmarkStart w:id="25" w:name="_Toc15396604"/>
      <w:bookmarkStart w:id="26"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5"/>
      <w:bookmarkEnd w:id="26"/>
    </w:p>
    <w:p w14:paraId="15D77E88">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22</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w:t>
      </w:r>
      <w:r>
        <w:rPr>
          <w:rFonts w:hint="eastAsia" w:ascii="仿宋" w:hAnsi="仿宋" w:eastAsia="仿宋" w:cs="仿宋"/>
          <w:color w:val="000000"/>
          <w:sz w:val="30"/>
          <w:szCs w:val="30"/>
        </w:rPr>
        <w:t>本年收入合计</w:t>
      </w:r>
      <w:r>
        <w:rPr>
          <w:rFonts w:hint="eastAsia" w:ascii="仿宋" w:hAnsi="仿宋" w:eastAsia="仿宋" w:cs="仿宋"/>
          <w:color w:val="000000"/>
          <w:sz w:val="30"/>
          <w:szCs w:val="30"/>
          <w:lang w:val="en-US" w:eastAsia="zh-CN"/>
        </w:rPr>
        <w:t>11235.53</w:t>
      </w:r>
      <w:r>
        <w:rPr>
          <w:rFonts w:hint="eastAsia" w:ascii="仿宋" w:hAnsi="仿宋" w:eastAsia="仿宋" w:cs="仿宋"/>
          <w:color w:val="000000"/>
          <w:sz w:val="30"/>
          <w:szCs w:val="30"/>
        </w:rPr>
        <w:t>万元，其中：一般公共预算财政拨款收入</w:t>
      </w:r>
      <w:r>
        <w:rPr>
          <w:rFonts w:hint="eastAsia" w:ascii="仿宋" w:hAnsi="仿宋" w:eastAsia="仿宋" w:cs="仿宋"/>
          <w:color w:val="000000"/>
          <w:sz w:val="30"/>
          <w:szCs w:val="30"/>
          <w:lang w:val="en-US" w:eastAsia="zh-CN"/>
        </w:rPr>
        <w:t>10353.86</w:t>
      </w:r>
      <w:r>
        <w:rPr>
          <w:rFonts w:hint="eastAsia" w:ascii="仿宋" w:hAnsi="仿宋" w:eastAsia="仿宋" w:cs="仿宋"/>
          <w:color w:val="000000"/>
          <w:sz w:val="30"/>
          <w:szCs w:val="30"/>
        </w:rPr>
        <w:t>万元，占</w:t>
      </w:r>
      <w:r>
        <w:rPr>
          <w:rFonts w:hint="eastAsia" w:ascii="仿宋" w:hAnsi="仿宋" w:eastAsia="仿宋" w:cs="仿宋"/>
          <w:color w:val="000000"/>
          <w:sz w:val="30"/>
          <w:szCs w:val="30"/>
          <w:lang w:val="en-US" w:eastAsia="zh-CN"/>
        </w:rPr>
        <w:t>92.15</w:t>
      </w:r>
      <w:r>
        <w:rPr>
          <w:rFonts w:hint="eastAsia" w:ascii="仿宋" w:hAnsi="仿宋" w:eastAsia="仿宋" w:cs="仿宋"/>
          <w:color w:val="000000"/>
          <w:sz w:val="30"/>
          <w:szCs w:val="30"/>
        </w:rPr>
        <w:t>%；政府性基金预算财政拨款收入</w:t>
      </w:r>
      <w:r>
        <w:rPr>
          <w:rFonts w:hint="eastAsia" w:ascii="仿宋" w:hAnsi="仿宋" w:eastAsia="仿宋" w:cs="仿宋"/>
          <w:color w:val="000000"/>
          <w:sz w:val="30"/>
          <w:szCs w:val="30"/>
          <w:lang w:val="en-US" w:eastAsia="zh-CN"/>
        </w:rPr>
        <w:t>881.67</w:t>
      </w:r>
      <w:r>
        <w:rPr>
          <w:rFonts w:hint="eastAsia" w:ascii="仿宋" w:hAnsi="仿宋" w:eastAsia="仿宋" w:cs="仿宋"/>
          <w:color w:val="000000"/>
          <w:sz w:val="30"/>
          <w:szCs w:val="30"/>
        </w:rPr>
        <w:t>万元，占</w:t>
      </w:r>
      <w:r>
        <w:rPr>
          <w:rFonts w:hint="eastAsia" w:ascii="仿宋" w:hAnsi="仿宋" w:eastAsia="仿宋" w:cs="仿宋"/>
          <w:color w:val="000000"/>
          <w:sz w:val="30"/>
          <w:szCs w:val="30"/>
          <w:lang w:val="en-US" w:eastAsia="zh-CN"/>
        </w:rPr>
        <w:t>7.85</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；国有资本经营预算财政拨款收入</w:t>
      </w:r>
      <w:r>
        <w:rPr>
          <w:rFonts w:hint="eastAsia" w:ascii="仿宋" w:hAnsi="仿宋" w:eastAsia="仿宋" w:cs="仿宋"/>
          <w:color w:val="000000"/>
          <w:sz w:val="30"/>
          <w:szCs w:val="30"/>
          <w:lang w:val="en-US" w:eastAsia="zh-CN"/>
        </w:rPr>
        <w:t>0万元，占0%；</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仿宋"/>
          <w:color w:val="000000"/>
          <w:sz w:val="30"/>
          <w:szCs w:val="30"/>
        </w:rPr>
        <w:t>其他收入</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万元，占</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w:t>
      </w:r>
    </w:p>
    <w:p w14:paraId="07BEAB68">
      <w:r>
        <w:drawing>
          <wp:inline distT="0" distB="0" distL="0" distR="0">
            <wp:extent cx="5274310" cy="3076575"/>
            <wp:effectExtent l="5080" t="4445" r="16510" b="508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7A8014">
      <w:pPr>
        <w:spacing w:line="600" w:lineRule="exact"/>
        <w:outlineLvl w:val="1"/>
        <w:rPr>
          <w:rFonts w:ascii="仿宋" w:hAnsi="仿宋" w:eastAsia="仿宋"/>
          <w:color w:val="000000"/>
          <w:sz w:val="32"/>
          <w:szCs w:val="32"/>
        </w:rPr>
      </w:pPr>
    </w:p>
    <w:p w14:paraId="190C0CC8">
      <w:pPr>
        <w:spacing w:line="600" w:lineRule="exact"/>
        <w:ind w:firstLine="1600" w:firstLineChars="5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w:t>
      </w:r>
    </w:p>
    <w:p w14:paraId="5808C0D0">
      <w:pPr>
        <w:spacing w:line="600" w:lineRule="exact"/>
        <w:ind w:firstLine="640" w:firstLineChars="200"/>
        <w:rPr>
          <w:rFonts w:ascii="仿宋_GB2312" w:eastAsia="仿宋_GB2312"/>
          <w:color w:val="FF0000"/>
          <w:sz w:val="32"/>
          <w:szCs w:val="32"/>
        </w:rPr>
      </w:pPr>
    </w:p>
    <w:p w14:paraId="7D2EE13D">
      <w:pPr>
        <w:pStyle w:val="26"/>
        <w:numPr>
          <w:ilvl w:val="0"/>
          <w:numId w:val="1"/>
        </w:numPr>
        <w:spacing w:line="600" w:lineRule="exact"/>
        <w:ind w:firstLineChars="0"/>
        <w:outlineLvl w:val="1"/>
        <w:rPr>
          <w:rStyle w:val="28"/>
          <w:rFonts w:ascii="黑体" w:hAnsi="黑体" w:eastAsia="黑体"/>
          <w:b w:val="0"/>
        </w:rPr>
      </w:pPr>
      <w:bookmarkStart w:id="27" w:name="_Toc15377207"/>
      <w:bookmarkStart w:id="28"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7"/>
      <w:bookmarkEnd w:id="28"/>
    </w:p>
    <w:p w14:paraId="3D557B10">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w:t>
      </w:r>
      <w:r>
        <w:rPr>
          <w:rFonts w:hint="eastAsia" w:ascii="仿宋_GB2312" w:eastAsia="仿宋_GB2312"/>
          <w:color w:val="000000"/>
          <w:sz w:val="30"/>
          <w:szCs w:val="30"/>
        </w:rPr>
        <w:t>本年支出合计</w:t>
      </w:r>
      <w:r>
        <w:rPr>
          <w:rFonts w:hint="eastAsia" w:ascii="仿宋_GB2312" w:eastAsia="仿宋_GB2312"/>
          <w:color w:val="000000"/>
          <w:sz w:val="30"/>
          <w:szCs w:val="30"/>
          <w:lang w:val="en-US" w:eastAsia="zh-CN"/>
        </w:rPr>
        <w:t>11235.53</w:t>
      </w:r>
      <w:r>
        <w:rPr>
          <w:rFonts w:hint="eastAsia" w:ascii="仿宋_GB2312" w:eastAsia="仿宋_GB2312"/>
          <w:color w:val="000000"/>
          <w:sz w:val="30"/>
          <w:szCs w:val="30"/>
        </w:rPr>
        <w:t>万元，其中：基本支出</w:t>
      </w:r>
      <w:r>
        <w:rPr>
          <w:rFonts w:hint="eastAsia" w:ascii="仿宋_GB2312" w:eastAsia="仿宋_GB2312"/>
          <w:color w:val="000000"/>
          <w:sz w:val="30"/>
          <w:szCs w:val="30"/>
          <w:lang w:val="en-US" w:eastAsia="zh-CN"/>
        </w:rPr>
        <w:t>5774.17</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51.39</w:t>
      </w:r>
      <w:r>
        <w:rPr>
          <w:rFonts w:hint="eastAsia" w:ascii="仿宋_GB2312" w:eastAsia="仿宋_GB2312"/>
          <w:color w:val="000000"/>
          <w:sz w:val="30"/>
          <w:szCs w:val="30"/>
        </w:rPr>
        <w:t>%；项目支出</w:t>
      </w:r>
      <w:r>
        <w:rPr>
          <w:rFonts w:hint="eastAsia" w:ascii="仿宋_GB2312" w:eastAsia="仿宋_GB2312"/>
          <w:color w:val="000000"/>
          <w:sz w:val="30"/>
          <w:szCs w:val="30"/>
          <w:lang w:val="en-US" w:eastAsia="zh-CN"/>
        </w:rPr>
        <w:t>5461.37</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48.61</w:t>
      </w:r>
      <w:r>
        <w:rPr>
          <w:rFonts w:hint="eastAsia" w:ascii="仿宋_GB2312" w:eastAsia="仿宋_GB2312"/>
          <w:color w:val="000000"/>
          <w:sz w:val="30"/>
          <w:szCs w:val="30"/>
        </w:rPr>
        <w:t>%</w:t>
      </w:r>
      <w:r>
        <w:rPr>
          <w:rFonts w:hint="eastAsia" w:ascii="仿宋_GB2312" w:eastAsia="仿宋_GB2312"/>
          <w:color w:val="000000"/>
          <w:sz w:val="30"/>
          <w:szCs w:val="30"/>
          <w:lang w:eastAsia="zh-CN"/>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_GB2312" w:eastAsia="仿宋_GB2312"/>
          <w:color w:val="000000"/>
          <w:sz w:val="30"/>
          <w:szCs w:val="30"/>
        </w:rPr>
        <w:t>。</w:t>
      </w:r>
    </w:p>
    <w:p w14:paraId="1930914E">
      <w:r>
        <w:drawing>
          <wp:inline distT="0" distB="0" distL="0" distR="0">
            <wp:extent cx="5274310" cy="3076575"/>
            <wp:effectExtent l="5080" t="4445" r="16510" b="508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98E5DB">
      <w:pPr>
        <w:spacing w:line="600" w:lineRule="exact"/>
        <w:rPr>
          <w:rFonts w:ascii="仿宋" w:hAnsi="仿宋" w:eastAsia="仿宋"/>
          <w:color w:val="000000"/>
          <w:sz w:val="32"/>
          <w:szCs w:val="32"/>
          <w:shd w:val="pct10" w:color="auto" w:fill="FFFFFF"/>
        </w:rPr>
      </w:pPr>
    </w:p>
    <w:p w14:paraId="025659EF">
      <w:pPr>
        <w:spacing w:line="600" w:lineRule="exact"/>
        <w:ind w:firstLine="1280" w:firstLineChars="4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14:paraId="249407DF">
      <w:pPr>
        <w:spacing w:line="600" w:lineRule="exact"/>
        <w:ind w:firstLine="640" w:firstLineChars="200"/>
        <w:rPr>
          <w:rFonts w:ascii="仿宋_GB2312" w:eastAsia="仿宋_GB2312"/>
          <w:color w:val="FF0000"/>
          <w:sz w:val="32"/>
          <w:szCs w:val="32"/>
        </w:rPr>
      </w:pPr>
    </w:p>
    <w:p w14:paraId="37F57544">
      <w:pPr>
        <w:spacing w:line="600" w:lineRule="exact"/>
        <w:ind w:firstLine="640" w:firstLineChars="200"/>
        <w:outlineLvl w:val="1"/>
        <w:rPr>
          <w:rStyle w:val="28"/>
          <w:rFonts w:ascii="黑体" w:hAnsi="黑体" w:eastAsia="黑体"/>
          <w:b w:val="0"/>
        </w:rPr>
      </w:pPr>
      <w:bookmarkStart w:id="29" w:name="_Toc15396606"/>
      <w:bookmarkStart w:id="30"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9"/>
      <w:bookmarkEnd w:id="30"/>
    </w:p>
    <w:p w14:paraId="7FABADAC">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年度财政拨款收</w:t>
      </w:r>
      <w:r>
        <w:rPr>
          <w:rFonts w:hint="eastAsia" w:ascii="仿宋_GB2312" w:eastAsia="仿宋_GB2312"/>
          <w:color w:val="000000"/>
          <w:sz w:val="30"/>
          <w:szCs w:val="30"/>
          <w:lang w:eastAsia="zh-CN"/>
        </w:rPr>
        <w:t>入、支出总计</w:t>
      </w:r>
      <w:r>
        <w:rPr>
          <w:rFonts w:hint="eastAsia" w:ascii="仿宋_GB2312" w:eastAsia="仿宋_GB2312"/>
          <w:color w:val="000000"/>
          <w:sz w:val="30"/>
          <w:szCs w:val="30"/>
          <w:lang w:val="en-US" w:eastAsia="zh-CN"/>
        </w:rPr>
        <w:t>11235.53万元</w:t>
      </w:r>
      <w:r>
        <w:rPr>
          <w:rFonts w:hint="eastAsia" w:ascii="仿宋_GB2312" w:eastAsia="仿宋_GB2312"/>
          <w:color w:val="000000"/>
          <w:sz w:val="30"/>
          <w:szCs w:val="30"/>
        </w:rPr>
        <w:t>。与20</w:t>
      </w:r>
      <w:r>
        <w:rPr>
          <w:rFonts w:hint="eastAsia" w:ascii="仿宋_GB2312" w:eastAsia="仿宋_GB2312"/>
          <w:color w:val="000000"/>
          <w:sz w:val="30"/>
          <w:szCs w:val="30"/>
          <w:lang w:val="en-US" w:eastAsia="zh-CN"/>
        </w:rPr>
        <w:t>21</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度相比，</w:t>
      </w:r>
      <w:r>
        <w:rPr>
          <w:rFonts w:hint="eastAsia" w:ascii="仿宋_GB2312" w:eastAsia="仿宋_GB2312"/>
          <w:color w:val="000000"/>
          <w:sz w:val="30"/>
          <w:szCs w:val="30"/>
        </w:rPr>
        <w:t>财政拨款收入</w:t>
      </w:r>
      <w:r>
        <w:rPr>
          <w:rFonts w:hint="eastAsia" w:ascii="仿宋_GB2312" w:eastAsia="仿宋_GB2312"/>
          <w:color w:val="000000"/>
          <w:sz w:val="30"/>
          <w:szCs w:val="30"/>
          <w:lang w:val="en-US" w:eastAsia="zh-CN"/>
        </w:rPr>
        <w:t>总计增加2150.48万元，增长23.67</w:t>
      </w:r>
      <w:r>
        <w:rPr>
          <w:rFonts w:hint="eastAsia" w:ascii="仿宋_GB2312" w:eastAsia="仿宋_GB2312"/>
          <w:color w:val="000000"/>
          <w:sz w:val="30"/>
          <w:szCs w:val="30"/>
        </w:rPr>
        <w:t>%</w:t>
      </w:r>
      <w:r>
        <w:rPr>
          <w:rFonts w:hint="eastAsia" w:ascii="仿宋_GB2312" w:eastAsia="仿宋_GB2312"/>
          <w:color w:val="000000"/>
          <w:sz w:val="30"/>
          <w:szCs w:val="30"/>
          <w:lang w:eastAsia="zh-CN"/>
        </w:rPr>
        <w:t>，财政拨款</w:t>
      </w:r>
      <w:r>
        <w:rPr>
          <w:rFonts w:hint="eastAsia" w:ascii="仿宋_GB2312" w:eastAsia="仿宋_GB2312"/>
          <w:color w:val="000000"/>
          <w:sz w:val="30"/>
          <w:szCs w:val="30"/>
        </w:rPr>
        <w:t>支出</w:t>
      </w:r>
      <w:r>
        <w:rPr>
          <w:rFonts w:hint="eastAsia" w:ascii="仿宋_GB2312" w:eastAsia="仿宋_GB2312"/>
          <w:color w:val="000000"/>
          <w:sz w:val="30"/>
          <w:szCs w:val="30"/>
          <w:lang w:eastAsia="zh-CN"/>
        </w:rPr>
        <w:t>总计减少</w:t>
      </w:r>
      <w:r>
        <w:rPr>
          <w:rFonts w:hint="eastAsia" w:ascii="仿宋_GB2312" w:eastAsia="仿宋_GB2312"/>
          <w:color w:val="000000"/>
          <w:sz w:val="30"/>
          <w:szCs w:val="30"/>
          <w:lang w:val="en-US" w:eastAsia="zh-CN"/>
        </w:rPr>
        <w:t>524.82</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下降</w:t>
      </w:r>
      <w:r>
        <w:rPr>
          <w:rFonts w:hint="eastAsia" w:ascii="仿宋_GB2312" w:eastAsia="仿宋_GB2312"/>
          <w:color w:val="000000"/>
          <w:sz w:val="30"/>
          <w:szCs w:val="30"/>
          <w:lang w:val="en-US" w:eastAsia="zh-CN"/>
        </w:rPr>
        <w:t>4.46</w:t>
      </w:r>
      <w:r>
        <w:rPr>
          <w:rFonts w:hint="eastAsia" w:ascii="仿宋_GB2312" w:eastAsia="仿宋_GB2312"/>
          <w:color w:val="000000"/>
          <w:sz w:val="30"/>
          <w:szCs w:val="30"/>
        </w:rPr>
        <w:t>%。变动的主要原因是</w:t>
      </w:r>
      <w:r>
        <w:rPr>
          <w:rFonts w:hint="eastAsia" w:ascii="仿宋_GB2312" w:eastAsia="仿宋_GB2312"/>
          <w:color w:val="000000"/>
          <w:sz w:val="30"/>
          <w:szCs w:val="30"/>
          <w:lang w:val="en-US" w:eastAsia="zh-CN"/>
        </w:rPr>
        <w:t>2021年度财政拨款收入增加了省级转移支付收入和政府性基金财政拨款收入，支出下降的原因是2022年度项目特别是一大队业务技术用房建设项目支付资金减少</w:t>
      </w:r>
      <w:r>
        <w:rPr>
          <w:rFonts w:hint="eastAsia" w:ascii="仿宋_GB2312" w:eastAsia="仿宋_GB2312"/>
          <w:color w:val="000000"/>
          <w:sz w:val="30"/>
          <w:szCs w:val="30"/>
        </w:rPr>
        <w:t>。</w:t>
      </w:r>
    </w:p>
    <w:p w14:paraId="725A6486">
      <w:r>
        <w:drawing>
          <wp:inline distT="0" distB="0" distL="0" distR="0">
            <wp:extent cx="5274310" cy="3076575"/>
            <wp:effectExtent l="19050" t="0" r="2159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DBF149">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6EDE5AA3">
      <w:pPr>
        <w:spacing w:line="600" w:lineRule="exact"/>
        <w:ind w:firstLine="640"/>
        <w:rPr>
          <w:rFonts w:ascii="仿宋" w:hAnsi="仿宋" w:eastAsia="仿宋"/>
          <w:b/>
          <w:color w:val="00B050"/>
          <w:sz w:val="32"/>
          <w:szCs w:val="32"/>
        </w:rPr>
      </w:pPr>
    </w:p>
    <w:p w14:paraId="65191C5C">
      <w:pPr>
        <w:spacing w:line="600" w:lineRule="exact"/>
        <w:ind w:firstLine="640" w:firstLineChars="200"/>
        <w:outlineLvl w:val="1"/>
        <w:rPr>
          <w:rStyle w:val="28"/>
          <w:rFonts w:ascii="黑体" w:hAnsi="黑体" w:eastAsia="黑体"/>
          <w:b w:val="0"/>
        </w:rPr>
      </w:pPr>
      <w:bookmarkStart w:id="31" w:name="_Toc15377209"/>
      <w:bookmarkStart w:id="3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1"/>
      <w:bookmarkEnd w:id="32"/>
    </w:p>
    <w:p w14:paraId="055DBDCE">
      <w:pPr>
        <w:spacing w:line="600" w:lineRule="exact"/>
        <w:ind w:firstLine="643" w:firstLineChars="200"/>
        <w:outlineLvl w:val="2"/>
        <w:rPr>
          <w:rFonts w:ascii="仿宋" w:hAnsi="仿宋" w:eastAsia="仿宋"/>
          <w:b/>
          <w:color w:val="000000"/>
          <w:sz w:val="32"/>
          <w:szCs w:val="32"/>
        </w:rPr>
      </w:pPr>
      <w:bookmarkStart w:id="33" w:name="_Toc15377210"/>
      <w:r>
        <w:rPr>
          <w:rFonts w:hint="eastAsia" w:ascii="仿宋" w:hAnsi="仿宋" w:eastAsia="仿宋"/>
          <w:b/>
          <w:color w:val="000000"/>
          <w:sz w:val="32"/>
          <w:szCs w:val="32"/>
        </w:rPr>
        <w:t>（一）一般公共预算财政拨款支出决算总体情况</w:t>
      </w:r>
      <w:bookmarkEnd w:id="33"/>
    </w:p>
    <w:p w14:paraId="79E09FFD">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w:t>
      </w:r>
      <w:r>
        <w:rPr>
          <w:rFonts w:hint="eastAsia" w:ascii="仿宋_GB2312" w:eastAsia="仿宋_GB2312"/>
          <w:color w:val="000000"/>
          <w:sz w:val="30"/>
          <w:szCs w:val="30"/>
        </w:rPr>
        <w:t>一般公共预算财政拨款支出</w:t>
      </w:r>
      <w:r>
        <w:rPr>
          <w:rFonts w:hint="eastAsia" w:ascii="仿宋_GB2312" w:eastAsia="仿宋_GB2312"/>
          <w:color w:val="000000"/>
          <w:sz w:val="30"/>
          <w:szCs w:val="30"/>
          <w:lang w:val="en-US" w:eastAsia="zh-CN"/>
        </w:rPr>
        <w:t>10353.86</w:t>
      </w:r>
      <w:r>
        <w:rPr>
          <w:rFonts w:hint="eastAsia" w:ascii="仿宋_GB2312" w:eastAsia="仿宋_GB2312"/>
          <w:color w:val="000000"/>
          <w:sz w:val="30"/>
          <w:szCs w:val="30"/>
        </w:rPr>
        <w:t>万元，占本年支出合计的</w:t>
      </w:r>
      <w:r>
        <w:rPr>
          <w:rFonts w:hint="eastAsia" w:ascii="仿宋_GB2312" w:eastAsia="仿宋_GB2312"/>
          <w:color w:val="000000"/>
          <w:sz w:val="30"/>
          <w:szCs w:val="30"/>
          <w:lang w:val="en-US" w:eastAsia="zh-CN"/>
        </w:rPr>
        <w:t>92.15</w:t>
      </w:r>
      <w:r>
        <w:rPr>
          <w:rFonts w:hint="eastAsia" w:ascii="仿宋_GB2312" w:eastAsia="仿宋_GB2312"/>
          <w:color w:val="000000"/>
          <w:sz w:val="30"/>
          <w:szCs w:val="30"/>
        </w:rPr>
        <w:t>%。与20</w:t>
      </w:r>
      <w:r>
        <w:rPr>
          <w:rFonts w:hint="eastAsia" w:ascii="仿宋_GB2312" w:eastAsia="仿宋_GB2312"/>
          <w:color w:val="000000"/>
          <w:sz w:val="30"/>
          <w:szCs w:val="30"/>
          <w:lang w:val="en-US" w:eastAsia="zh-CN"/>
        </w:rPr>
        <w:t>21</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w:t>
      </w:r>
      <w:r>
        <w:rPr>
          <w:rFonts w:hint="eastAsia" w:ascii="仿宋_GB2312" w:eastAsia="仿宋_GB2312"/>
          <w:color w:val="000000"/>
          <w:sz w:val="30"/>
          <w:szCs w:val="30"/>
        </w:rPr>
        <w:t>相比，一般公共预算财政拨款</w:t>
      </w:r>
      <w:r>
        <w:rPr>
          <w:rFonts w:hint="eastAsia" w:ascii="仿宋_GB2312" w:eastAsia="仿宋_GB2312"/>
          <w:color w:val="000000"/>
          <w:sz w:val="30"/>
          <w:szCs w:val="30"/>
          <w:lang w:eastAsia="zh-CN"/>
        </w:rPr>
        <w:t>减少</w:t>
      </w:r>
      <w:r>
        <w:rPr>
          <w:rFonts w:hint="eastAsia" w:ascii="仿宋_GB2312" w:eastAsia="仿宋_GB2312"/>
          <w:color w:val="000000"/>
          <w:sz w:val="30"/>
          <w:szCs w:val="30"/>
          <w:lang w:val="en-US" w:eastAsia="zh-CN"/>
        </w:rPr>
        <w:t>1379.67</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下降</w:t>
      </w:r>
      <w:r>
        <w:rPr>
          <w:rFonts w:hint="eastAsia" w:ascii="仿宋_GB2312" w:eastAsia="仿宋_GB2312"/>
          <w:color w:val="000000"/>
          <w:sz w:val="30"/>
          <w:szCs w:val="30"/>
          <w:lang w:val="en-US" w:eastAsia="zh-CN"/>
        </w:rPr>
        <w:t>11.76</w:t>
      </w:r>
      <w:r>
        <w:rPr>
          <w:rFonts w:hint="eastAsia" w:ascii="仿宋_GB2312" w:eastAsia="仿宋_GB2312"/>
          <w:color w:val="000000"/>
          <w:sz w:val="30"/>
          <w:szCs w:val="30"/>
        </w:rPr>
        <w:t>%。变动的主要原因是</w:t>
      </w:r>
      <w:r>
        <w:rPr>
          <w:rFonts w:hint="eastAsia" w:ascii="仿宋_GB2312" w:eastAsia="仿宋_GB2312"/>
          <w:color w:val="000000"/>
          <w:sz w:val="30"/>
          <w:szCs w:val="30"/>
          <w:lang w:val="en-US" w:eastAsia="zh-CN"/>
        </w:rPr>
        <w:t>2021年度实施了2020年度未完成的项目，2022年度项目实施金额减少</w:t>
      </w:r>
      <w:r>
        <w:rPr>
          <w:rFonts w:hint="eastAsia" w:ascii="仿宋_GB2312" w:eastAsia="仿宋_GB2312"/>
          <w:color w:val="000000"/>
          <w:sz w:val="30"/>
          <w:szCs w:val="30"/>
        </w:rPr>
        <w:t>。</w:t>
      </w:r>
    </w:p>
    <w:p w14:paraId="115C8786">
      <w:pPr>
        <w:rPr>
          <w:rFonts w:ascii="仿宋_GB2312" w:eastAsia="仿宋_GB2312"/>
          <w:sz w:val="32"/>
          <w:szCs w:val="32"/>
        </w:rPr>
      </w:pPr>
    </w:p>
    <w:p w14:paraId="32FFE11D">
      <w:pPr>
        <w:rPr>
          <w:rFonts w:ascii="仿宋_GB2312" w:eastAsia="仿宋_GB2312"/>
          <w:sz w:val="32"/>
          <w:szCs w:val="32"/>
        </w:rPr>
      </w:pPr>
      <w:r>
        <w:rPr>
          <w:rFonts w:hint="eastAsia" w:ascii="仿宋_GB2312" w:eastAsia="仿宋_GB2312"/>
          <w:sz w:val="32"/>
          <w:szCs w:val="32"/>
        </w:rPr>
        <w:drawing>
          <wp:inline distT="0" distB="0" distL="0" distR="0">
            <wp:extent cx="5274310" cy="3076575"/>
            <wp:effectExtent l="19050" t="0" r="2159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2139B7">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14:paraId="520AE99E">
      <w:pPr>
        <w:spacing w:line="600" w:lineRule="exact"/>
        <w:ind w:firstLine="643" w:firstLineChars="200"/>
        <w:outlineLvl w:val="2"/>
        <w:rPr>
          <w:rFonts w:ascii="仿宋" w:hAnsi="仿宋" w:eastAsia="仿宋"/>
          <w:b/>
          <w:color w:val="000000"/>
          <w:sz w:val="32"/>
          <w:szCs w:val="32"/>
        </w:rPr>
      </w:pPr>
      <w:bookmarkStart w:id="34" w:name="_Toc15377211"/>
      <w:r>
        <w:rPr>
          <w:rFonts w:hint="eastAsia" w:ascii="仿宋" w:hAnsi="仿宋" w:eastAsia="仿宋"/>
          <w:b/>
          <w:color w:val="000000"/>
          <w:sz w:val="32"/>
          <w:szCs w:val="32"/>
        </w:rPr>
        <w:t>（二）一般公共预算财政拨款支出决算结构情况</w:t>
      </w:r>
      <w:bookmarkEnd w:id="34"/>
    </w:p>
    <w:p w14:paraId="01397A8B">
      <w:pPr>
        <w:spacing w:line="600" w:lineRule="exact"/>
        <w:ind w:firstLine="640"/>
        <w:rPr>
          <w:rFonts w:hint="default" w:ascii="仿宋_GB2312" w:eastAsia="仿宋_GB2312"/>
          <w:color w:val="000000"/>
          <w:sz w:val="30"/>
          <w:szCs w:val="30"/>
          <w:lang w:val="en-US" w:eastAsia="zh-CN"/>
        </w:rPr>
      </w:pPr>
      <w:r>
        <w:rPr>
          <w:rFonts w:hint="eastAsia"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w:t>
      </w:r>
      <w:r>
        <w:rPr>
          <w:rFonts w:hint="eastAsia" w:ascii="仿宋_GB2312" w:eastAsia="仿宋_GB2312"/>
          <w:color w:val="000000"/>
          <w:sz w:val="30"/>
          <w:szCs w:val="30"/>
        </w:rPr>
        <w:t>一般公共预算财政拨款支出</w:t>
      </w:r>
      <w:r>
        <w:rPr>
          <w:rFonts w:hint="eastAsia" w:ascii="仿宋_GB2312" w:eastAsia="仿宋_GB2312"/>
          <w:color w:val="000000"/>
          <w:sz w:val="30"/>
          <w:szCs w:val="30"/>
          <w:lang w:val="en-US" w:eastAsia="zh-CN"/>
        </w:rPr>
        <w:t>10353.86</w:t>
      </w:r>
      <w:r>
        <w:rPr>
          <w:rFonts w:hint="eastAsia" w:ascii="仿宋_GB2312" w:eastAsia="仿宋_GB2312"/>
          <w:color w:val="000000"/>
          <w:sz w:val="30"/>
          <w:szCs w:val="30"/>
        </w:rPr>
        <w:t>万元，主要用于以下方面</w:t>
      </w:r>
      <w:r>
        <w:rPr>
          <w:rFonts w:hint="eastAsia" w:ascii="仿宋_GB2312" w:eastAsia="仿宋_GB2312"/>
          <w:color w:val="000000"/>
          <w:sz w:val="30"/>
          <w:szCs w:val="30"/>
          <w:lang w:eastAsia="zh-CN"/>
        </w:rPr>
        <w:t>：</w:t>
      </w:r>
      <w:r>
        <w:rPr>
          <w:rFonts w:hint="eastAsia" w:ascii="仿宋_GB2312" w:eastAsia="仿宋_GB2312"/>
          <w:b/>
          <w:color w:val="000000"/>
          <w:sz w:val="30"/>
          <w:szCs w:val="30"/>
        </w:rPr>
        <w:t>公共安全支出（类）</w:t>
      </w:r>
      <w:r>
        <w:rPr>
          <w:rFonts w:hint="eastAsia" w:ascii="仿宋_GB2312" w:eastAsia="仿宋_GB2312"/>
          <w:color w:val="000000"/>
          <w:sz w:val="30"/>
          <w:szCs w:val="30"/>
        </w:rPr>
        <w:t>支出</w:t>
      </w:r>
      <w:r>
        <w:rPr>
          <w:rFonts w:hint="eastAsia" w:ascii="仿宋_GB2312" w:eastAsia="仿宋_GB2312"/>
          <w:color w:val="000000"/>
          <w:sz w:val="30"/>
          <w:szCs w:val="30"/>
          <w:lang w:val="en-US" w:eastAsia="zh-CN"/>
        </w:rPr>
        <w:t>9802.01</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94.67</w:t>
      </w:r>
      <w:r>
        <w:rPr>
          <w:rFonts w:hint="eastAsia" w:ascii="仿宋_GB2312" w:eastAsia="仿宋_GB2312"/>
          <w:color w:val="000000"/>
          <w:sz w:val="30"/>
          <w:szCs w:val="30"/>
        </w:rPr>
        <w:t>%；</w:t>
      </w:r>
      <w:r>
        <w:rPr>
          <w:rFonts w:hint="eastAsia" w:ascii="仿宋_GB2312" w:eastAsia="仿宋_GB2312"/>
          <w:b/>
          <w:color w:val="000000"/>
          <w:sz w:val="30"/>
          <w:szCs w:val="30"/>
        </w:rPr>
        <w:t>社会保障和就业支出</w:t>
      </w:r>
      <w:r>
        <w:rPr>
          <w:rFonts w:hint="eastAsia" w:ascii="仿宋_GB2312" w:eastAsia="仿宋_GB2312"/>
          <w:b/>
          <w:color w:val="000000"/>
          <w:sz w:val="30"/>
          <w:szCs w:val="30"/>
          <w:lang w:eastAsia="zh-CN"/>
        </w:rPr>
        <w:t>（</w:t>
      </w:r>
      <w:r>
        <w:rPr>
          <w:rFonts w:hint="eastAsia" w:ascii="仿宋_GB2312" w:eastAsia="仿宋_GB2312"/>
          <w:b/>
          <w:color w:val="000000"/>
          <w:sz w:val="30"/>
          <w:szCs w:val="30"/>
        </w:rPr>
        <w:t>类</w:t>
      </w:r>
      <w:r>
        <w:rPr>
          <w:rFonts w:hint="eastAsia" w:ascii="仿宋_GB2312" w:eastAsia="仿宋_GB2312"/>
          <w:b/>
          <w:color w:val="000000"/>
          <w:sz w:val="30"/>
          <w:szCs w:val="30"/>
          <w:lang w:eastAsia="zh-CN"/>
        </w:rPr>
        <w:t>）</w:t>
      </w:r>
      <w:r>
        <w:rPr>
          <w:rFonts w:hint="eastAsia" w:ascii="仿宋_GB2312" w:eastAsia="仿宋_GB2312"/>
          <w:color w:val="000000"/>
          <w:sz w:val="30"/>
          <w:szCs w:val="30"/>
        </w:rPr>
        <w:t>支出</w:t>
      </w:r>
      <w:r>
        <w:rPr>
          <w:rFonts w:hint="eastAsia" w:ascii="仿宋_GB2312" w:eastAsia="仿宋_GB2312"/>
          <w:color w:val="000000"/>
          <w:sz w:val="30"/>
          <w:szCs w:val="30"/>
          <w:lang w:val="en-US" w:eastAsia="zh-CN"/>
        </w:rPr>
        <w:t>402.8</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3.89</w:t>
      </w:r>
      <w:r>
        <w:rPr>
          <w:rFonts w:hint="eastAsia" w:ascii="仿宋_GB2312" w:eastAsia="仿宋_GB2312"/>
          <w:color w:val="000000"/>
          <w:sz w:val="30"/>
          <w:szCs w:val="30"/>
        </w:rPr>
        <w:t>%；</w:t>
      </w:r>
      <w:r>
        <w:rPr>
          <w:rFonts w:hint="eastAsia" w:ascii="仿宋_GB2312" w:eastAsia="仿宋_GB2312"/>
          <w:b/>
          <w:color w:val="000000"/>
          <w:sz w:val="30"/>
          <w:szCs w:val="30"/>
        </w:rPr>
        <w:t>卫生健康支出（类）</w:t>
      </w:r>
      <w:r>
        <w:rPr>
          <w:rFonts w:hint="eastAsia" w:ascii="仿宋_GB2312" w:eastAsia="仿宋_GB2312"/>
          <w:color w:val="000000"/>
          <w:sz w:val="30"/>
          <w:szCs w:val="30"/>
        </w:rPr>
        <w:t>支出</w:t>
      </w:r>
      <w:r>
        <w:rPr>
          <w:rFonts w:hint="eastAsia" w:ascii="仿宋_GB2312" w:eastAsia="仿宋_GB2312"/>
          <w:color w:val="000000"/>
          <w:sz w:val="30"/>
          <w:szCs w:val="30"/>
          <w:lang w:val="en-US" w:eastAsia="zh-CN"/>
        </w:rPr>
        <w:t>149.05</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1.44</w:t>
      </w:r>
      <w:r>
        <w:rPr>
          <w:rFonts w:hint="eastAsia" w:ascii="仿宋_GB2312" w:eastAsia="仿宋_GB2312"/>
          <w:color w:val="000000"/>
          <w:sz w:val="30"/>
          <w:szCs w:val="30"/>
        </w:rPr>
        <w:t>%</w:t>
      </w:r>
      <w:r>
        <w:rPr>
          <w:rFonts w:hint="eastAsia" w:ascii="仿宋_GB2312" w:eastAsia="仿宋_GB2312"/>
          <w:color w:val="000000"/>
          <w:sz w:val="30"/>
          <w:szCs w:val="30"/>
          <w:lang w:eastAsia="zh-CN"/>
        </w:rPr>
        <w:t>。</w:t>
      </w:r>
    </w:p>
    <w:p w14:paraId="050702B7">
      <w:pPr>
        <w:rPr>
          <w:rFonts w:ascii="仿宋_GB2312" w:eastAsia="仿宋_GB2312"/>
          <w:sz w:val="32"/>
          <w:szCs w:val="32"/>
        </w:rPr>
      </w:pPr>
      <w:r>
        <w:rPr>
          <w:rFonts w:hint="eastAsia" w:ascii="仿宋_GB2312" w:eastAsia="仿宋_GB2312"/>
          <w:sz w:val="32"/>
          <w:szCs w:val="32"/>
        </w:rPr>
        <w:drawing>
          <wp:inline distT="0" distB="0" distL="0" distR="0">
            <wp:extent cx="5553075" cy="3019425"/>
            <wp:effectExtent l="19050" t="0" r="9525"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ED2C6C">
      <w:pPr>
        <w:rPr>
          <w:rFonts w:ascii="仿宋_GB2312" w:eastAsia="仿宋_GB2312"/>
          <w:sz w:val="32"/>
          <w:szCs w:val="32"/>
        </w:rPr>
      </w:pPr>
    </w:p>
    <w:p w14:paraId="09D83A6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14:paraId="239E0CE4">
      <w:pPr>
        <w:spacing w:line="600" w:lineRule="exact"/>
        <w:ind w:firstLine="640" w:firstLineChars="200"/>
        <w:rPr>
          <w:rFonts w:ascii="仿宋" w:hAnsi="仿宋" w:eastAsia="仿宋"/>
          <w:color w:val="000000"/>
          <w:sz w:val="32"/>
          <w:szCs w:val="32"/>
        </w:rPr>
      </w:pPr>
    </w:p>
    <w:p w14:paraId="04A0B9F9">
      <w:pPr>
        <w:spacing w:line="600" w:lineRule="exact"/>
        <w:ind w:firstLine="643" w:firstLineChars="200"/>
        <w:outlineLvl w:val="2"/>
        <w:rPr>
          <w:rFonts w:ascii="仿宋" w:hAnsi="仿宋" w:eastAsia="仿宋"/>
          <w:b/>
          <w:color w:val="000000"/>
          <w:sz w:val="32"/>
          <w:szCs w:val="32"/>
        </w:rPr>
      </w:pPr>
      <w:bookmarkStart w:id="35" w:name="_Toc15377212"/>
      <w:r>
        <w:rPr>
          <w:rFonts w:hint="eastAsia" w:ascii="仿宋" w:hAnsi="仿宋" w:eastAsia="仿宋"/>
          <w:b/>
          <w:color w:val="000000"/>
          <w:sz w:val="32"/>
          <w:szCs w:val="32"/>
        </w:rPr>
        <w:t>（三）一般公共预算财政拨款支出决算具体情况</w:t>
      </w:r>
      <w:bookmarkEnd w:id="35"/>
    </w:p>
    <w:p w14:paraId="12B00EAB">
      <w:pPr>
        <w:spacing w:line="600" w:lineRule="exact"/>
        <w:ind w:firstLine="602" w:firstLineChars="200"/>
        <w:outlineLvl w:val="2"/>
        <w:rPr>
          <w:rFonts w:hint="eastAsia" w:ascii="仿宋" w:hAnsi="仿宋" w:eastAsia="仿宋" w:cs="仿宋"/>
          <w:color w:val="FF0000"/>
          <w:sz w:val="30"/>
          <w:szCs w:val="30"/>
        </w:rPr>
      </w:pPr>
      <w:bookmarkStart w:id="36" w:name="_Toc15377213"/>
      <w:bookmarkStart w:id="37" w:name="_Toc15378460"/>
      <w:bookmarkStart w:id="38" w:name="_Toc15377444"/>
      <w:r>
        <w:rPr>
          <w:rFonts w:hint="eastAsia" w:ascii="仿宋" w:hAnsi="仿宋" w:eastAsia="仿宋" w:cs="仿宋"/>
          <w:b/>
          <w:color w:val="000000" w:themeColor="text1"/>
          <w:sz w:val="30"/>
          <w:szCs w:val="30"/>
        </w:rPr>
        <w:t>20</w:t>
      </w:r>
      <w:r>
        <w:rPr>
          <w:rFonts w:hint="eastAsia" w:ascii="仿宋" w:hAnsi="仿宋" w:eastAsia="仿宋" w:cs="仿宋"/>
          <w:b/>
          <w:color w:val="000000" w:themeColor="text1"/>
          <w:sz w:val="30"/>
          <w:szCs w:val="30"/>
          <w:lang w:val="en-US" w:eastAsia="zh-CN"/>
        </w:rPr>
        <w:t>22</w:t>
      </w:r>
      <w:r>
        <w:rPr>
          <w:rFonts w:hint="eastAsia" w:ascii="仿宋" w:hAnsi="仿宋" w:eastAsia="仿宋" w:cs="仿宋"/>
          <w:b/>
          <w:color w:val="000000" w:themeColor="text1"/>
          <w:sz w:val="30"/>
          <w:szCs w:val="30"/>
        </w:rPr>
        <w:t>年</w:t>
      </w:r>
      <w:r>
        <w:rPr>
          <w:rFonts w:hint="eastAsia" w:ascii="仿宋" w:hAnsi="仿宋" w:eastAsia="仿宋" w:cs="仿宋"/>
          <w:b/>
          <w:color w:val="000000" w:themeColor="text1"/>
          <w:sz w:val="30"/>
          <w:szCs w:val="30"/>
          <w:lang w:eastAsia="zh-CN"/>
        </w:rPr>
        <w:t>度一</w:t>
      </w:r>
      <w:r>
        <w:rPr>
          <w:rFonts w:hint="eastAsia" w:ascii="仿宋" w:hAnsi="仿宋" w:eastAsia="仿宋" w:cs="仿宋"/>
          <w:b/>
          <w:color w:val="000000" w:themeColor="text1"/>
          <w:sz w:val="30"/>
          <w:szCs w:val="30"/>
        </w:rPr>
        <w:t>般公共预算支出决算数为</w:t>
      </w:r>
      <w:r>
        <w:rPr>
          <w:rFonts w:hint="eastAsia" w:ascii="仿宋" w:hAnsi="仿宋" w:eastAsia="仿宋" w:cs="仿宋"/>
          <w:b/>
          <w:color w:val="000000" w:themeColor="text1"/>
          <w:sz w:val="30"/>
          <w:szCs w:val="30"/>
          <w:lang w:val="en-US" w:eastAsia="zh-CN"/>
        </w:rPr>
        <w:t>10353.86万元</w:t>
      </w:r>
      <w:r>
        <w:rPr>
          <w:rFonts w:hint="eastAsia" w:ascii="仿宋" w:hAnsi="仿宋" w:eastAsia="仿宋" w:cs="仿宋"/>
          <w:color w:val="000000" w:themeColor="text1"/>
          <w:sz w:val="30"/>
          <w:szCs w:val="30"/>
        </w:rPr>
        <w:t>，</w:t>
      </w:r>
      <w:r>
        <w:rPr>
          <w:rStyle w:val="17"/>
          <w:rFonts w:hint="eastAsia" w:ascii="仿宋" w:hAnsi="仿宋" w:eastAsia="仿宋" w:cs="仿宋"/>
          <w:bCs/>
          <w:color w:val="000000" w:themeColor="text1"/>
          <w:sz w:val="30"/>
          <w:szCs w:val="30"/>
        </w:rPr>
        <w:t>完成</w:t>
      </w:r>
      <w:r>
        <w:rPr>
          <w:rStyle w:val="17"/>
          <w:rFonts w:hint="eastAsia" w:ascii="仿宋" w:hAnsi="仿宋" w:eastAsia="仿宋" w:cs="仿宋"/>
          <w:bCs/>
          <w:color w:val="000000"/>
          <w:sz w:val="30"/>
          <w:szCs w:val="30"/>
        </w:rPr>
        <w:t>预算</w:t>
      </w:r>
      <w:r>
        <w:rPr>
          <w:rStyle w:val="17"/>
          <w:rFonts w:hint="eastAsia" w:ascii="仿宋" w:hAnsi="仿宋" w:eastAsia="仿宋" w:cs="仿宋"/>
          <w:bCs/>
          <w:color w:val="000000"/>
          <w:sz w:val="30"/>
          <w:szCs w:val="30"/>
          <w:lang w:val="en-US" w:eastAsia="zh-CN"/>
        </w:rPr>
        <w:t>100</w:t>
      </w:r>
      <w:r>
        <w:rPr>
          <w:rStyle w:val="17"/>
          <w:rFonts w:hint="eastAsia" w:ascii="仿宋" w:hAnsi="仿宋" w:eastAsia="仿宋" w:cs="仿宋"/>
          <w:bCs/>
          <w:color w:val="000000"/>
          <w:sz w:val="30"/>
          <w:szCs w:val="30"/>
        </w:rPr>
        <w:t>%。其中：</w:t>
      </w:r>
      <w:bookmarkEnd w:id="36"/>
      <w:bookmarkEnd w:id="37"/>
      <w:bookmarkEnd w:id="38"/>
    </w:p>
    <w:p w14:paraId="714A8E9C">
      <w:pPr>
        <w:numPr>
          <w:ilvl w:val="0"/>
          <w:numId w:val="0"/>
        </w:num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1.</w:t>
      </w:r>
      <w:r>
        <w:rPr>
          <w:rStyle w:val="17"/>
          <w:rFonts w:hint="eastAsia" w:ascii="仿宋" w:hAnsi="仿宋" w:eastAsia="仿宋" w:cs="仿宋"/>
          <w:color w:val="000000"/>
          <w:sz w:val="30"/>
          <w:szCs w:val="30"/>
        </w:rPr>
        <w:t>公共安全支出（类）公安（款）行政运行（项）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5198.05</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7F257FEC">
      <w:pPr>
        <w:numPr>
          <w:ilvl w:val="0"/>
          <w:numId w:val="0"/>
        </w:num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2.</w:t>
      </w:r>
      <w:r>
        <w:rPr>
          <w:rStyle w:val="17"/>
          <w:rFonts w:hint="eastAsia" w:ascii="仿宋" w:hAnsi="仿宋" w:eastAsia="仿宋" w:cs="仿宋"/>
          <w:color w:val="000000"/>
          <w:sz w:val="30"/>
          <w:szCs w:val="30"/>
        </w:rPr>
        <w:t>公共安全支出（类）公安（款）</w:t>
      </w:r>
      <w:r>
        <w:rPr>
          <w:rStyle w:val="17"/>
          <w:rFonts w:hint="eastAsia" w:ascii="仿宋" w:hAnsi="仿宋" w:eastAsia="仿宋" w:cs="仿宋"/>
          <w:color w:val="000000"/>
          <w:sz w:val="30"/>
          <w:szCs w:val="30"/>
          <w:lang w:eastAsia="zh-CN"/>
        </w:rPr>
        <w:t>一般行政管理事务</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1328.25</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4752C9D9">
      <w:pPr>
        <w:numPr>
          <w:ilvl w:val="0"/>
          <w:numId w:val="0"/>
        </w:num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3.</w:t>
      </w:r>
      <w:r>
        <w:rPr>
          <w:rStyle w:val="17"/>
          <w:rFonts w:hint="eastAsia" w:ascii="仿宋" w:hAnsi="仿宋" w:eastAsia="仿宋" w:cs="仿宋"/>
          <w:color w:val="000000"/>
          <w:sz w:val="30"/>
          <w:szCs w:val="30"/>
        </w:rPr>
        <w:t>公共安全支出（类）公安（款）</w:t>
      </w:r>
      <w:r>
        <w:rPr>
          <w:rStyle w:val="17"/>
          <w:rFonts w:hint="eastAsia" w:ascii="仿宋" w:hAnsi="仿宋" w:eastAsia="仿宋" w:cs="仿宋"/>
          <w:color w:val="000000"/>
          <w:sz w:val="30"/>
          <w:szCs w:val="30"/>
          <w:lang w:eastAsia="zh-CN"/>
        </w:rPr>
        <w:t>事业</w:t>
      </w:r>
      <w:r>
        <w:rPr>
          <w:rStyle w:val="17"/>
          <w:rFonts w:hint="eastAsia" w:ascii="仿宋" w:hAnsi="仿宋" w:eastAsia="仿宋" w:cs="仿宋"/>
          <w:color w:val="000000"/>
          <w:sz w:val="30"/>
          <w:szCs w:val="30"/>
        </w:rPr>
        <w:t>运行（项）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53.75</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393F729C">
      <w:pPr>
        <w:numPr>
          <w:ilvl w:val="0"/>
          <w:numId w:val="0"/>
        </w:num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4.</w:t>
      </w:r>
      <w:r>
        <w:rPr>
          <w:rStyle w:val="17"/>
          <w:rFonts w:hint="eastAsia" w:ascii="仿宋" w:hAnsi="仿宋" w:eastAsia="仿宋" w:cs="仿宋"/>
          <w:color w:val="000000"/>
          <w:sz w:val="30"/>
          <w:szCs w:val="30"/>
        </w:rPr>
        <w:t>公共安全支出（类）公安（款）</w:t>
      </w:r>
      <w:r>
        <w:rPr>
          <w:rStyle w:val="17"/>
          <w:rFonts w:hint="eastAsia" w:ascii="仿宋" w:hAnsi="仿宋" w:eastAsia="仿宋" w:cs="仿宋"/>
          <w:color w:val="000000"/>
          <w:sz w:val="30"/>
          <w:szCs w:val="30"/>
          <w:lang w:eastAsia="zh-CN"/>
        </w:rPr>
        <w:t>其他公安支出</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1536.01</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5D344465">
      <w:p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5.</w:t>
      </w:r>
      <w:r>
        <w:rPr>
          <w:rStyle w:val="17"/>
          <w:rFonts w:hint="eastAsia" w:ascii="仿宋" w:hAnsi="仿宋" w:eastAsia="仿宋" w:cs="仿宋"/>
          <w:color w:val="000000"/>
          <w:sz w:val="30"/>
          <w:szCs w:val="30"/>
        </w:rPr>
        <w:t>公共安全支出（类）</w:t>
      </w:r>
      <w:r>
        <w:rPr>
          <w:rStyle w:val="17"/>
          <w:rFonts w:hint="eastAsia" w:ascii="仿宋" w:hAnsi="仿宋" w:eastAsia="仿宋" w:cs="仿宋"/>
          <w:color w:val="000000"/>
          <w:sz w:val="30"/>
          <w:szCs w:val="30"/>
          <w:lang w:eastAsia="zh-CN"/>
        </w:rPr>
        <w:t>其他公共安全支出</w:t>
      </w:r>
      <w:r>
        <w:rPr>
          <w:rStyle w:val="17"/>
          <w:rFonts w:hint="eastAsia" w:ascii="仿宋" w:hAnsi="仿宋" w:eastAsia="仿宋" w:cs="仿宋"/>
          <w:color w:val="000000"/>
          <w:sz w:val="30"/>
          <w:szCs w:val="30"/>
        </w:rPr>
        <w:t>（款）</w:t>
      </w:r>
      <w:r>
        <w:rPr>
          <w:rStyle w:val="17"/>
          <w:rFonts w:hint="eastAsia" w:ascii="仿宋" w:hAnsi="仿宋" w:eastAsia="仿宋" w:cs="仿宋"/>
          <w:color w:val="000000"/>
          <w:sz w:val="30"/>
          <w:szCs w:val="30"/>
          <w:lang w:eastAsia="zh-CN"/>
        </w:rPr>
        <w:t>其他公共安全支出</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1685.94</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5D0D24BA">
      <w:pPr>
        <w:spacing w:line="600" w:lineRule="exact"/>
        <w:ind w:firstLine="602" w:firstLineChars="200"/>
        <w:rPr>
          <w:rFonts w:hint="eastAsia" w:ascii="仿宋" w:hAnsi="仿宋" w:eastAsia="仿宋" w:cs="仿宋"/>
          <w:b/>
          <w:color w:val="000000"/>
          <w:sz w:val="30"/>
          <w:szCs w:val="30"/>
        </w:rPr>
      </w:pPr>
      <w:r>
        <w:rPr>
          <w:rStyle w:val="17"/>
          <w:rFonts w:hint="eastAsia" w:ascii="仿宋" w:hAnsi="仿宋" w:eastAsia="仿宋" w:cs="仿宋"/>
          <w:color w:val="000000"/>
          <w:sz w:val="30"/>
          <w:szCs w:val="30"/>
          <w:lang w:val="en-US" w:eastAsia="zh-CN"/>
        </w:rPr>
        <w:t>6.</w:t>
      </w:r>
      <w:r>
        <w:rPr>
          <w:rStyle w:val="17"/>
          <w:rFonts w:hint="eastAsia" w:ascii="仿宋" w:hAnsi="仿宋" w:eastAsia="仿宋" w:cs="仿宋"/>
          <w:color w:val="000000"/>
          <w:sz w:val="30"/>
          <w:szCs w:val="30"/>
        </w:rPr>
        <w:t>社会保障和就业支出（类）行政事业单位养老支出（款）</w:t>
      </w:r>
      <w:r>
        <w:rPr>
          <w:rStyle w:val="17"/>
          <w:rFonts w:hint="eastAsia" w:ascii="仿宋" w:hAnsi="仿宋" w:eastAsia="仿宋" w:cs="仿宋"/>
          <w:color w:val="000000"/>
          <w:sz w:val="30"/>
          <w:szCs w:val="30"/>
          <w:lang w:eastAsia="zh-CN"/>
        </w:rPr>
        <w:t>机关事业单位基本养老保险缴费支出</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216.99</w:t>
      </w:r>
      <w:r>
        <w:rPr>
          <w:rStyle w:val="17"/>
          <w:rFonts w:hint="eastAsia" w:ascii="仿宋" w:hAnsi="仿宋" w:eastAsia="仿宋" w:cs="仿宋"/>
          <w:b w:val="0"/>
          <w:color w:val="000000"/>
          <w:sz w:val="30"/>
          <w:szCs w:val="30"/>
        </w:rPr>
        <w:t>万元，完成预算100%。</w:t>
      </w:r>
    </w:p>
    <w:p w14:paraId="2191D81E">
      <w:p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7.</w:t>
      </w:r>
      <w:r>
        <w:rPr>
          <w:rStyle w:val="17"/>
          <w:rFonts w:hint="eastAsia" w:ascii="仿宋" w:hAnsi="仿宋" w:eastAsia="仿宋" w:cs="仿宋"/>
          <w:color w:val="000000"/>
          <w:sz w:val="30"/>
          <w:szCs w:val="30"/>
        </w:rPr>
        <w:t>社会保障和就业支出（类）</w:t>
      </w:r>
      <w:r>
        <w:rPr>
          <w:rStyle w:val="17"/>
          <w:rFonts w:hint="eastAsia" w:ascii="仿宋" w:hAnsi="仿宋" w:eastAsia="仿宋" w:cs="仿宋"/>
          <w:color w:val="000000"/>
          <w:sz w:val="30"/>
          <w:szCs w:val="30"/>
          <w:lang w:eastAsia="zh-CN"/>
        </w:rPr>
        <w:t>抚恤</w:t>
      </w:r>
      <w:r>
        <w:rPr>
          <w:rStyle w:val="17"/>
          <w:rFonts w:hint="eastAsia" w:ascii="仿宋" w:hAnsi="仿宋" w:eastAsia="仿宋" w:cs="仿宋"/>
          <w:color w:val="000000"/>
          <w:sz w:val="30"/>
          <w:szCs w:val="30"/>
        </w:rPr>
        <w:t>（款）</w:t>
      </w:r>
      <w:r>
        <w:rPr>
          <w:rStyle w:val="17"/>
          <w:rFonts w:hint="eastAsia" w:ascii="仿宋" w:hAnsi="仿宋" w:eastAsia="仿宋" w:cs="仿宋"/>
          <w:color w:val="000000"/>
          <w:sz w:val="30"/>
          <w:szCs w:val="30"/>
          <w:lang w:eastAsia="zh-CN"/>
        </w:rPr>
        <w:t>死亡抚恤</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173.84</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52D64435">
      <w:p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8.</w:t>
      </w:r>
      <w:r>
        <w:rPr>
          <w:rStyle w:val="17"/>
          <w:rFonts w:hint="eastAsia" w:ascii="仿宋" w:hAnsi="仿宋" w:eastAsia="仿宋" w:cs="仿宋"/>
          <w:color w:val="000000"/>
          <w:sz w:val="30"/>
          <w:szCs w:val="30"/>
        </w:rPr>
        <w:t>社会保障和就业支出（类）</w:t>
      </w:r>
      <w:r>
        <w:rPr>
          <w:rStyle w:val="17"/>
          <w:rFonts w:hint="eastAsia" w:ascii="仿宋" w:hAnsi="仿宋" w:eastAsia="仿宋" w:cs="仿宋"/>
          <w:color w:val="000000"/>
          <w:sz w:val="30"/>
          <w:szCs w:val="30"/>
          <w:lang w:eastAsia="zh-CN"/>
        </w:rPr>
        <w:t>社会福利</w:t>
      </w:r>
      <w:r>
        <w:rPr>
          <w:rStyle w:val="17"/>
          <w:rFonts w:hint="eastAsia" w:ascii="仿宋" w:hAnsi="仿宋" w:eastAsia="仿宋" w:cs="仿宋"/>
          <w:color w:val="000000"/>
          <w:sz w:val="30"/>
          <w:szCs w:val="30"/>
        </w:rPr>
        <w:t>（款）</w:t>
      </w:r>
      <w:r>
        <w:rPr>
          <w:rStyle w:val="17"/>
          <w:rFonts w:hint="eastAsia" w:ascii="仿宋" w:hAnsi="仿宋" w:eastAsia="仿宋" w:cs="仿宋"/>
          <w:color w:val="000000"/>
          <w:sz w:val="30"/>
          <w:szCs w:val="30"/>
          <w:lang w:eastAsia="zh-CN"/>
        </w:rPr>
        <w:t>其他社会福利</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color w:val="000000"/>
          <w:sz w:val="30"/>
          <w:szCs w:val="30"/>
        </w:rPr>
        <w:t xml:space="preserve"> </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11.97</w:t>
      </w:r>
      <w:r>
        <w:rPr>
          <w:rStyle w:val="17"/>
          <w:rFonts w:hint="eastAsia" w:ascii="仿宋" w:hAnsi="仿宋" w:eastAsia="仿宋" w:cs="仿宋"/>
          <w:b w:val="0"/>
          <w:color w:val="000000"/>
          <w:sz w:val="30"/>
          <w:szCs w:val="30"/>
        </w:rPr>
        <w:t>万元，完成预算</w:t>
      </w:r>
      <w:r>
        <w:rPr>
          <w:rStyle w:val="17"/>
          <w:rFonts w:hint="eastAsia" w:ascii="仿宋" w:hAnsi="仿宋" w:eastAsia="仿宋" w:cs="仿宋"/>
          <w:b w:val="0"/>
          <w:color w:val="000000"/>
          <w:sz w:val="30"/>
          <w:szCs w:val="30"/>
          <w:lang w:val="en-US" w:eastAsia="zh-CN"/>
        </w:rPr>
        <w:t>100</w:t>
      </w:r>
      <w:r>
        <w:rPr>
          <w:rStyle w:val="17"/>
          <w:rFonts w:hint="eastAsia" w:ascii="仿宋" w:hAnsi="仿宋" w:eastAsia="仿宋" w:cs="仿宋"/>
          <w:b w:val="0"/>
          <w:color w:val="000000"/>
          <w:sz w:val="30"/>
          <w:szCs w:val="30"/>
        </w:rPr>
        <w:t>%。</w:t>
      </w:r>
    </w:p>
    <w:p w14:paraId="02FD0450">
      <w:p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9.</w:t>
      </w:r>
      <w:r>
        <w:rPr>
          <w:rStyle w:val="17"/>
          <w:rFonts w:hint="eastAsia" w:ascii="仿宋" w:hAnsi="仿宋" w:eastAsia="仿宋" w:cs="仿宋"/>
          <w:color w:val="000000"/>
          <w:sz w:val="30"/>
          <w:szCs w:val="30"/>
        </w:rPr>
        <w:t>卫生健康支出（类）</w:t>
      </w:r>
      <w:r>
        <w:rPr>
          <w:rStyle w:val="17"/>
          <w:rFonts w:hint="eastAsia" w:ascii="仿宋" w:hAnsi="仿宋" w:eastAsia="仿宋" w:cs="仿宋"/>
          <w:color w:val="000000"/>
          <w:sz w:val="30"/>
          <w:szCs w:val="30"/>
          <w:lang w:eastAsia="zh-CN"/>
        </w:rPr>
        <w:t>公共卫生</w:t>
      </w:r>
      <w:r>
        <w:rPr>
          <w:rStyle w:val="17"/>
          <w:rFonts w:hint="eastAsia" w:ascii="仿宋" w:hAnsi="仿宋" w:eastAsia="仿宋" w:cs="仿宋"/>
          <w:color w:val="000000"/>
          <w:sz w:val="30"/>
          <w:szCs w:val="30"/>
        </w:rPr>
        <w:t>（款）</w:t>
      </w:r>
      <w:r>
        <w:rPr>
          <w:rStyle w:val="17"/>
          <w:rFonts w:hint="eastAsia" w:ascii="仿宋" w:hAnsi="仿宋" w:eastAsia="仿宋" w:cs="仿宋"/>
          <w:color w:val="000000"/>
          <w:sz w:val="30"/>
          <w:szCs w:val="30"/>
          <w:lang w:eastAsia="zh-CN"/>
        </w:rPr>
        <w:t>重大公共卫生服务</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29.48</w:t>
      </w:r>
      <w:r>
        <w:rPr>
          <w:rStyle w:val="17"/>
          <w:rFonts w:hint="eastAsia" w:ascii="仿宋" w:hAnsi="仿宋" w:eastAsia="仿宋" w:cs="仿宋"/>
          <w:b w:val="0"/>
          <w:color w:val="000000"/>
          <w:sz w:val="30"/>
          <w:szCs w:val="30"/>
        </w:rPr>
        <w:t>万元，完成预算100%。</w:t>
      </w:r>
    </w:p>
    <w:p w14:paraId="3EED16FC">
      <w:pPr>
        <w:spacing w:line="600" w:lineRule="exact"/>
        <w:ind w:firstLine="602" w:firstLineChars="200"/>
        <w:rPr>
          <w:rStyle w:val="17"/>
          <w:rFonts w:hint="eastAsia" w:ascii="仿宋" w:hAnsi="仿宋" w:eastAsia="仿宋" w:cs="仿宋"/>
          <w:b w:val="0"/>
          <w:color w:val="000000"/>
          <w:sz w:val="30"/>
          <w:szCs w:val="30"/>
        </w:rPr>
      </w:pPr>
      <w:r>
        <w:rPr>
          <w:rStyle w:val="17"/>
          <w:rFonts w:hint="eastAsia" w:ascii="仿宋" w:hAnsi="仿宋" w:eastAsia="仿宋" w:cs="仿宋"/>
          <w:color w:val="000000"/>
          <w:sz w:val="30"/>
          <w:szCs w:val="30"/>
          <w:lang w:val="en-US" w:eastAsia="zh-CN"/>
        </w:rPr>
        <w:t>10.</w:t>
      </w:r>
      <w:r>
        <w:rPr>
          <w:rStyle w:val="17"/>
          <w:rFonts w:hint="eastAsia" w:ascii="仿宋" w:hAnsi="仿宋" w:eastAsia="仿宋" w:cs="仿宋"/>
          <w:color w:val="000000"/>
          <w:sz w:val="30"/>
          <w:szCs w:val="30"/>
        </w:rPr>
        <w:t>卫生健康支出（类）</w:t>
      </w:r>
      <w:r>
        <w:rPr>
          <w:rStyle w:val="17"/>
          <w:rFonts w:hint="eastAsia" w:ascii="仿宋" w:hAnsi="仿宋" w:eastAsia="仿宋" w:cs="仿宋"/>
          <w:color w:val="000000"/>
          <w:sz w:val="30"/>
          <w:szCs w:val="30"/>
          <w:lang w:eastAsia="zh-CN"/>
        </w:rPr>
        <w:t>行政事业单位医疗</w:t>
      </w:r>
      <w:r>
        <w:rPr>
          <w:rStyle w:val="17"/>
          <w:rFonts w:hint="eastAsia" w:ascii="仿宋" w:hAnsi="仿宋" w:eastAsia="仿宋" w:cs="仿宋"/>
          <w:color w:val="000000"/>
          <w:sz w:val="30"/>
          <w:szCs w:val="30"/>
        </w:rPr>
        <w:t>（款）</w:t>
      </w:r>
      <w:r>
        <w:rPr>
          <w:rStyle w:val="17"/>
          <w:rFonts w:hint="eastAsia" w:ascii="仿宋" w:hAnsi="仿宋" w:eastAsia="仿宋" w:cs="仿宋"/>
          <w:color w:val="000000"/>
          <w:sz w:val="30"/>
          <w:szCs w:val="30"/>
          <w:lang w:eastAsia="zh-CN"/>
        </w:rPr>
        <w:t>行政单位医疗</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86.56</w:t>
      </w:r>
      <w:r>
        <w:rPr>
          <w:rStyle w:val="17"/>
          <w:rFonts w:hint="eastAsia" w:ascii="仿宋" w:hAnsi="仿宋" w:eastAsia="仿宋" w:cs="仿宋"/>
          <w:b w:val="0"/>
          <w:color w:val="000000"/>
          <w:sz w:val="30"/>
          <w:szCs w:val="30"/>
        </w:rPr>
        <w:t>万元，完成预算100%。</w:t>
      </w:r>
    </w:p>
    <w:p w14:paraId="7F600FC9">
      <w:pPr>
        <w:spacing w:line="600" w:lineRule="exact"/>
        <w:ind w:firstLine="602" w:firstLineChars="200"/>
        <w:rPr>
          <w:rFonts w:hint="eastAsia"/>
        </w:rPr>
      </w:pPr>
      <w:r>
        <w:rPr>
          <w:rStyle w:val="17"/>
          <w:rFonts w:hint="eastAsia" w:ascii="仿宋" w:hAnsi="仿宋" w:eastAsia="仿宋" w:cs="仿宋"/>
          <w:color w:val="000000"/>
          <w:sz w:val="30"/>
          <w:szCs w:val="30"/>
          <w:lang w:val="en-US" w:eastAsia="zh-CN"/>
        </w:rPr>
        <w:t>11.</w:t>
      </w:r>
      <w:r>
        <w:rPr>
          <w:rStyle w:val="17"/>
          <w:rFonts w:hint="eastAsia" w:ascii="仿宋" w:hAnsi="仿宋" w:eastAsia="仿宋" w:cs="仿宋"/>
          <w:color w:val="000000"/>
          <w:sz w:val="30"/>
          <w:szCs w:val="30"/>
        </w:rPr>
        <w:t>卫生健康支出（类）</w:t>
      </w:r>
      <w:r>
        <w:rPr>
          <w:rStyle w:val="17"/>
          <w:rFonts w:hint="eastAsia" w:ascii="仿宋" w:hAnsi="仿宋" w:eastAsia="仿宋" w:cs="仿宋"/>
          <w:color w:val="000000"/>
          <w:sz w:val="30"/>
          <w:szCs w:val="30"/>
          <w:lang w:eastAsia="zh-CN"/>
        </w:rPr>
        <w:t>行政事业单位医疗</w:t>
      </w:r>
      <w:r>
        <w:rPr>
          <w:rStyle w:val="17"/>
          <w:rFonts w:hint="eastAsia" w:ascii="仿宋" w:hAnsi="仿宋" w:eastAsia="仿宋" w:cs="仿宋"/>
          <w:color w:val="000000"/>
          <w:sz w:val="30"/>
          <w:szCs w:val="30"/>
        </w:rPr>
        <w:t>（款）</w:t>
      </w:r>
      <w:r>
        <w:rPr>
          <w:rStyle w:val="17"/>
          <w:rFonts w:hint="eastAsia" w:ascii="仿宋" w:hAnsi="仿宋" w:eastAsia="仿宋" w:cs="仿宋"/>
          <w:color w:val="000000"/>
          <w:sz w:val="30"/>
          <w:szCs w:val="30"/>
          <w:lang w:eastAsia="zh-CN"/>
        </w:rPr>
        <w:t>公务员医疗补助</w:t>
      </w:r>
      <w:r>
        <w:rPr>
          <w:rStyle w:val="17"/>
          <w:rFonts w:hint="eastAsia" w:ascii="仿宋" w:hAnsi="仿宋" w:eastAsia="仿宋" w:cs="仿宋"/>
          <w:color w:val="000000"/>
          <w:sz w:val="30"/>
          <w:szCs w:val="30"/>
        </w:rPr>
        <w:t>（项）</w:t>
      </w:r>
      <w:r>
        <w:rPr>
          <w:rStyle w:val="17"/>
          <w:rFonts w:hint="eastAsia" w:ascii="仿宋" w:hAnsi="仿宋" w:eastAsia="仿宋" w:cs="仿宋"/>
          <w:color w:val="000000"/>
          <w:sz w:val="30"/>
          <w:szCs w:val="30"/>
          <w:lang w:eastAsia="zh-CN"/>
        </w:rPr>
        <w:t>：</w:t>
      </w:r>
      <w:r>
        <w:rPr>
          <w:rStyle w:val="17"/>
          <w:rFonts w:hint="eastAsia" w:ascii="仿宋" w:hAnsi="仿宋" w:eastAsia="仿宋" w:cs="仿宋"/>
          <w:b w:val="0"/>
          <w:color w:val="000000"/>
          <w:sz w:val="30"/>
          <w:szCs w:val="30"/>
        </w:rPr>
        <w:t>支出决算为</w:t>
      </w:r>
      <w:r>
        <w:rPr>
          <w:rStyle w:val="17"/>
          <w:rFonts w:hint="eastAsia" w:ascii="仿宋" w:hAnsi="仿宋" w:eastAsia="仿宋" w:cs="仿宋"/>
          <w:b w:val="0"/>
          <w:color w:val="000000"/>
          <w:sz w:val="30"/>
          <w:szCs w:val="30"/>
          <w:lang w:val="en-US" w:eastAsia="zh-CN"/>
        </w:rPr>
        <w:t>33.01</w:t>
      </w:r>
      <w:r>
        <w:rPr>
          <w:rStyle w:val="17"/>
          <w:rFonts w:hint="eastAsia" w:ascii="仿宋" w:hAnsi="仿宋" w:eastAsia="仿宋" w:cs="仿宋"/>
          <w:b w:val="0"/>
          <w:color w:val="000000"/>
          <w:sz w:val="30"/>
          <w:szCs w:val="30"/>
        </w:rPr>
        <w:t>万元，完成预算100%。</w:t>
      </w:r>
    </w:p>
    <w:p w14:paraId="5BB24C91">
      <w:pPr>
        <w:tabs>
          <w:tab w:val="right" w:pos="8306"/>
        </w:tabs>
        <w:spacing w:line="600" w:lineRule="exact"/>
        <w:ind w:firstLine="640"/>
        <w:outlineLvl w:val="1"/>
        <w:rPr>
          <w:rStyle w:val="28"/>
        </w:rPr>
      </w:pPr>
      <w:bookmarkStart w:id="39" w:name="_Toc15396608"/>
      <w:bookmarkStart w:id="40"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9"/>
      <w:bookmarkEnd w:id="40"/>
      <w:r>
        <w:rPr>
          <w:rStyle w:val="28"/>
          <w:rFonts w:ascii="黑体" w:hAnsi="黑体" w:eastAsia="黑体"/>
          <w:b w:val="0"/>
        </w:rPr>
        <w:tab/>
      </w:r>
    </w:p>
    <w:p w14:paraId="69F3B77A">
      <w:pPr>
        <w:spacing w:line="600" w:lineRule="exact"/>
        <w:ind w:firstLine="645"/>
        <w:rPr>
          <w:rFonts w:ascii="仿宋" w:hAnsi="仿宋" w:eastAsia="仿宋"/>
          <w:color w:val="000000"/>
          <w:sz w:val="30"/>
          <w:szCs w:val="30"/>
        </w:rPr>
      </w:pPr>
      <w:r>
        <w:rPr>
          <w:rFonts w:ascii="仿宋" w:hAnsi="仿宋" w:eastAsia="仿宋"/>
          <w:color w:val="000000"/>
          <w:sz w:val="30"/>
          <w:szCs w:val="30"/>
        </w:rPr>
        <w:t>20</w:t>
      </w:r>
      <w:r>
        <w:rPr>
          <w:rFonts w:hint="eastAsia" w:ascii="仿宋" w:hAnsi="仿宋" w:eastAsia="仿宋"/>
          <w:color w:val="000000"/>
          <w:sz w:val="30"/>
          <w:szCs w:val="30"/>
          <w:lang w:val="en-US" w:eastAsia="zh-CN"/>
        </w:rPr>
        <w:t>22</w:t>
      </w:r>
      <w:r>
        <w:rPr>
          <w:rFonts w:hint="eastAsia" w:ascii="仿宋" w:hAnsi="仿宋" w:eastAsia="仿宋"/>
          <w:color w:val="000000"/>
          <w:sz w:val="30"/>
          <w:szCs w:val="30"/>
        </w:rPr>
        <w:t>年</w:t>
      </w:r>
      <w:r>
        <w:rPr>
          <w:rFonts w:hint="eastAsia" w:ascii="仿宋" w:hAnsi="仿宋" w:eastAsia="仿宋"/>
          <w:color w:val="000000"/>
          <w:sz w:val="30"/>
          <w:szCs w:val="30"/>
          <w:lang w:eastAsia="zh-CN"/>
        </w:rPr>
        <w:t>度</w:t>
      </w:r>
      <w:r>
        <w:rPr>
          <w:rFonts w:hint="eastAsia" w:ascii="仿宋" w:hAnsi="仿宋" w:eastAsia="仿宋"/>
          <w:color w:val="000000"/>
          <w:sz w:val="30"/>
          <w:szCs w:val="30"/>
        </w:rPr>
        <w:t>一般公共预算财政拨款基本支出</w:t>
      </w:r>
      <w:r>
        <w:rPr>
          <w:rFonts w:hint="eastAsia" w:ascii="仿宋" w:hAnsi="仿宋" w:eastAsia="仿宋"/>
          <w:color w:val="000000"/>
          <w:sz w:val="30"/>
          <w:szCs w:val="30"/>
          <w:lang w:val="en-US" w:eastAsia="zh-CN"/>
        </w:rPr>
        <w:t>5774.17</w:t>
      </w:r>
      <w:r>
        <w:rPr>
          <w:rFonts w:hint="eastAsia" w:ascii="仿宋" w:hAnsi="仿宋" w:eastAsia="仿宋"/>
          <w:color w:val="000000"/>
          <w:sz w:val="30"/>
          <w:szCs w:val="30"/>
        </w:rPr>
        <w:t>万元，其中：</w:t>
      </w:r>
    </w:p>
    <w:p w14:paraId="204D172B">
      <w:pPr>
        <w:spacing w:line="600" w:lineRule="exact"/>
        <w:ind w:firstLine="645"/>
        <w:rPr>
          <w:rFonts w:hint="eastAsia" w:ascii="仿宋" w:hAnsi="仿宋" w:eastAsia="仿宋"/>
          <w:color w:val="000000"/>
          <w:sz w:val="30"/>
          <w:szCs w:val="30"/>
          <w:lang w:eastAsia="zh-CN"/>
        </w:rPr>
      </w:pPr>
      <w:r>
        <w:rPr>
          <w:rFonts w:hint="eastAsia" w:ascii="仿宋" w:hAnsi="仿宋" w:eastAsia="仿宋"/>
          <w:color w:val="000000"/>
          <w:sz w:val="30"/>
          <w:szCs w:val="30"/>
        </w:rPr>
        <w:t>人员经费</w:t>
      </w:r>
      <w:r>
        <w:rPr>
          <w:rFonts w:hint="eastAsia" w:ascii="仿宋" w:hAnsi="仿宋" w:eastAsia="仿宋"/>
          <w:color w:val="000000"/>
          <w:sz w:val="30"/>
          <w:szCs w:val="30"/>
          <w:lang w:val="en-US" w:eastAsia="zh-CN"/>
        </w:rPr>
        <w:t>4637.48</w:t>
      </w:r>
      <w:r>
        <w:rPr>
          <w:rFonts w:hint="eastAsia" w:ascii="仿宋" w:hAnsi="仿宋" w:eastAsia="仿宋"/>
          <w:color w:val="000000"/>
          <w:sz w:val="30"/>
          <w:szCs w:val="30"/>
        </w:rPr>
        <w:t>万元，主要包括：</w:t>
      </w:r>
      <w:r>
        <w:rPr>
          <w:rFonts w:hint="eastAsia" w:ascii="仿宋" w:hAnsi="仿宋" w:eastAsia="仿宋"/>
          <w:color w:val="000000"/>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olor w:val="000000"/>
          <w:sz w:val="30"/>
          <w:szCs w:val="30"/>
        </w:rPr>
        <w:t>。</w:t>
      </w:r>
    </w:p>
    <w:p w14:paraId="7049A8BB">
      <w:pPr>
        <w:spacing w:line="600" w:lineRule="exact"/>
        <w:ind w:firstLine="645"/>
        <w:rPr>
          <w:rFonts w:ascii="仿宋" w:hAnsi="仿宋" w:eastAsia="仿宋"/>
          <w:b/>
          <w:color w:val="000000" w:themeColor="text1"/>
          <w:sz w:val="30"/>
          <w:szCs w:val="30"/>
        </w:rPr>
      </w:pPr>
      <w:r>
        <w:rPr>
          <w:rFonts w:hint="eastAsia" w:ascii="仿宋" w:hAnsi="仿宋" w:eastAsia="仿宋"/>
          <w:color w:val="000000"/>
          <w:sz w:val="30"/>
          <w:szCs w:val="30"/>
        </w:rPr>
        <w:t>　　公用经费</w:t>
      </w:r>
      <w:r>
        <w:rPr>
          <w:rFonts w:hint="eastAsia" w:ascii="仿宋" w:hAnsi="仿宋" w:eastAsia="仿宋"/>
          <w:color w:val="000000"/>
          <w:sz w:val="30"/>
          <w:szCs w:val="30"/>
          <w:lang w:val="en-US" w:eastAsia="zh-CN"/>
        </w:rPr>
        <w:t>1136.69</w:t>
      </w:r>
      <w:r>
        <w:rPr>
          <w:rFonts w:hint="eastAsia" w:ascii="仿宋" w:hAnsi="仿宋" w:eastAsia="仿宋"/>
          <w:color w:val="000000"/>
          <w:sz w:val="30"/>
          <w:szCs w:val="30"/>
        </w:rPr>
        <w:t>万元，主要包括：</w:t>
      </w:r>
      <w:r>
        <w:rPr>
          <w:rFonts w:hint="eastAsia" w:ascii="仿宋" w:hAnsi="仿宋" w:eastAsia="仿宋"/>
          <w:color w:val="000000"/>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 w:hAnsi="仿宋" w:eastAsia="仿宋"/>
          <w:color w:val="000000"/>
          <w:sz w:val="30"/>
          <w:szCs w:val="30"/>
        </w:rPr>
        <w:t>。</w:t>
      </w:r>
    </w:p>
    <w:p w14:paraId="15574613">
      <w:pPr>
        <w:numPr>
          <w:ilvl w:val="0"/>
          <w:numId w:val="2"/>
        </w:numPr>
        <w:spacing w:line="600" w:lineRule="exact"/>
        <w:ind w:firstLine="640"/>
        <w:rPr>
          <w:rStyle w:val="28"/>
          <w:rFonts w:hint="eastAsia" w:ascii="黑体" w:hAnsi="黑体" w:eastAsia="黑体"/>
          <w:b w:val="0"/>
          <w:bCs/>
        </w:rPr>
      </w:pPr>
      <w:r>
        <w:rPr>
          <w:rFonts w:hint="eastAsia" w:ascii="黑体" w:hAnsi="黑体" w:eastAsia="黑体"/>
          <w:b w:val="0"/>
          <w:bCs/>
          <w:color w:val="000000"/>
          <w:sz w:val="32"/>
          <w:szCs w:val="32"/>
        </w:rPr>
        <w:t>一</w:t>
      </w:r>
      <w:r>
        <w:rPr>
          <w:rStyle w:val="28"/>
          <w:rFonts w:hint="eastAsia" w:ascii="黑体" w:hAnsi="黑体" w:eastAsia="黑体"/>
          <w:b w:val="0"/>
          <w:bCs/>
        </w:rPr>
        <w:t>般公共预算财政拨款</w:t>
      </w:r>
      <w:r>
        <w:rPr>
          <w:rStyle w:val="28"/>
          <w:rFonts w:hint="eastAsia" w:ascii="黑体" w:hAnsi="黑体" w:eastAsia="黑体"/>
          <w:b w:val="0"/>
          <w:bCs/>
          <w:lang w:eastAsia="zh-CN"/>
        </w:rPr>
        <w:t>项目</w:t>
      </w:r>
      <w:r>
        <w:rPr>
          <w:rStyle w:val="28"/>
          <w:rFonts w:hint="eastAsia" w:ascii="黑体" w:hAnsi="黑体" w:eastAsia="黑体"/>
          <w:b w:val="0"/>
          <w:bCs/>
        </w:rPr>
        <w:t>支出决算情况说明</w:t>
      </w:r>
    </w:p>
    <w:p w14:paraId="604303C5">
      <w:pPr>
        <w:spacing w:line="600" w:lineRule="exact"/>
        <w:ind w:firstLine="645"/>
        <w:rPr>
          <w:rFonts w:hint="eastAsia" w:ascii="仿宋" w:hAnsi="仿宋" w:eastAsia="仿宋" w:cs="仿宋"/>
          <w:color w:val="000000"/>
          <w:sz w:val="30"/>
          <w:szCs w:val="30"/>
        </w:rPr>
      </w:pPr>
      <w:r>
        <w:rPr>
          <w:rFonts w:hint="eastAsia" w:ascii="仿宋" w:hAnsi="仿宋" w:eastAsia="仿宋" w:cs="仿宋"/>
          <w:color w:val="000000"/>
          <w:sz w:val="30"/>
          <w:szCs w:val="30"/>
        </w:rPr>
        <w:t>202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w:t>
      </w:r>
      <w:r>
        <w:rPr>
          <w:rFonts w:hint="eastAsia" w:ascii="仿宋" w:hAnsi="仿宋" w:eastAsia="仿宋" w:cs="仿宋"/>
          <w:color w:val="000000"/>
          <w:sz w:val="30"/>
          <w:szCs w:val="30"/>
        </w:rPr>
        <w:t>一般公共预算财政拨款</w:t>
      </w:r>
      <w:r>
        <w:rPr>
          <w:rFonts w:hint="eastAsia" w:ascii="仿宋" w:hAnsi="仿宋" w:eastAsia="仿宋" w:cs="仿宋"/>
          <w:color w:val="000000"/>
          <w:sz w:val="30"/>
          <w:szCs w:val="30"/>
          <w:lang w:eastAsia="zh-CN"/>
        </w:rPr>
        <w:t>项目</w:t>
      </w:r>
      <w:r>
        <w:rPr>
          <w:rFonts w:hint="eastAsia" w:ascii="仿宋" w:hAnsi="仿宋" w:eastAsia="仿宋" w:cs="仿宋"/>
          <w:color w:val="000000"/>
          <w:sz w:val="30"/>
          <w:szCs w:val="30"/>
        </w:rPr>
        <w:t>支出</w:t>
      </w:r>
      <w:r>
        <w:rPr>
          <w:rFonts w:hint="eastAsia" w:ascii="仿宋" w:hAnsi="仿宋" w:eastAsia="仿宋" w:cs="仿宋"/>
          <w:color w:val="000000"/>
          <w:sz w:val="30"/>
          <w:szCs w:val="30"/>
          <w:lang w:val="en-US" w:eastAsia="zh-CN"/>
        </w:rPr>
        <w:t>4579.69</w:t>
      </w:r>
      <w:r>
        <w:rPr>
          <w:rFonts w:hint="eastAsia" w:ascii="仿宋" w:hAnsi="仿宋" w:eastAsia="仿宋" w:cs="仿宋"/>
          <w:color w:val="000000"/>
          <w:sz w:val="30"/>
          <w:szCs w:val="30"/>
        </w:rPr>
        <w:t>万元，其中：</w:t>
      </w:r>
    </w:p>
    <w:p w14:paraId="4C08D6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sz w:val="30"/>
          <w:szCs w:val="30"/>
          <w:lang w:eastAsia="zh-CN"/>
        </w:rPr>
        <w:t>标志标线维护</w:t>
      </w:r>
      <w:r>
        <w:rPr>
          <w:rFonts w:hint="eastAsia" w:ascii="仿宋" w:hAnsi="仿宋" w:eastAsia="仿宋" w:cs="仿宋"/>
          <w:sz w:val="30"/>
          <w:szCs w:val="30"/>
        </w:rPr>
        <w:t>项目</w:t>
      </w:r>
      <w:r>
        <w:rPr>
          <w:rFonts w:hint="eastAsia" w:ascii="仿宋" w:hAnsi="仿宋" w:eastAsia="仿宋" w:cs="仿宋"/>
          <w:sz w:val="30"/>
          <w:szCs w:val="30"/>
          <w:lang w:eastAsia="zh-CN"/>
        </w:rPr>
        <w:t>支出</w:t>
      </w:r>
      <w:r>
        <w:rPr>
          <w:rFonts w:hint="eastAsia" w:ascii="仿宋" w:hAnsi="仿宋" w:eastAsia="仿宋" w:cs="仿宋"/>
          <w:color w:val="000000"/>
          <w:sz w:val="30"/>
          <w:szCs w:val="30"/>
          <w:lang w:val="en-US" w:eastAsia="zh-CN"/>
        </w:rPr>
        <w:t>10.29</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，主要用于支付辖区城区道路标志标线维护费用，包括：维修费</w:t>
      </w:r>
      <w:r>
        <w:rPr>
          <w:rFonts w:hint="eastAsia" w:ascii="仿宋" w:hAnsi="仿宋" w:eastAsia="仿宋" w:cs="仿宋"/>
          <w:color w:val="000000"/>
          <w:sz w:val="30"/>
          <w:szCs w:val="30"/>
          <w:lang w:val="en-US" w:eastAsia="zh-CN"/>
        </w:rPr>
        <w:t>9.65万元、其他商品服务支出0.64万元；辅警人员经费项目支出1190.73万元，主要用于支付辅警的工资福利及办公费用，包括：其他工资福利支出892.65万元、差旅费5.98万元、劳务费289.62万元、其他商品和服务支出2.48万元；信息网络维护和改造费用项目支出287.88万元，主要用于支队信息网络的运行维护，包括：维修费35.04万元、租赁费172.14万元、其他商品和服务支出45.76万元、电费34.94万元；车驾管经费项目支出569.63万元，主要用于车管所正常运行费用，包括：印刷费9.5万元，电费56.75万元，其他商品和服务支出398.06万元、委托业务费105.32万元；交通安全宣传费支出57.1万元，主要用于支队交通安全宣传，包括：其他商品和服务支出57.1万元；执勤工作餐项目支出305.1万元，包括：其他商品和服务支出305.1万元；交通违法事故处理费项目支出204.29万元，主要用于本部门道路交通事故、交通违法处理的各项费用。如司法鉴定费、停车费、违法车辆保管费、测速设备事故处理设备检测费等，包括：维修费5.1万元、委托业务费121.74万元、其他商品和服务支出77.46万元；执勤执法装备清洗费项目支出23.06万元，主要用于支队清洗民警职工辅警的警服，包括：劳务费1.54万元、其他商品和服务支出21.51万元；一大队业务技术用房建设项目支出748.83万元，主要用于一大队业务技术用房建设，包括：委托业务费245.88万元、其他商品和服务支出1.3万元、房屋建筑物购建501.65万元；固定资产购置项目支出19.93万元，主要用于支队购置部分办公用固定资产，包括：办公设备购置19.93万元；办案及业务装备经费项目支出1133.38万元，主要用于用省经费解决执勤执法过程中产生的差旅费、车辆费用及购置装备费用，包括：差旅费95.65万元、其他商品和服务支出1037.73万元；抗击疫情支出29.48万元，包括：差旅费4.95万元、专用材料费19.58万元、其他商品和服务支出4.95万元。</w:t>
      </w:r>
    </w:p>
    <w:p w14:paraId="5E783966">
      <w:pPr>
        <w:spacing w:line="600" w:lineRule="exact"/>
        <w:ind w:firstLine="640"/>
        <w:outlineLvl w:val="1"/>
        <w:rPr>
          <w:rStyle w:val="28"/>
          <w:rFonts w:ascii="黑体" w:hAnsi="黑体" w:eastAsia="黑体"/>
          <w:b w:val="0"/>
        </w:rPr>
      </w:pPr>
      <w:bookmarkStart w:id="41" w:name="_Toc15377215"/>
      <w:bookmarkStart w:id="42" w:name="_Toc15396609"/>
      <w:r>
        <w:rPr>
          <w:rFonts w:hint="eastAsia" w:ascii="黑体" w:eastAsia="黑体"/>
          <w:color w:val="000000"/>
          <w:sz w:val="32"/>
          <w:szCs w:val="32"/>
          <w:lang w:eastAsia="zh-CN"/>
        </w:rPr>
        <w:t>八</w:t>
      </w:r>
      <w:r>
        <w:rPr>
          <w:rFonts w:hint="eastAsia" w:ascii="黑体" w:eastAsia="黑体"/>
          <w:color w:val="000000"/>
          <w:sz w:val="32"/>
          <w:szCs w:val="32"/>
        </w:rPr>
        <w:t>、</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1"/>
      <w:bookmarkEnd w:id="42"/>
    </w:p>
    <w:p w14:paraId="28C0783E">
      <w:pPr>
        <w:spacing w:line="600" w:lineRule="exact"/>
        <w:ind w:firstLine="640"/>
        <w:outlineLvl w:val="2"/>
        <w:rPr>
          <w:rFonts w:ascii="仿宋" w:hAnsi="仿宋" w:eastAsia="仿宋"/>
          <w:b/>
          <w:color w:val="000000"/>
          <w:sz w:val="30"/>
          <w:szCs w:val="30"/>
        </w:rPr>
      </w:pPr>
      <w:bookmarkStart w:id="43" w:name="_Toc15377216"/>
      <w:r>
        <w:rPr>
          <w:rFonts w:hint="eastAsia" w:ascii="仿宋" w:hAnsi="仿宋" w:eastAsia="仿宋"/>
          <w:b/>
          <w:color w:val="000000"/>
          <w:sz w:val="30"/>
          <w:szCs w:val="30"/>
        </w:rPr>
        <w:t>（一）“三公”经费财政拨款支出决算总体情况说明</w:t>
      </w:r>
      <w:bookmarkEnd w:id="43"/>
    </w:p>
    <w:p w14:paraId="3600D58A">
      <w:pPr>
        <w:spacing w:line="600" w:lineRule="exact"/>
        <w:ind w:firstLine="640"/>
        <w:rPr>
          <w:rFonts w:hint="eastAsia" w:ascii="仿宋" w:hAnsi="仿宋" w:eastAsia="仿宋"/>
          <w:color w:val="000000"/>
          <w:sz w:val="30"/>
          <w:szCs w:val="30"/>
          <w:lang w:eastAsia="zh-CN"/>
        </w:rPr>
      </w:pPr>
      <w:r>
        <w:rPr>
          <w:rFonts w:ascii="仿宋" w:hAnsi="仿宋" w:eastAsia="仿宋"/>
          <w:color w:val="000000"/>
          <w:sz w:val="30"/>
          <w:szCs w:val="30"/>
        </w:rPr>
        <w:t>20</w:t>
      </w:r>
      <w:r>
        <w:rPr>
          <w:rFonts w:hint="eastAsia" w:ascii="仿宋" w:hAnsi="仿宋" w:eastAsia="仿宋"/>
          <w:color w:val="000000"/>
          <w:sz w:val="30"/>
          <w:szCs w:val="30"/>
          <w:lang w:val="en-US" w:eastAsia="zh-CN"/>
        </w:rPr>
        <w:t>22</w:t>
      </w:r>
      <w:r>
        <w:rPr>
          <w:rFonts w:hint="eastAsia" w:ascii="仿宋" w:hAnsi="仿宋" w:eastAsia="仿宋"/>
          <w:color w:val="000000"/>
          <w:sz w:val="30"/>
          <w:szCs w:val="30"/>
        </w:rPr>
        <w:t>年</w:t>
      </w:r>
      <w:r>
        <w:rPr>
          <w:rFonts w:hint="eastAsia" w:ascii="仿宋" w:hAnsi="仿宋" w:eastAsia="仿宋"/>
          <w:color w:val="000000"/>
          <w:sz w:val="30"/>
          <w:szCs w:val="30"/>
          <w:lang w:eastAsia="zh-CN"/>
        </w:rPr>
        <w:t>度</w:t>
      </w:r>
      <w:r>
        <w:rPr>
          <w:rFonts w:hint="eastAsia" w:ascii="仿宋" w:hAnsi="仿宋" w:eastAsia="仿宋"/>
          <w:color w:val="000000"/>
          <w:sz w:val="30"/>
          <w:szCs w:val="30"/>
        </w:rPr>
        <w:t>“三公”经费财政拨款支出决算为</w:t>
      </w:r>
      <w:r>
        <w:rPr>
          <w:rFonts w:hint="eastAsia" w:ascii="仿宋" w:hAnsi="仿宋" w:eastAsia="仿宋"/>
          <w:color w:val="000000"/>
          <w:sz w:val="30"/>
          <w:szCs w:val="30"/>
          <w:lang w:val="en-US" w:eastAsia="zh-CN"/>
        </w:rPr>
        <w:t>43.76</w:t>
      </w:r>
      <w:r>
        <w:rPr>
          <w:rFonts w:hint="eastAsia" w:ascii="仿宋" w:hAnsi="仿宋" w:eastAsia="仿宋"/>
          <w:color w:val="000000"/>
          <w:sz w:val="30"/>
          <w:szCs w:val="30"/>
        </w:rPr>
        <w:t>万元，完成预算</w:t>
      </w:r>
      <w:r>
        <w:rPr>
          <w:rFonts w:hint="eastAsia" w:ascii="仿宋" w:hAnsi="仿宋" w:eastAsia="仿宋"/>
          <w:color w:val="000000"/>
          <w:sz w:val="30"/>
          <w:szCs w:val="30"/>
          <w:lang w:val="en-US" w:eastAsia="zh-CN"/>
        </w:rPr>
        <w:t>100</w:t>
      </w:r>
      <w:r>
        <w:rPr>
          <w:rFonts w:ascii="仿宋" w:hAnsi="仿宋" w:eastAsia="仿宋"/>
          <w:color w:val="000000"/>
          <w:sz w:val="30"/>
          <w:szCs w:val="30"/>
        </w:rPr>
        <w:t>%</w:t>
      </w:r>
      <w:r>
        <w:rPr>
          <w:rFonts w:hint="eastAsia" w:ascii="仿宋" w:hAnsi="仿宋" w:eastAsia="仿宋"/>
          <w:color w:val="000000"/>
          <w:sz w:val="30"/>
          <w:szCs w:val="30"/>
          <w:lang w:eastAsia="zh-CN"/>
        </w:rPr>
        <w:t>，比</w:t>
      </w:r>
      <w:r>
        <w:rPr>
          <w:rFonts w:hint="eastAsia" w:ascii="仿宋" w:hAnsi="仿宋" w:eastAsia="仿宋"/>
          <w:color w:val="000000"/>
          <w:sz w:val="30"/>
          <w:szCs w:val="30"/>
          <w:lang w:val="en-US" w:eastAsia="zh-CN"/>
        </w:rPr>
        <w:t>2021年度减少0.17万元，下降0.39%，主要原因是：交警支队三公经费主要用于执勤执法车辆费用，财政拨款不足部分用省级政法转移支付资金中办案资金支付</w:t>
      </w:r>
      <w:r>
        <w:rPr>
          <w:rFonts w:hint="eastAsia" w:ascii="仿宋" w:hAnsi="仿宋" w:eastAsia="仿宋"/>
          <w:color w:val="000000"/>
          <w:sz w:val="30"/>
          <w:szCs w:val="30"/>
        </w:rPr>
        <w:t>。</w:t>
      </w:r>
      <w:r>
        <w:rPr>
          <w:rFonts w:hint="eastAsia" w:ascii="仿宋" w:hAnsi="仿宋" w:eastAsia="仿宋"/>
          <w:color w:val="000000"/>
          <w:sz w:val="30"/>
          <w:szCs w:val="30"/>
          <w:lang w:eastAsia="zh-CN"/>
        </w:rPr>
        <w:t>决算数与预算数持平，主要原因是三公经费未纳入财政年初预算批复，年度支出是预算调剂数，用单位非税收入列支。</w:t>
      </w:r>
    </w:p>
    <w:p w14:paraId="122F71B2">
      <w:pPr>
        <w:spacing w:line="600" w:lineRule="exact"/>
        <w:ind w:firstLine="640"/>
        <w:outlineLvl w:val="2"/>
        <w:rPr>
          <w:rFonts w:ascii="仿宋" w:hAnsi="仿宋" w:eastAsia="仿宋"/>
          <w:b/>
          <w:color w:val="000000"/>
          <w:sz w:val="30"/>
          <w:szCs w:val="30"/>
        </w:rPr>
      </w:pPr>
      <w:bookmarkStart w:id="44" w:name="_Toc15377217"/>
      <w:r>
        <w:rPr>
          <w:rFonts w:hint="eastAsia" w:ascii="仿宋" w:hAnsi="仿宋" w:eastAsia="仿宋"/>
          <w:b/>
          <w:color w:val="000000"/>
          <w:sz w:val="30"/>
          <w:szCs w:val="30"/>
        </w:rPr>
        <w:t>（二）“三公”经费财政拨款支出决算具体情况说明</w:t>
      </w:r>
      <w:bookmarkEnd w:id="44"/>
    </w:p>
    <w:p w14:paraId="4DD9A7AC">
      <w:pPr>
        <w:spacing w:line="600" w:lineRule="exact"/>
        <w:ind w:firstLine="640"/>
        <w:rPr>
          <w:rFonts w:ascii="仿宋" w:hAnsi="仿宋" w:eastAsia="仿宋"/>
          <w:color w:val="000000"/>
          <w:sz w:val="30"/>
          <w:szCs w:val="30"/>
        </w:rPr>
      </w:pPr>
      <w:r>
        <w:rPr>
          <w:rFonts w:ascii="仿宋" w:hAnsi="仿宋" w:eastAsia="仿宋"/>
          <w:color w:val="000000"/>
          <w:sz w:val="30"/>
          <w:szCs w:val="30"/>
        </w:rPr>
        <w:t>20</w:t>
      </w:r>
      <w:r>
        <w:rPr>
          <w:rFonts w:hint="eastAsia" w:ascii="仿宋" w:hAnsi="仿宋" w:eastAsia="仿宋"/>
          <w:color w:val="000000"/>
          <w:sz w:val="30"/>
          <w:szCs w:val="30"/>
          <w:lang w:val="en-US" w:eastAsia="zh-CN"/>
        </w:rPr>
        <w:t>22</w:t>
      </w:r>
      <w:r>
        <w:rPr>
          <w:rFonts w:hint="eastAsia" w:ascii="仿宋" w:hAnsi="仿宋" w:eastAsia="仿宋"/>
          <w:color w:val="000000"/>
          <w:sz w:val="30"/>
          <w:szCs w:val="30"/>
        </w:rPr>
        <w:t>年</w:t>
      </w:r>
      <w:r>
        <w:rPr>
          <w:rFonts w:hint="eastAsia" w:ascii="仿宋" w:hAnsi="仿宋" w:eastAsia="仿宋"/>
          <w:color w:val="000000"/>
          <w:sz w:val="30"/>
          <w:szCs w:val="30"/>
          <w:lang w:eastAsia="zh-CN"/>
        </w:rPr>
        <w:t>度</w:t>
      </w:r>
      <w:r>
        <w:rPr>
          <w:rFonts w:hint="eastAsia" w:ascii="仿宋" w:hAnsi="仿宋" w:eastAsia="仿宋"/>
          <w:color w:val="000000"/>
          <w:sz w:val="30"/>
          <w:szCs w:val="30"/>
        </w:rPr>
        <w:t>“三公”经费财政拨款支出</w:t>
      </w:r>
      <w:r>
        <w:rPr>
          <w:rFonts w:hint="eastAsia" w:ascii="仿宋" w:hAnsi="仿宋" w:eastAsia="仿宋"/>
          <w:color w:val="000000"/>
          <w:sz w:val="30"/>
          <w:szCs w:val="30"/>
          <w:lang w:val="en-US" w:eastAsia="zh-CN"/>
        </w:rPr>
        <w:t>43.76</w:t>
      </w:r>
      <w:r>
        <w:rPr>
          <w:rFonts w:hint="eastAsia" w:ascii="仿宋" w:hAnsi="仿宋" w:eastAsia="仿宋"/>
          <w:color w:val="000000"/>
          <w:sz w:val="30"/>
          <w:szCs w:val="30"/>
        </w:rPr>
        <w:t>万元，</w:t>
      </w:r>
      <w:r>
        <w:rPr>
          <w:rFonts w:hint="eastAsia" w:ascii="仿宋" w:hAnsi="仿宋" w:eastAsia="仿宋"/>
          <w:color w:val="000000"/>
          <w:sz w:val="30"/>
          <w:szCs w:val="30"/>
          <w:lang w:eastAsia="zh-CN"/>
        </w:rPr>
        <w:t>比</w:t>
      </w:r>
      <w:r>
        <w:rPr>
          <w:rFonts w:hint="eastAsia" w:ascii="仿宋" w:hAnsi="仿宋" w:eastAsia="仿宋"/>
          <w:color w:val="000000"/>
          <w:sz w:val="30"/>
          <w:szCs w:val="30"/>
          <w:lang w:val="en-US" w:eastAsia="zh-CN"/>
        </w:rPr>
        <w:t>2021年度减少0.17万元，下降0.39%，主要原因是：交警支队“三公”经费主要用于执勤执法车辆费用，财政拨款不足部分用省级政法转移支付资金中办案资金支付</w:t>
      </w:r>
      <w:r>
        <w:rPr>
          <w:rFonts w:hint="eastAsia" w:ascii="仿宋" w:hAnsi="仿宋" w:eastAsia="仿宋"/>
          <w:color w:val="000000"/>
          <w:sz w:val="30"/>
          <w:szCs w:val="30"/>
        </w:rPr>
        <w:t>。</w:t>
      </w:r>
      <w:r>
        <w:rPr>
          <w:rFonts w:hint="eastAsia" w:ascii="仿宋" w:hAnsi="仿宋" w:eastAsia="仿宋"/>
          <w:color w:val="000000"/>
          <w:sz w:val="30"/>
          <w:szCs w:val="30"/>
          <w:lang w:eastAsia="zh-CN"/>
        </w:rPr>
        <w:t>其中：</w:t>
      </w:r>
      <w:r>
        <w:rPr>
          <w:rFonts w:hint="eastAsia" w:ascii="仿宋" w:hAnsi="仿宋" w:eastAsia="仿宋"/>
          <w:color w:val="000000"/>
          <w:sz w:val="30"/>
          <w:szCs w:val="30"/>
        </w:rPr>
        <w:t>因公出国（境）费支出决算0万元，占0</w:t>
      </w:r>
      <w:r>
        <w:rPr>
          <w:rFonts w:ascii="仿宋" w:hAnsi="仿宋" w:eastAsia="仿宋"/>
          <w:color w:val="000000"/>
          <w:sz w:val="30"/>
          <w:szCs w:val="30"/>
        </w:rPr>
        <w:t>%</w:t>
      </w:r>
      <w:r>
        <w:rPr>
          <w:rFonts w:hint="eastAsia" w:ascii="仿宋" w:hAnsi="仿宋" w:eastAsia="仿宋"/>
          <w:color w:val="000000"/>
          <w:sz w:val="30"/>
          <w:szCs w:val="30"/>
        </w:rPr>
        <w:t>；公务用车购置及运行维护费支出决算</w:t>
      </w:r>
      <w:r>
        <w:rPr>
          <w:rFonts w:hint="eastAsia" w:ascii="仿宋" w:hAnsi="仿宋" w:eastAsia="仿宋"/>
          <w:color w:val="000000"/>
          <w:sz w:val="30"/>
          <w:szCs w:val="30"/>
          <w:lang w:val="en-US" w:eastAsia="zh-CN"/>
        </w:rPr>
        <w:t>43.5</w:t>
      </w:r>
      <w:r>
        <w:rPr>
          <w:rFonts w:hint="eastAsia" w:ascii="仿宋" w:hAnsi="仿宋" w:eastAsia="仿宋"/>
          <w:color w:val="000000"/>
          <w:sz w:val="30"/>
          <w:szCs w:val="30"/>
        </w:rPr>
        <w:t>万元，占</w:t>
      </w:r>
      <w:r>
        <w:rPr>
          <w:rFonts w:hint="eastAsia" w:ascii="仿宋" w:hAnsi="仿宋" w:eastAsia="仿宋"/>
          <w:color w:val="000000"/>
          <w:sz w:val="30"/>
          <w:szCs w:val="30"/>
          <w:lang w:val="en-US" w:eastAsia="zh-CN"/>
        </w:rPr>
        <w:t>99.41</w:t>
      </w:r>
      <w:r>
        <w:rPr>
          <w:rFonts w:ascii="仿宋" w:hAnsi="仿宋" w:eastAsia="仿宋"/>
          <w:color w:val="000000"/>
          <w:sz w:val="30"/>
          <w:szCs w:val="30"/>
        </w:rPr>
        <w:t>%</w:t>
      </w:r>
      <w:r>
        <w:rPr>
          <w:rFonts w:hint="eastAsia" w:ascii="仿宋" w:hAnsi="仿宋" w:eastAsia="仿宋"/>
          <w:color w:val="000000"/>
          <w:sz w:val="30"/>
          <w:szCs w:val="30"/>
        </w:rPr>
        <w:t>；公务接待费支出决算0</w:t>
      </w:r>
      <w:r>
        <w:rPr>
          <w:rFonts w:hint="eastAsia" w:ascii="仿宋" w:hAnsi="仿宋" w:eastAsia="仿宋"/>
          <w:color w:val="000000"/>
          <w:sz w:val="30"/>
          <w:szCs w:val="30"/>
          <w:lang w:val="en-US" w:eastAsia="zh-CN"/>
        </w:rPr>
        <w:t>.26</w:t>
      </w:r>
      <w:r>
        <w:rPr>
          <w:rFonts w:hint="eastAsia" w:ascii="仿宋" w:hAnsi="仿宋" w:eastAsia="仿宋"/>
          <w:color w:val="000000"/>
          <w:sz w:val="30"/>
          <w:szCs w:val="30"/>
        </w:rPr>
        <w:t>万元，占</w:t>
      </w:r>
      <w:r>
        <w:rPr>
          <w:rFonts w:hint="eastAsia" w:ascii="仿宋" w:hAnsi="仿宋" w:eastAsia="仿宋"/>
          <w:color w:val="000000"/>
          <w:sz w:val="30"/>
          <w:szCs w:val="30"/>
          <w:lang w:val="en-US" w:eastAsia="zh-CN"/>
        </w:rPr>
        <w:t>0.59</w:t>
      </w:r>
      <w:r>
        <w:rPr>
          <w:rFonts w:ascii="仿宋" w:hAnsi="仿宋" w:eastAsia="仿宋"/>
          <w:color w:val="000000"/>
          <w:sz w:val="30"/>
          <w:szCs w:val="30"/>
        </w:rPr>
        <w:t>%</w:t>
      </w:r>
      <w:r>
        <w:rPr>
          <w:rFonts w:hint="eastAsia" w:ascii="仿宋" w:hAnsi="仿宋" w:eastAsia="仿宋"/>
          <w:color w:val="000000"/>
          <w:sz w:val="30"/>
          <w:szCs w:val="30"/>
        </w:rPr>
        <w:t>。具体情况如下：</w:t>
      </w:r>
    </w:p>
    <w:p w14:paraId="07376A73">
      <w:pPr>
        <w:rPr>
          <w:rFonts w:ascii="仿宋_GB2312" w:eastAsia="仿宋_GB2312"/>
          <w:sz w:val="32"/>
          <w:szCs w:val="32"/>
        </w:rPr>
      </w:pPr>
      <w:r>
        <w:rPr>
          <w:rFonts w:hint="eastAsia" w:ascii="仿宋_GB2312" w:eastAsia="仿宋_GB2312"/>
          <w:sz w:val="32"/>
          <w:szCs w:val="32"/>
        </w:rPr>
        <w:drawing>
          <wp:inline distT="0" distB="0" distL="0" distR="0">
            <wp:extent cx="5274310" cy="3076575"/>
            <wp:effectExtent l="5080" t="4445" r="16510" b="5080"/>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6C38EB">
      <w:pPr>
        <w:spacing w:line="600" w:lineRule="exact"/>
        <w:ind w:firstLine="640"/>
        <w:rPr>
          <w:rFonts w:hint="eastAsia" w:ascii="仿宋" w:hAnsi="仿宋" w:eastAsia="仿宋" w:cs="仿宋"/>
          <w:color w:val="000000"/>
          <w:sz w:val="30"/>
          <w:szCs w:val="30"/>
        </w:rPr>
      </w:pPr>
      <w:r>
        <w:rPr>
          <w:rFonts w:hint="eastAsia" w:ascii="仿宋" w:hAnsi="仿宋" w:eastAsia="仿宋" w:cs="仿宋"/>
          <w:color w:val="000000"/>
          <w:sz w:val="30"/>
          <w:szCs w:val="30"/>
        </w:rPr>
        <w:t>（图7：“三公”经费财政拨款支出结构）</w:t>
      </w:r>
    </w:p>
    <w:p w14:paraId="371CB8F5">
      <w:pPr>
        <w:numPr>
          <w:ilvl w:val="0"/>
          <w:numId w:val="3"/>
        </w:numPr>
        <w:spacing w:line="600" w:lineRule="exact"/>
        <w:ind w:firstLine="640"/>
        <w:rPr>
          <w:rFonts w:hint="eastAsia" w:ascii="仿宋" w:hAnsi="仿宋" w:eastAsia="仿宋" w:cs="仿宋"/>
          <w:color w:val="000000"/>
          <w:sz w:val="30"/>
          <w:szCs w:val="30"/>
        </w:rPr>
      </w:pPr>
      <w:r>
        <w:rPr>
          <w:rFonts w:hint="eastAsia" w:ascii="仿宋" w:hAnsi="仿宋" w:eastAsia="仿宋" w:cs="仿宋"/>
          <w:b/>
          <w:color w:val="000000"/>
          <w:sz w:val="30"/>
          <w:szCs w:val="30"/>
        </w:rPr>
        <w:t>因公出国（境）经费支出</w:t>
      </w:r>
      <w:r>
        <w:rPr>
          <w:rFonts w:hint="eastAsia" w:ascii="仿宋" w:hAnsi="仿宋" w:eastAsia="仿宋" w:cs="仿宋"/>
          <w:color w:val="000000"/>
          <w:sz w:val="30"/>
          <w:szCs w:val="30"/>
        </w:rPr>
        <w:t>0万元，</w:t>
      </w:r>
      <w:r>
        <w:rPr>
          <w:rStyle w:val="17"/>
          <w:rFonts w:hint="eastAsia" w:ascii="仿宋" w:hAnsi="仿宋" w:eastAsia="仿宋" w:cs="仿宋"/>
          <w:b w:val="0"/>
          <w:bCs/>
          <w:color w:val="000000"/>
          <w:sz w:val="30"/>
          <w:szCs w:val="30"/>
        </w:rPr>
        <w:t>完成预算100%。</w:t>
      </w:r>
      <w:r>
        <w:rPr>
          <w:rStyle w:val="17"/>
          <w:rFonts w:hint="eastAsia" w:ascii="仿宋" w:hAnsi="仿宋" w:eastAsia="仿宋" w:cs="仿宋"/>
          <w:b w:val="0"/>
          <w:bCs/>
          <w:color w:val="000000"/>
          <w:sz w:val="30"/>
          <w:szCs w:val="30"/>
          <w:lang w:eastAsia="zh-CN"/>
        </w:rPr>
        <w:t>全年安排因公出国（境）</w:t>
      </w:r>
      <w:r>
        <w:rPr>
          <w:rFonts w:hint="eastAsia" w:ascii="仿宋" w:hAnsi="仿宋" w:eastAsia="仿宋" w:cs="仿宋"/>
          <w:color w:val="000000"/>
          <w:sz w:val="30"/>
          <w:szCs w:val="30"/>
        </w:rPr>
        <w:t>团组0次，出国（境）0人。因公出国（境）支出决算</w:t>
      </w:r>
      <w:r>
        <w:rPr>
          <w:rFonts w:hint="eastAsia" w:ascii="仿宋" w:hAnsi="仿宋" w:eastAsia="仿宋" w:cs="仿宋"/>
          <w:color w:val="000000"/>
          <w:sz w:val="30"/>
          <w:szCs w:val="30"/>
          <w:lang w:eastAsia="zh-CN"/>
        </w:rPr>
        <w:t>比</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年</w:t>
      </w:r>
      <w:r>
        <w:rPr>
          <w:rFonts w:hint="eastAsia" w:ascii="仿宋" w:hAnsi="仿宋" w:eastAsia="仿宋"/>
          <w:color w:val="000000"/>
          <w:sz w:val="30"/>
          <w:szCs w:val="30"/>
          <w:lang w:val="en-US" w:eastAsia="zh-CN"/>
        </w:rPr>
        <w:t>增加0万元，增长0%，主要原因是部门未预算因公出国（境）经费，也未产生该支出</w:t>
      </w:r>
      <w:r>
        <w:rPr>
          <w:rFonts w:hint="eastAsia" w:ascii="仿宋" w:hAnsi="仿宋" w:eastAsia="仿宋" w:cs="仿宋"/>
          <w:color w:val="000000"/>
          <w:sz w:val="30"/>
          <w:szCs w:val="30"/>
        </w:rPr>
        <w:t>。</w:t>
      </w:r>
    </w:p>
    <w:p w14:paraId="01CACBD2">
      <w:pPr>
        <w:numPr>
          <w:ilvl w:val="0"/>
          <w:numId w:val="0"/>
        </w:numPr>
        <w:spacing w:line="600" w:lineRule="exact"/>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开支内容包括：由于未发生该支出，无开支内容。</w:t>
      </w:r>
    </w:p>
    <w:p w14:paraId="4A21564C">
      <w:pPr>
        <w:spacing w:line="600" w:lineRule="exact"/>
        <w:ind w:firstLine="640"/>
        <w:rPr>
          <w:rFonts w:hint="eastAsia" w:ascii="仿宋" w:hAnsi="仿宋" w:eastAsia="仿宋" w:cs="仿宋"/>
          <w:b/>
          <w:color w:val="000000"/>
          <w:sz w:val="30"/>
          <w:szCs w:val="30"/>
        </w:rPr>
      </w:pPr>
      <w:r>
        <w:rPr>
          <w:rFonts w:hint="eastAsia" w:ascii="仿宋" w:hAnsi="仿宋" w:eastAsia="仿宋" w:cs="仿宋"/>
          <w:b/>
          <w:color w:val="000000"/>
          <w:sz w:val="30"/>
          <w:szCs w:val="30"/>
        </w:rPr>
        <w:t>2.公务用车购置及运行维护费支出</w:t>
      </w:r>
      <w:r>
        <w:rPr>
          <w:rFonts w:hint="eastAsia" w:ascii="仿宋" w:hAnsi="仿宋" w:eastAsia="仿宋" w:cs="仿宋"/>
          <w:color w:val="000000"/>
          <w:sz w:val="30"/>
          <w:szCs w:val="30"/>
          <w:lang w:val="en-US" w:eastAsia="zh-CN"/>
        </w:rPr>
        <w:t>43.5</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w:t>
      </w:r>
      <w:r>
        <w:rPr>
          <w:rStyle w:val="17"/>
          <w:rFonts w:hint="eastAsia" w:ascii="仿宋" w:hAnsi="仿宋" w:eastAsia="仿宋" w:cs="仿宋"/>
          <w:b w:val="0"/>
          <w:bCs/>
          <w:color w:val="000000"/>
          <w:sz w:val="30"/>
          <w:szCs w:val="30"/>
        </w:rPr>
        <w:t>完成预算</w:t>
      </w:r>
      <w:r>
        <w:rPr>
          <w:rStyle w:val="17"/>
          <w:rFonts w:hint="eastAsia" w:ascii="仿宋" w:hAnsi="仿宋" w:eastAsia="仿宋" w:cs="仿宋"/>
          <w:b w:val="0"/>
          <w:bCs/>
          <w:color w:val="000000"/>
          <w:sz w:val="30"/>
          <w:szCs w:val="30"/>
          <w:lang w:val="en-US" w:eastAsia="zh-CN"/>
        </w:rPr>
        <w:t>100</w:t>
      </w:r>
      <w:r>
        <w:rPr>
          <w:rStyle w:val="17"/>
          <w:rFonts w:hint="eastAsia" w:ascii="仿宋" w:hAnsi="仿宋" w:eastAsia="仿宋" w:cs="仿宋"/>
          <w:b w:val="0"/>
          <w:bCs/>
          <w:color w:val="000000"/>
          <w:sz w:val="30"/>
          <w:szCs w:val="30"/>
        </w:rPr>
        <w:t>%。</w:t>
      </w:r>
      <w:r>
        <w:rPr>
          <w:rFonts w:hint="eastAsia" w:ascii="仿宋" w:hAnsi="仿宋" w:eastAsia="仿宋" w:cs="仿宋"/>
          <w:color w:val="000000"/>
          <w:sz w:val="30"/>
          <w:szCs w:val="30"/>
        </w:rPr>
        <w:t>公务用车购置及运行维护费支出决算比20</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增加</w:t>
      </w:r>
      <w:r>
        <w:rPr>
          <w:rFonts w:hint="eastAsia" w:ascii="仿宋" w:hAnsi="仿宋" w:eastAsia="仿宋" w:cs="仿宋"/>
          <w:color w:val="000000"/>
          <w:sz w:val="30"/>
          <w:szCs w:val="30"/>
          <w:lang w:val="en-US" w:eastAsia="zh-CN"/>
        </w:rPr>
        <w:t>0.5</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增长</w:t>
      </w:r>
      <w:r>
        <w:rPr>
          <w:rFonts w:hint="eastAsia" w:ascii="仿宋" w:hAnsi="仿宋" w:eastAsia="仿宋" w:cs="仿宋"/>
          <w:color w:val="000000"/>
          <w:sz w:val="30"/>
          <w:szCs w:val="30"/>
          <w:lang w:val="en-US" w:eastAsia="zh-CN"/>
        </w:rPr>
        <w:t>1.16</w:t>
      </w:r>
      <w:r>
        <w:rPr>
          <w:rFonts w:hint="eastAsia" w:ascii="仿宋" w:hAnsi="仿宋" w:eastAsia="仿宋" w:cs="仿宋"/>
          <w:color w:val="000000"/>
          <w:sz w:val="30"/>
          <w:szCs w:val="30"/>
        </w:rPr>
        <w:t>%。主要原因是</w:t>
      </w:r>
      <w:r>
        <w:rPr>
          <w:rFonts w:hint="eastAsia" w:ascii="仿宋" w:hAnsi="仿宋" w:eastAsia="仿宋" w:cs="仿宋"/>
          <w:color w:val="000000"/>
          <w:sz w:val="30"/>
          <w:szCs w:val="30"/>
          <w:lang w:eastAsia="zh-CN"/>
        </w:rPr>
        <w:t>在全年预算范围内支付，剩余部分执勤执法车辆费用用省级转移支付资金支付</w:t>
      </w:r>
      <w:r>
        <w:rPr>
          <w:rFonts w:hint="eastAsia" w:ascii="仿宋" w:hAnsi="仿宋" w:eastAsia="仿宋" w:cs="仿宋"/>
          <w:color w:val="000000"/>
          <w:sz w:val="30"/>
          <w:szCs w:val="30"/>
        </w:rPr>
        <w:t>。</w:t>
      </w:r>
    </w:p>
    <w:p w14:paraId="58E020DF">
      <w:pPr>
        <w:spacing w:line="600" w:lineRule="exact"/>
        <w:ind w:firstLine="600" w:firstLineChars="200"/>
        <w:rPr>
          <w:rFonts w:hint="eastAsia" w:ascii="仿宋" w:hAnsi="仿宋" w:eastAsia="仿宋" w:cs="仿宋"/>
          <w:b/>
          <w:color w:val="000000"/>
          <w:sz w:val="30"/>
          <w:szCs w:val="30"/>
        </w:rPr>
      </w:pPr>
      <w:r>
        <w:rPr>
          <w:rFonts w:hint="eastAsia" w:ascii="仿宋" w:hAnsi="仿宋" w:eastAsia="仿宋" w:cs="仿宋"/>
          <w:color w:val="000000"/>
          <w:sz w:val="30"/>
          <w:szCs w:val="30"/>
        </w:rPr>
        <w:t>其中：</w:t>
      </w:r>
      <w:r>
        <w:rPr>
          <w:rFonts w:hint="eastAsia" w:ascii="仿宋" w:hAnsi="仿宋" w:eastAsia="仿宋" w:cs="仿宋"/>
          <w:b/>
          <w:color w:val="000000"/>
          <w:sz w:val="30"/>
          <w:szCs w:val="30"/>
        </w:rPr>
        <w:t>公务用车购置支出</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比</w:t>
      </w:r>
      <w:r>
        <w:rPr>
          <w:rFonts w:hint="eastAsia" w:ascii="仿宋" w:hAnsi="仿宋" w:eastAsia="仿宋" w:cs="仿宋"/>
          <w:color w:val="000000"/>
          <w:sz w:val="30"/>
          <w:szCs w:val="30"/>
          <w:lang w:val="en-US" w:eastAsia="zh-CN"/>
        </w:rPr>
        <w:t>2021年度增加0万元，增长0%，主要原因是：本年度未购置车辆。</w:t>
      </w:r>
      <w:r>
        <w:rPr>
          <w:rFonts w:hint="eastAsia" w:ascii="仿宋_GB2312" w:eastAsia="仿宋_GB2312"/>
          <w:color w:val="000000"/>
          <w:sz w:val="32"/>
          <w:szCs w:val="32"/>
        </w:rPr>
        <w:t>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执勤执法。</w:t>
      </w:r>
      <w:r>
        <w:rPr>
          <w:rFonts w:hint="eastAsia" w:ascii="仿宋" w:hAnsi="仿宋" w:eastAsia="仿宋" w:cs="仿宋"/>
          <w:color w:val="000000"/>
          <w:sz w:val="30"/>
          <w:szCs w:val="30"/>
        </w:rPr>
        <w:t>截至20</w:t>
      </w:r>
      <w:r>
        <w:rPr>
          <w:rFonts w:hint="eastAsia" w:ascii="仿宋" w:hAnsi="仿宋" w:eastAsia="仿宋" w:cs="仿宋"/>
          <w:color w:val="000000"/>
          <w:sz w:val="30"/>
          <w:szCs w:val="30"/>
          <w:lang w:val="en-US" w:eastAsia="zh-CN"/>
        </w:rPr>
        <w:t>22</w:t>
      </w:r>
      <w:r>
        <w:rPr>
          <w:rFonts w:hint="eastAsia" w:ascii="仿宋" w:hAnsi="仿宋" w:eastAsia="仿宋" w:cs="仿宋"/>
          <w:color w:val="000000"/>
          <w:sz w:val="30"/>
          <w:szCs w:val="30"/>
        </w:rPr>
        <w:t>年12月底，单位共有公务用车</w:t>
      </w:r>
      <w:r>
        <w:rPr>
          <w:rFonts w:hint="eastAsia" w:ascii="仿宋" w:hAnsi="仿宋" w:eastAsia="仿宋" w:cs="仿宋"/>
          <w:color w:val="000000"/>
          <w:sz w:val="30"/>
          <w:szCs w:val="30"/>
          <w:lang w:val="en-US" w:eastAsia="zh-CN"/>
        </w:rPr>
        <w:t>57</w:t>
      </w:r>
      <w:r>
        <w:rPr>
          <w:rFonts w:hint="eastAsia" w:ascii="仿宋" w:hAnsi="仿宋" w:eastAsia="仿宋" w:cs="仿宋"/>
          <w:color w:val="000000"/>
          <w:sz w:val="30"/>
          <w:szCs w:val="30"/>
        </w:rPr>
        <w:t>辆，其中：轿车</w:t>
      </w:r>
      <w:r>
        <w:rPr>
          <w:rFonts w:hint="eastAsia" w:ascii="仿宋" w:hAnsi="仿宋" w:eastAsia="仿宋" w:cs="仿宋"/>
          <w:color w:val="000000"/>
          <w:sz w:val="30"/>
          <w:szCs w:val="30"/>
          <w:lang w:val="en-US" w:eastAsia="zh-CN"/>
        </w:rPr>
        <w:t>36</w:t>
      </w:r>
      <w:r>
        <w:rPr>
          <w:rFonts w:hint="eastAsia" w:ascii="仿宋" w:hAnsi="仿宋" w:eastAsia="仿宋" w:cs="仿宋"/>
          <w:color w:val="000000"/>
          <w:sz w:val="30"/>
          <w:szCs w:val="30"/>
        </w:rPr>
        <w:t>辆、越野车</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辆、特种车辆载客汽车1辆、皮卡车18辆。</w:t>
      </w:r>
    </w:p>
    <w:p w14:paraId="26A75A3D">
      <w:pPr>
        <w:spacing w:line="600" w:lineRule="exact"/>
        <w:ind w:firstLine="640"/>
        <w:rPr>
          <w:rFonts w:hint="eastAsia" w:ascii="仿宋" w:hAnsi="仿宋" w:eastAsia="仿宋" w:cs="仿宋"/>
          <w:color w:val="000000"/>
          <w:sz w:val="30"/>
          <w:szCs w:val="30"/>
        </w:rPr>
      </w:pPr>
      <w:r>
        <w:rPr>
          <w:rFonts w:hint="eastAsia" w:ascii="仿宋" w:hAnsi="仿宋" w:eastAsia="仿宋" w:cs="仿宋"/>
          <w:b/>
          <w:color w:val="000000"/>
          <w:sz w:val="30"/>
          <w:szCs w:val="30"/>
        </w:rPr>
        <w:t>公务用车运行维护费支出</w:t>
      </w:r>
      <w:r>
        <w:rPr>
          <w:rFonts w:hint="eastAsia" w:ascii="仿宋" w:hAnsi="仿宋" w:eastAsia="仿宋" w:cs="仿宋"/>
          <w:color w:val="000000"/>
          <w:sz w:val="30"/>
          <w:szCs w:val="30"/>
          <w:lang w:val="en-US" w:eastAsia="zh-CN"/>
        </w:rPr>
        <w:t>43.5</w:t>
      </w:r>
      <w:r>
        <w:rPr>
          <w:rFonts w:hint="eastAsia" w:ascii="仿宋" w:hAnsi="仿宋" w:eastAsia="仿宋" w:cs="仿宋"/>
          <w:color w:val="000000"/>
          <w:sz w:val="30"/>
          <w:szCs w:val="30"/>
        </w:rPr>
        <w:t>万元。比20</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度增加</w:t>
      </w:r>
      <w:r>
        <w:rPr>
          <w:rFonts w:hint="eastAsia" w:ascii="仿宋" w:hAnsi="仿宋" w:eastAsia="仿宋" w:cs="仿宋"/>
          <w:color w:val="000000"/>
          <w:sz w:val="30"/>
          <w:szCs w:val="30"/>
          <w:lang w:val="en-US" w:eastAsia="zh-CN"/>
        </w:rPr>
        <w:t>0.5</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增长</w:t>
      </w:r>
      <w:r>
        <w:rPr>
          <w:rFonts w:hint="eastAsia" w:ascii="仿宋" w:hAnsi="仿宋" w:eastAsia="仿宋" w:cs="仿宋"/>
          <w:color w:val="000000"/>
          <w:sz w:val="30"/>
          <w:szCs w:val="30"/>
          <w:lang w:val="en-US" w:eastAsia="zh-CN"/>
        </w:rPr>
        <w:t>1.16</w:t>
      </w:r>
      <w:r>
        <w:rPr>
          <w:rFonts w:hint="eastAsia" w:ascii="仿宋" w:hAnsi="仿宋" w:eastAsia="仿宋" w:cs="仿宋"/>
          <w:color w:val="000000"/>
          <w:sz w:val="30"/>
          <w:szCs w:val="30"/>
        </w:rPr>
        <w:t>%。主要原因是</w:t>
      </w:r>
      <w:r>
        <w:rPr>
          <w:rFonts w:hint="eastAsia" w:ascii="仿宋" w:hAnsi="仿宋" w:eastAsia="仿宋" w:cs="仿宋"/>
          <w:color w:val="000000"/>
          <w:sz w:val="30"/>
          <w:szCs w:val="30"/>
          <w:lang w:eastAsia="zh-CN"/>
        </w:rPr>
        <w:t>在全年预算中支付执勤执法车辆燃修费，剩余部分执勤执法车辆费用用省级转移支付资金支付。</w:t>
      </w:r>
      <w:r>
        <w:rPr>
          <w:rFonts w:hint="eastAsia" w:ascii="仿宋" w:hAnsi="仿宋" w:eastAsia="仿宋" w:cs="仿宋"/>
          <w:color w:val="000000"/>
          <w:sz w:val="30"/>
          <w:szCs w:val="30"/>
        </w:rPr>
        <w:t>主要用于交通秩序安全管理、交通事故处理、交通警卫安保等所需的公务用车燃料费、维修费、过路过桥费、保险费等支出。</w:t>
      </w:r>
    </w:p>
    <w:p w14:paraId="05F8910E">
      <w:pPr>
        <w:spacing w:line="600" w:lineRule="exact"/>
        <w:ind w:firstLine="640"/>
        <w:rPr>
          <w:rFonts w:hint="eastAsia" w:ascii="仿宋" w:hAnsi="仿宋" w:eastAsia="仿宋" w:cs="仿宋"/>
          <w:color w:val="000000" w:themeColor="text1"/>
          <w:sz w:val="30"/>
          <w:szCs w:val="30"/>
        </w:rPr>
      </w:pPr>
      <w:r>
        <w:rPr>
          <w:rFonts w:hint="eastAsia" w:ascii="仿宋" w:hAnsi="仿宋" w:eastAsia="仿宋" w:cs="仿宋"/>
          <w:b/>
          <w:color w:val="000000"/>
          <w:sz w:val="30"/>
          <w:szCs w:val="30"/>
        </w:rPr>
        <w:t>3.公务接待费支出</w:t>
      </w:r>
      <w:r>
        <w:rPr>
          <w:rFonts w:hint="eastAsia" w:ascii="仿宋" w:hAnsi="仿宋" w:eastAsia="仿宋" w:cs="仿宋"/>
          <w:color w:val="000000"/>
          <w:sz w:val="30"/>
          <w:szCs w:val="30"/>
          <w:lang w:val="en-US" w:eastAsia="zh-CN"/>
        </w:rPr>
        <w:t>0.26</w:t>
      </w:r>
      <w:r>
        <w:rPr>
          <w:rFonts w:hint="eastAsia" w:ascii="仿宋" w:hAnsi="仿宋" w:eastAsia="仿宋" w:cs="仿宋"/>
          <w:color w:val="000000"/>
          <w:sz w:val="30"/>
          <w:szCs w:val="30"/>
        </w:rPr>
        <w:t>万元，</w:t>
      </w:r>
      <w:r>
        <w:rPr>
          <w:rStyle w:val="17"/>
          <w:rFonts w:hint="eastAsia" w:ascii="仿宋" w:hAnsi="仿宋" w:eastAsia="仿宋" w:cs="仿宋"/>
          <w:b w:val="0"/>
          <w:bCs/>
          <w:color w:val="000000"/>
          <w:sz w:val="30"/>
          <w:szCs w:val="30"/>
        </w:rPr>
        <w:t>完成预算</w:t>
      </w:r>
      <w:r>
        <w:rPr>
          <w:rStyle w:val="17"/>
          <w:rFonts w:hint="eastAsia" w:ascii="仿宋" w:hAnsi="仿宋" w:eastAsia="仿宋" w:cs="仿宋"/>
          <w:b w:val="0"/>
          <w:bCs/>
          <w:color w:val="000000"/>
          <w:sz w:val="30"/>
          <w:szCs w:val="30"/>
          <w:lang w:val="en-US" w:eastAsia="zh-CN"/>
        </w:rPr>
        <w:t>100</w:t>
      </w:r>
      <w:r>
        <w:rPr>
          <w:rStyle w:val="17"/>
          <w:rFonts w:hint="eastAsia" w:ascii="仿宋" w:hAnsi="仿宋" w:eastAsia="仿宋" w:cs="仿宋"/>
          <w:b w:val="0"/>
          <w:bCs/>
          <w:color w:val="000000"/>
          <w:sz w:val="30"/>
          <w:szCs w:val="30"/>
        </w:rPr>
        <w:t>%。</w:t>
      </w:r>
      <w:r>
        <w:rPr>
          <w:rFonts w:hint="eastAsia" w:ascii="仿宋" w:hAnsi="仿宋" w:eastAsia="仿宋" w:cs="仿宋"/>
          <w:color w:val="000000"/>
          <w:sz w:val="30"/>
          <w:szCs w:val="30"/>
        </w:rPr>
        <w:t>公务接待费支出决算比</w:t>
      </w:r>
      <w:r>
        <w:rPr>
          <w:rFonts w:hint="eastAsia" w:ascii="仿宋" w:hAnsi="仿宋" w:eastAsia="仿宋" w:cs="仿宋"/>
          <w:color w:val="000000"/>
          <w:sz w:val="30"/>
          <w:szCs w:val="30"/>
          <w:lang w:val="en-US" w:eastAsia="zh-CN"/>
        </w:rPr>
        <w:t>2021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度减少</w:t>
      </w:r>
      <w:r>
        <w:rPr>
          <w:rFonts w:hint="eastAsia" w:ascii="仿宋" w:hAnsi="仿宋" w:eastAsia="仿宋" w:cs="仿宋"/>
          <w:color w:val="000000"/>
          <w:sz w:val="30"/>
          <w:szCs w:val="30"/>
          <w:lang w:val="en-US" w:eastAsia="zh-CN"/>
        </w:rPr>
        <w:t>0.67</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下降</w:t>
      </w:r>
      <w:r>
        <w:rPr>
          <w:rFonts w:hint="eastAsia" w:ascii="仿宋" w:hAnsi="仿宋" w:eastAsia="仿宋" w:cs="仿宋"/>
          <w:color w:val="000000"/>
          <w:sz w:val="30"/>
          <w:szCs w:val="30"/>
          <w:lang w:val="en-US" w:eastAsia="zh-CN"/>
        </w:rPr>
        <w:t>72.04</w:t>
      </w:r>
      <w:r>
        <w:rPr>
          <w:rFonts w:hint="eastAsia" w:ascii="仿宋" w:hAnsi="仿宋" w:eastAsia="仿宋" w:cs="仿宋"/>
          <w:color w:val="000000"/>
          <w:sz w:val="30"/>
          <w:szCs w:val="30"/>
        </w:rPr>
        <w:t>%。主要原因是严格按照公务接待的规定执行</w:t>
      </w:r>
      <w:r>
        <w:rPr>
          <w:rFonts w:hint="eastAsia" w:ascii="仿宋" w:hAnsi="仿宋" w:eastAsia="仿宋" w:cs="仿宋"/>
          <w:color w:val="000000"/>
          <w:sz w:val="30"/>
          <w:szCs w:val="30"/>
          <w:lang w:eastAsia="zh-CN"/>
        </w:rPr>
        <w:t>，接待人数和批次严格控制</w:t>
      </w:r>
      <w:r>
        <w:rPr>
          <w:rFonts w:hint="eastAsia" w:ascii="仿宋" w:hAnsi="仿宋" w:eastAsia="仿宋" w:cs="仿宋"/>
          <w:color w:val="000000"/>
          <w:sz w:val="30"/>
          <w:szCs w:val="30"/>
        </w:rPr>
        <w:t>。其中：</w:t>
      </w:r>
    </w:p>
    <w:p w14:paraId="446276F8">
      <w:pPr>
        <w:spacing w:line="600" w:lineRule="exact"/>
        <w:ind w:firstLine="640"/>
        <w:rPr>
          <w:rFonts w:hint="eastAsia" w:ascii="仿宋" w:hAnsi="仿宋" w:eastAsia="仿宋" w:cs="仿宋"/>
          <w:color w:val="000000"/>
          <w:sz w:val="30"/>
          <w:szCs w:val="30"/>
          <w:lang w:val="en-US" w:eastAsia="zh-CN"/>
        </w:rPr>
      </w:pPr>
      <w:r>
        <w:rPr>
          <w:rFonts w:hint="eastAsia" w:ascii="仿宋" w:hAnsi="仿宋" w:eastAsia="仿宋" w:cs="仿宋"/>
          <w:b/>
          <w:color w:val="000000"/>
          <w:sz w:val="30"/>
          <w:szCs w:val="30"/>
        </w:rPr>
        <w:t>国内公务接待支出</w:t>
      </w:r>
      <w:r>
        <w:rPr>
          <w:rFonts w:hint="eastAsia" w:ascii="仿宋" w:hAnsi="仿宋" w:eastAsia="仿宋" w:cs="仿宋"/>
          <w:color w:val="000000"/>
          <w:sz w:val="30"/>
          <w:szCs w:val="30"/>
        </w:rPr>
        <w:t>0</w:t>
      </w:r>
      <w:r>
        <w:rPr>
          <w:rFonts w:hint="eastAsia" w:ascii="仿宋" w:hAnsi="仿宋" w:eastAsia="仿宋" w:cs="仿宋"/>
          <w:color w:val="000000"/>
          <w:sz w:val="30"/>
          <w:szCs w:val="30"/>
          <w:lang w:val="en-US" w:eastAsia="zh-CN"/>
        </w:rPr>
        <w:t>.26</w:t>
      </w:r>
      <w:r>
        <w:rPr>
          <w:rFonts w:hint="eastAsia" w:ascii="仿宋" w:hAnsi="仿宋" w:eastAsia="仿宋" w:cs="仿宋"/>
          <w:color w:val="000000"/>
          <w:sz w:val="30"/>
          <w:szCs w:val="30"/>
        </w:rPr>
        <w:t>万元。比</w:t>
      </w:r>
      <w:r>
        <w:rPr>
          <w:rFonts w:hint="eastAsia" w:ascii="仿宋" w:hAnsi="仿宋" w:eastAsia="仿宋" w:cs="仿宋"/>
          <w:color w:val="000000"/>
          <w:sz w:val="30"/>
          <w:szCs w:val="30"/>
          <w:lang w:val="en-US" w:eastAsia="zh-CN"/>
        </w:rPr>
        <w:t>2021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度减少</w:t>
      </w:r>
      <w:r>
        <w:rPr>
          <w:rFonts w:hint="eastAsia" w:ascii="仿宋" w:hAnsi="仿宋" w:eastAsia="仿宋" w:cs="仿宋"/>
          <w:color w:val="000000"/>
          <w:sz w:val="30"/>
          <w:szCs w:val="30"/>
          <w:lang w:val="en-US" w:eastAsia="zh-CN"/>
        </w:rPr>
        <w:t>0.67</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下降</w:t>
      </w:r>
      <w:r>
        <w:rPr>
          <w:rFonts w:hint="eastAsia" w:ascii="仿宋" w:hAnsi="仿宋" w:eastAsia="仿宋" w:cs="仿宋"/>
          <w:color w:val="000000"/>
          <w:sz w:val="30"/>
          <w:szCs w:val="30"/>
          <w:lang w:val="en-US" w:eastAsia="zh-CN"/>
        </w:rPr>
        <w:t>72.04</w:t>
      </w:r>
      <w:r>
        <w:rPr>
          <w:rFonts w:hint="eastAsia" w:ascii="仿宋" w:hAnsi="仿宋" w:eastAsia="仿宋" w:cs="仿宋"/>
          <w:color w:val="000000"/>
          <w:sz w:val="30"/>
          <w:szCs w:val="30"/>
        </w:rPr>
        <w:t>%。主要原因是严格按照公务接待的规定执行</w:t>
      </w:r>
      <w:r>
        <w:rPr>
          <w:rFonts w:hint="eastAsia" w:ascii="仿宋" w:hAnsi="仿宋" w:eastAsia="仿宋" w:cs="仿宋"/>
          <w:color w:val="000000"/>
          <w:sz w:val="30"/>
          <w:szCs w:val="30"/>
          <w:lang w:eastAsia="zh-CN"/>
        </w:rPr>
        <w:t>，接待人数和批次严格控制</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主要用于执行公务开展业务活动开支的用餐费。国内公务接待</w:t>
      </w:r>
      <w:r>
        <w:rPr>
          <w:rFonts w:hint="eastAsia" w:ascii="仿宋" w:hAnsi="仿宋" w:eastAsia="仿宋" w:cs="仿宋"/>
          <w:color w:val="000000"/>
          <w:sz w:val="30"/>
          <w:szCs w:val="30"/>
          <w:lang w:val="en-US" w:eastAsia="zh-CN"/>
        </w:rPr>
        <w:t>3批次，17人次，共计支出0.26万元。具体内容为：接待省交警总队车管处领导一行共计4人计500元；接待省道安办领导一行9人计1000元；接待省交警总队领导一行4人计1050元。</w:t>
      </w:r>
    </w:p>
    <w:p w14:paraId="2022C589">
      <w:pPr>
        <w:spacing w:line="600" w:lineRule="exact"/>
        <w:ind w:firstLine="640"/>
        <w:rPr>
          <w:rFonts w:hint="default" w:ascii="仿宋_GB2312" w:eastAsia="仿宋_GB2312"/>
          <w:color w:val="000000"/>
          <w:sz w:val="32"/>
          <w:szCs w:val="32"/>
          <w:lang w:val="en-US" w:eastAsia="zh-CN"/>
        </w:rPr>
      </w:pPr>
      <w:r>
        <w:rPr>
          <w:rFonts w:hint="eastAsia" w:ascii="仿宋" w:hAnsi="仿宋" w:eastAsia="仿宋" w:cs="仿宋"/>
          <w:b/>
          <w:color w:val="000000"/>
          <w:sz w:val="30"/>
          <w:szCs w:val="30"/>
        </w:rPr>
        <w:t>外事接待支出</w:t>
      </w:r>
      <w:r>
        <w:rPr>
          <w:rFonts w:hint="eastAsia" w:ascii="仿宋" w:hAnsi="仿宋" w:eastAsia="仿宋" w:cs="仿宋"/>
          <w:color w:val="000000"/>
          <w:sz w:val="30"/>
          <w:szCs w:val="30"/>
        </w:rPr>
        <w:t>0万元</w:t>
      </w:r>
      <w:r>
        <w:rPr>
          <w:rFonts w:hint="eastAsia" w:ascii="仿宋" w:hAnsi="仿宋" w:eastAsia="仿宋" w:cs="仿宋"/>
          <w:color w:val="000000" w:themeColor="text1"/>
          <w:sz w:val="30"/>
          <w:szCs w:val="30"/>
        </w:rPr>
        <w:t>，</w:t>
      </w:r>
      <w:r>
        <w:rPr>
          <w:rFonts w:hint="eastAsia" w:ascii="仿宋" w:hAnsi="仿宋" w:eastAsia="仿宋" w:cs="仿宋"/>
          <w:color w:val="000000"/>
          <w:sz w:val="30"/>
          <w:szCs w:val="30"/>
        </w:rPr>
        <w:t>比</w:t>
      </w:r>
      <w:r>
        <w:rPr>
          <w:rFonts w:hint="eastAsia" w:ascii="仿宋" w:hAnsi="仿宋" w:eastAsia="仿宋" w:cs="仿宋"/>
          <w:color w:val="000000"/>
          <w:sz w:val="30"/>
          <w:szCs w:val="30"/>
          <w:lang w:val="en-US" w:eastAsia="zh-CN"/>
        </w:rPr>
        <w:t>2021</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度增加</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增加</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%。主要原因是</w:t>
      </w:r>
      <w:r>
        <w:rPr>
          <w:rFonts w:hint="eastAsia" w:ascii="仿宋" w:hAnsi="仿宋" w:eastAsia="仿宋" w:cs="仿宋"/>
          <w:color w:val="000000"/>
          <w:sz w:val="30"/>
          <w:szCs w:val="30"/>
          <w:lang w:eastAsia="zh-CN"/>
        </w:rPr>
        <w:t>本年度未预算外事接待，本年度也未产生外事接待费用。</w:t>
      </w:r>
      <w:r>
        <w:rPr>
          <w:rFonts w:hint="eastAsia" w:ascii="仿宋" w:hAnsi="仿宋" w:eastAsia="仿宋" w:cs="仿宋"/>
          <w:color w:val="000000" w:themeColor="text1"/>
          <w:sz w:val="30"/>
          <w:szCs w:val="30"/>
        </w:rPr>
        <w:t>外事接待0批次，0人，共计支出0万元。</w:t>
      </w:r>
    </w:p>
    <w:p w14:paraId="6A7D1268">
      <w:pPr>
        <w:spacing w:line="600" w:lineRule="exact"/>
        <w:ind w:firstLine="640"/>
        <w:outlineLvl w:val="1"/>
        <w:rPr>
          <w:rFonts w:ascii="黑体" w:eastAsia="黑体"/>
          <w:color w:val="000000"/>
          <w:sz w:val="32"/>
          <w:szCs w:val="32"/>
        </w:rPr>
      </w:pPr>
      <w:bookmarkStart w:id="45" w:name="_Toc15396610"/>
      <w:bookmarkStart w:id="46" w:name="_Toc15377218"/>
    </w:p>
    <w:p w14:paraId="61E3D0BF">
      <w:pPr>
        <w:spacing w:line="600" w:lineRule="exact"/>
        <w:ind w:firstLine="640"/>
        <w:outlineLvl w:val="1"/>
        <w:rPr>
          <w:rStyle w:val="28"/>
          <w:rFonts w:ascii="黑体" w:hAnsi="黑体" w:eastAsia="黑体"/>
        </w:rPr>
      </w:pPr>
      <w:r>
        <w:rPr>
          <w:rFonts w:hint="eastAsia" w:ascii="黑体" w:eastAsia="黑体"/>
          <w:color w:val="000000"/>
          <w:sz w:val="32"/>
          <w:szCs w:val="32"/>
          <w:lang w:eastAsia="zh-CN"/>
        </w:rPr>
        <w:t>九</w:t>
      </w:r>
      <w:r>
        <w:rPr>
          <w:rFonts w:hint="eastAsia" w:ascii="黑体" w:eastAsia="黑体"/>
          <w:color w:val="000000"/>
          <w:sz w:val="32"/>
          <w:szCs w:val="32"/>
        </w:rPr>
        <w:t>、</w:t>
      </w:r>
      <w:r>
        <w:rPr>
          <w:rStyle w:val="28"/>
          <w:rFonts w:hint="eastAsia" w:ascii="黑体" w:hAnsi="黑体" w:eastAsia="黑体"/>
          <w:b w:val="0"/>
        </w:rPr>
        <w:t>政府性基金预算支出决算情况说明</w:t>
      </w:r>
      <w:bookmarkEnd w:id="45"/>
      <w:bookmarkEnd w:id="46"/>
    </w:p>
    <w:p w14:paraId="3A5959E4">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度</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val="en-US" w:eastAsia="zh-CN"/>
        </w:rPr>
        <w:t>881.67</w:t>
      </w:r>
      <w:r>
        <w:rPr>
          <w:rFonts w:hint="eastAsia" w:ascii="仿宋_GB2312" w:eastAsia="仿宋_GB2312"/>
          <w:color w:val="000000"/>
          <w:sz w:val="32"/>
          <w:szCs w:val="32"/>
        </w:rPr>
        <w:t>万元。</w:t>
      </w:r>
    </w:p>
    <w:p w14:paraId="2EBB386A">
      <w:pPr>
        <w:spacing w:line="600" w:lineRule="exact"/>
        <w:ind w:firstLine="640"/>
        <w:rPr>
          <w:rFonts w:ascii="仿宋_GB2312" w:eastAsia="仿宋_GB2312"/>
          <w:color w:val="000000"/>
          <w:sz w:val="32"/>
          <w:szCs w:val="32"/>
        </w:rPr>
      </w:pPr>
    </w:p>
    <w:p w14:paraId="0F1C2C4B">
      <w:pPr>
        <w:numPr>
          <w:ilvl w:val="0"/>
          <w:numId w:val="0"/>
        </w:numPr>
        <w:spacing w:line="600" w:lineRule="exact"/>
        <w:ind w:firstLine="960" w:firstLineChars="300"/>
        <w:outlineLvl w:val="1"/>
        <w:rPr>
          <w:rStyle w:val="28"/>
          <w:rFonts w:ascii="黑体" w:hAnsi="黑体" w:eastAsia="黑体"/>
          <w:b w:val="0"/>
        </w:rPr>
      </w:pPr>
      <w:bookmarkStart w:id="47" w:name="_Toc15377219"/>
      <w:bookmarkStart w:id="48" w:name="_Toc15396611"/>
      <w:r>
        <w:rPr>
          <w:rStyle w:val="28"/>
          <w:rFonts w:hint="eastAsia" w:ascii="黑体" w:hAnsi="黑体" w:eastAsia="黑体"/>
          <w:b w:val="0"/>
          <w:lang w:eastAsia="zh-CN"/>
        </w:rPr>
        <w:t>十、</w:t>
      </w:r>
      <w:r>
        <w:rPr>
          <w:rStyle w:val="28"/>
          <w:rFonts w:hint="eastAsia" w:ascii="黑体" w:hAnsi="黑体" w:eastAsia="黑体"/>
          <w:b w:val="0"/>
        </w:rPr>
        <w:t>国有资本经营预算支出决算情况说明</w:t>
      </w:r>
      <w:bookmarkEnd w:id="47"/>
      <w:bookmarkEnd w:id="48"/>
    </w:p>
    <w:p w14:paraId="48F046CC">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度</w:t>
      </w:r>
      <w:r>
        <w:rPr>
          <w:rFonts w:hint="eastAsia" w:ascii="仿宋_GB2312" w:eastAsia="仿宋_GB2312"/>
          <w:color w:val="000000"/>
          <w:sz w:val="32"/>
          <w:szCs w:val="32"/>
        </w:rPr>
        <w:t>国有资本经营预算拨款支出0万元。</w:t>
      </w:r>
    </w:p>
    <w:p w14:paraId="0A37C8CC">
      <w:pPr>
        <w:spacing w:line="600" w:lineRule="exact"/>
        <w:ind w:firstLine="800" w:firstLineChars="250"/>
        <w:outlineLvl w:val="1"/>
        <w:rPr>
          <w:rStyle w:val="28"/>
          <w:rFonts w:ascii="黑体" w:hAnsi="黑体" w:eastAsia="黑体"/>
        </w:rPr>
      </w:pPr>
      <w:bookmarkStart w:id="49" w:name="_Toc15377221"/>
      <w:bookmarkStart w:id="50" w:name="_Toc15396612"/>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8"/>
          <w:rFonts w:hint="eastAsia" w:ascii="黑体" w:hAnsi="黑体" w:eastAsia="黑体"/>
        </w:rPr>
        <w:t>、</w:t>
      </w:r>
      <w:r>
        <w:rPr>
          <w:rStyle w:val="28"/>
          <w:rFonts w:hint="eastAsia" w:ascii="黑体" w:hAnsi="黑体" w:eastAsia="黑体"/>
          <w:b w:val="0"/>
        </w:rPr>
        <w:t>其他重要事项的情况说明</w:t>
      </w:r>
      <w:bookmarkEnd w:id="49"/>
      <w:bookmarkEnd w:id="50"/>
    </w:p>
    <w:p w14:paraId="6C418967">
      <w:pPr>
        <w:spacing w:line="600" w:lineRule="exact"/>
        <w:ind w:firstLine="643" w:firstLineChars="200"/>
        <w:outlineLvl w:val="2"/>
        <w:rPr>
          <w:rFonts w:ascii="仿宋" w:hAnsi="仿宋" w:eastAsia="仿宋"/>
          <w:color w:val="000000"/>
          <w:sz w:val="32"/>
          <w:szCs w:val="32"/>
        </w:rPr>
      </w:pPr>
      <w:bookmarkStart w:id="51" w:name="_Toc15377222"/>
      <w:r>
        <w:rPr>
          <w:rFonts w:hint="eastAsia" w:ascii="仿宋" w:hAnsi="仿宋" w:eastAsia="仿宋"/>
          <w:b/>
          <w:color w:val="000000"/>
          <w:sz w:val="32"/>
          <w:szCs w:val="32"/>
        </w:rPr>
        <w:t>（一）机关运行经费支出情况</w:t>
      </w:r>
      <w:bookmarkEnd w:id="51"/>
    </w:p>
    <w:p w14:paraId="45DD9C5A">
      <w:pPr>
        <w:spacing w:line="600" w:lineRule="exact"/>
        <w:ind w:firstLine="600" w:firstLineChars="200"/>
        <w:rPr>
          <w:rFonts w:ascii="仿宋_GB2312" w:eastAsia="仿宋_GB2312"/>
          <w:color w:val="000000" w:themeColor="text1"/>
          <w:sz w:val="32"/>
          <w:szCs w:val="32"/>
        </w:rPr>
      </w:pPr>
      <w:r>
        <w:rPr>
          <w:rFonts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w:t>
      </w:r>
      <w:r>
        <w:rPr>
          <w:rFonts w:hint="eastAsia" w:ascii="仿宋_GB2312" w:eastAsia="仿宋_GB2312"/>
          <w:color w:val="000000"/>
          <w:sz w:val="30"/>
          <w:szCs w:val="30"/>
        </w:rPr>
        <w:t>广安市公安局交通警察支队机关运行经费支出</w:t>
      </w:r>
      <w:r>
        <w:rPr>
          <w:rFonts w:hint="eastAsia" w:ascii="仿宋_GB2312" w:eastAsia="仿宋_GB2312"/>
          <w:color w:val="000000"/>
          <w:sz w:val="30"/>
          <w:szCs w:val="30"/>
          <w:lang w:val="en-US" w:eastAsia="zh-CN"/>
        </w:rPr>
        <w:t>1136.69</w:t>
      </w:r>
      <w:r>
        <w:rPr>
          <w:rFonts w:hint="eastAsia" w:ascii="仿宋_GB2312" w:eastAsia="仿宋_GB2312"/>
          <w:color w:val="000000"/>
          <w:sz w:val="30"/>
          <w:szCs w:val="30"/>
        </w:rPr>
        <w:t>万元，比</w:t>
      </w:r>
      <w:r>
        <w:rPr>
          <w:rFonts w:ascii="仿宋_GB2312" w:eastAsia="仿宋_GB2312"/>
          <w:color w:val="000000"/>
          <w:sz w:val="30"/>
          <w:szCs w:val="30"/>
        </w:rPr>
        <w:t>20</w:t>
      </w:r>
      <w:r>
        <w:rPr>
          <w:rFonts w:hint="eastAsia" w:ascii="仿宋_GB2312" w:eastAsia="仿宋_GB2312"/>
          <w:color w:val="000000"/>
          <w:sz w:val="30"/>
          <w:szCs w:val="30"/>
          <w:lang w:val="en-US" w:eastAsia="zh-CN"/>
        </w:rPr>
        <w:t>21</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度减少</w:t>
      </w:r>
      <w:r>
        <w:rPr>
          <w:rFonts w:hint="eastAsia" w:ascii="仿宋_GB2312" w:eastAsia="仿宋_GB2312"/>
          <w:color w:val="000000"/>
          <w:sz w:val="30"/>
          <w:szCs w:val="30"/>
          <w:lang w:val="en-US" w:eastAsia="zh-CN"/>
        </w:rPr>
        <w:t>2305.35</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下降</w:t>
      </w:r>
      <w:r>
        <w:rPr>
          <w:rFonts w:hint="eastAsia" w:ascii="仿宋_GB2312" w:eastAsia="仿宋_GB2312"/>
          <w:color w:val="000000"/>
          <w:sz w:val="30"/>
          <w:szCs w:val="30"/>
          <w:lang w:val="en-US" w:eastAsia="zh-CN"/>
        </w:rPr>
        <w:t>66.98</w:t>
      </w:r>
      <w:r>
        <w:rPr>
          <w:rFonts w:ascii="仿宋_GB2312" w:eastAsia="仿宋_GB2312"/>
          <w:color w:val="000000"/>
          <w:sz w:val="30"/>
          <w:szCs w:val="30"/>
        </w:rPr>
        <w:t>%</w:t>
      </w:r>
      <w:r>
        <w:rPr>
          <w:rFonts w:hint="eastAsia" w:ascii="仿宋_GB2312" w:eastAsia="仿宋_GB2312"/>
          <w:color w:val="000000"/>
          <w:sz w:val="30"/>
          <w:szCs w:val="30"/>
        </w:rPr>
        <w:t>。</w:t>
      </w:r>
      <w:r>
        <w:rPr>
          <w:rFonts w:hint="eastAsia" w:ascii="仿宋_GB2312" w:eastAsia="仿宋_GB2312"/>
          <w:color w:val="000000" w:themeColor="text1"/>
          <w:sz w:val="30"/>
          <w:szCs w:val="30"/>
        </w:rPr>
        <w:t>主要原因是</w:t>
      </w:r>
      <w:r>
        <w:rPr>
          <w:rFonts w:hint="eastAsia" w:ascii="仿宋_GB2312" w:eastAsia="仿宋_GB2312"/>
          <w:color w:val="000000" w:themeColor="text1"/>
          <w:sz w:val="30"/>
          <w:szCs w:val="30"/>
          <w:lang w:val="en-US" w:eastAsia="zh-CN"/>
        </w:rPr>
        <w:t>2021年度财政拨付项目经费很多款项拨付在“行政运行”功能科目上，导致决算该部分费用只能填报基本支出中，2022年度也有一部分项目经费拨付在“行政运行”功能科目上，导致决算数要大于实际单位运行经费。实际单位运行经费即日常公用经费为758.61万元</w:t>
      </w:r>
      <w:r>
        <w:rPr>
          <w:rFonts w:hint="eastAsia" w:ascii="仿宋_GB2312" w:eastAsia="仿宋_GB2312"/>
          <w:color w:val="000000" w:themeColor="text1"/>
          <w:sz w:val="30"/>
          <w:szCs w:val="30"/>
        </w:rPr>
        <w:t>。</w:t>
      </w:r>
    </w:p>
    <w:p w14:paraId="6028AC5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（二）政府采购支出情况</w:t>
      </w:r>
      <w:bookmarkEnd w:id="52"/>
    </w:p>
    <w:p w14:paraId="328545D5">
      <w:pPr>
        <w:spacing w:line="600" w:lineRule="exact"/>
        <w:ind w:firstLine="600" w:firstLineChars="20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w:t>
      </w:r>
      <w:r>
        <w:rPr>
          <w:rFonts w:hint="eastAsia" w:ascii="仿宋_GB2312" w:eastAsia="仿宋_GB2312"/>
          <w:color w:val="000000"/>
          <w:sz w:val="30"/>
          <w:szCs w:val="30"/>
          <w:lang w:eastAsia="zh-CN"/>
        </w:rPr>
        <w:t>度</w:t>
      </w:r>
      <w:r>
        <w:rPr>
          <w:rFonts w:hint="eastAsia" w:ascii="仿宋_GB2312" w:eastAsia="仿宋_GB2312"/>
          <w:color w:val="000000"/>
          <w:sz w:val="30"/>
          <w:szCs w:val="30"/>
        </w:rPr>
        <w:t>广安市公安局交通警察支队政府采购支出总额</w:t>
      </w:r>
      <w:r>
        <w:rPr>
          <w:rFonts w:hint="eastAsia" w:ascii="仿宋_GB2312" w:eastAsia="仿宋_GB2312"/>
          <w:color w:val="000000"/>
          <w:sz w:val="30"/>
          <w:szCs w:val="30"/>
          <w:lang w:val="en-US" w:eastAsia="zh-CN"/>
        </w:rPr>
        <w:t>293.86</w:t>
      </w:r>
      <w:r>
        <w:rPr>
          <w:rFonts w:hint="eastAsia" w:ascii="仿宋_GB2312" w:eastAsia="仿宋_GB2312"/>
          <w:color w:val="000000"/>
          <w:sz w:val="30"/>
          <w:szCs w:val="30"/>
        </w:rPr>
        <w:t>万元，其中：政府采购货物支出</w:t>
      </w:r>
      <w:r>
        <w:rPr>
          <w:rFonts w:hint="eastAsia" w:ascii="仿宋_GB2312" w:eastAsia="仿宋_GB2312"/>
          <w:color w:val="000000"/>
          <w:sz w:val="30"/>
          <w:szCs w:val="30"/>
          <w:lang w:val="en-US" w:eastAsia="zh-CN"/>
        </w:rPr>
        <w:t>0</w:t>
      </w:r>
      <w:r>
        <w:rPr>
          <w:rFonts w:hint="eastAsia" w:ascii="仿宋_GB2312" w:eastAsia="仿宋_GB2312"/>
          <w:color w:val="000000"/>
          <w:sz w:val="30"/>
          <w:szCs w:val="30"/>
        </w:rPr>
        <w:t>万元、政府采购工程支出</w:t>
      </w:r>
      <w:r>
        <w:rPr>
          <w:rFonts w:hint="eastAsia" w:ascii="仿宋_GB2312" w:eastAsia="仿宋_GB2312"/>
          <w:color w:val="000000"/>
          <w:sz w:val="30"/>
          <w:szCs w:val="30"/>
          <w:lang w:val="en-US" w:eastAsia="zh-CN"/>
        </w:rPr>
        <w:t>0</w:t>
      </w:r>
      <w:r>
        <w:rPr>
          <w:rFonts w:hint="eastAsia" w:ascii="仿宋_GB2312" w:eastAsia="仿宋_GB2312"/>
          <w:color w:val="000000"/>
          <w:sz w:val="30"/>
          <w:szCs w:val="30"/>
        </w:rPr>
        <w:t>万元、政府采购服务支出</w:t>
      </w:r>
      <w:r>
        <w:rPr>
          <w:rFonts w:hint="eastAsia" w:ascii="仿宋_GB2312" w:eastAsia="仿宋_GB2312"/>
          <w:color w:val="000000"/>
          <w:sz w:val="30"/>
          <w:szCs w:val="30"/>
          <w:lang w:val="en-US" w:eastAsia="zh-CN"/>
        </w:rPr>
        <w:t>293.86</w:t>
      </w:r>
      <w:r>
        <w:rPr>
          <w:rFonts w:hint="eastAsia" w:ascii="仿宋_GB2312" w:eastAsia="仿宋_GB2312"/>
          <w:color w:val="000000"/>
          <w:sz w:val="30"/>
          <w:szCs w:val="30"/>
        </w:rPr>
        <w:t>万元。主要用于</w:t>
      </w:r>
      <w:r>
        <w:rPr>
          <w:rFonts w:hint="eastAsia" w:ascii="仿宋_GB2312" w:eastAsia="仿宋_GB2312"/>
          <w:color w:val="000000"/>
          <w:sz w:val="30"/>
          <w:szCs w:val="30"/>
          <w:lang w:eastAsia="zh-CN"/>
        </w:rPr>
        <w:t>部门的正常运转</w:t>
      </w:r>
      <w:r>
        <w:rPr>
          <w:rFonts w:hint="eastAsia" w:ascii="仿宋_GB2312" w:eastAsia="仿宋_GB2312"/>
          <w:color w:val="000000"/>
          <w:sz w:val="30"/>
          <w:szCs w:val="30"/>
        </w:rPr>
        <w:t>。授予中小企业合同金额</w:t>
      </w:r>
      <w:r>
        <w:rPr>
          <w:rFonts w:hint="eastAsia" w:ascii="仿宋_GB2312" w:eastAsia="仿宋_GB2312"/>
          <w:color w:val="000000"/>
          <w:sz w:val="30"/>
          <w:szCs w:val="30"/>
          <w:lang w:val="en-US" w:eastAsia="zh-CN"/>
        </w:rPr>
        <w:t>293.86</w:t>
      </w:r>
      <w:r>
        <w:rPr>
          <w:rFonts w:hint="eastAsia" w:ascii="仿宋_GB2312" w:eastAsia="仿宋_GB2312"/>
          <w:color w:val="000000"/>
          <w:sz w:val="30"/>
          <w:szCs w:val="30"/>
        </w:rPr>
        <w:t>万元，占政府采购支出总额的</w:t>
      </w:r>
      <w:r>
        <w:rPr>
          <w:rFonts w:hint="eastAsia" w:ascii="仿宋_GB2312" w:eastAsia="仿宋_GB2312"/>
          <w:color w:val="000000"/>
          <w:sz w:val="30"/>
          <w:szCs w:val="30"/>
          <w:lang w:val="en-US" w:eastAsia="zh-CN"/>
        </w:rPr>
        <w:t>100</w:t>
      </w:r>
      <w:r>
        <w:rPr>
          <w:rFonts w:ascii="仿宋_GB2312" w:eastAsia="仿宋_GB2312"/>
          <w:color w:val="000000"/>
          <w:sz w:val="30"/>
          <w:szCs w:val="30"/>
        </w:rPr>
        <w:t>%</w:t>
      </w:r>
      <w:r>
        <w:rPr>
          <w:rFonts w:hint="eastAsia" w:ascii="仿宋_GB2312" w:eastAsia="仿宋_GB2312"/>
          <w:color w:val="000000"/>
          <w:sz w:val="30"/>
          <w:szCs w:val="30"/>
        </w:rPr>
        <w:t>，其中：授予小微企业合同金额</w:t>
      </w:r>
      <w:r>
        <w:rPr>
          <w:rFonts w:hint="eastAsia" w:ascii="仿宋_GB2312" w:eastAsia="仿宋_GB2312"/>
          <w:color w:val="000000"/>
          <w:sz w:val="30"/>
          <w:szCs w:val="30"/>
          <w:lang w:val="en-US" w:eastAsia="zh-CN"/>
        </w:rPr>
        <w:t>293.86</w:t>
      </w:r>
      <w:r>
        <w:rPr>
          <w:rFonts w:hint="eastAsia" w:ascii="仿宋_GB2312" w:eastAsia="仿宋_GB2312"/>
          <w:color w:val="000000"/>
          <w:sz w:val="30"/>
          <w:szCs w:val="30"/>
        </w:rPr>
        <w:t>万元，占政府采购支出总额的</w:t>
      </w:r>
      <w:r>
        <w:rPr>
          <w:rFonts w:hint="eastAsia" w:ascii="仿宋_GB2312" w:eastAsia="仿宋_GB2312"/>
          <w:color w:val="000000"/>
          <w:sz w:val="30"/>
          <w:szCs w:val="30"/>
          <w:lang w:val="en-US" w:eastAsia="zh-CN"/>
        </w:rPr>
        <w:t>100</w:t>
      </w:r>
      <w:r>
        <w:rPr>
          <w:rFonts w:ascii="仿宋_GB2312" w:eastAsia="仿宋_GB2312"/>
          <w:color w:val="000000"/>
          <w:sz w:val="30"/>
          <w:szCs w:val="30"/>
        </w:rPr>
        <w:t>%</w:t>
      </w:r>
      <w:r>
        <w:rPr>
          <w:rFonts w:hint="eastAsia" w:ascii="仿宋_GB2312" w:eastAsia="仿宋_GB2312"/>
          <w:color w:val="000000"/>
          <w:sz w:val="30"/>
          <w:szCs w:val="30"/>
        </w:rPr>
        <w:t>。</w:t>
      </w:r>
    </w:p>
    <w:p w14:paraId="6A8CEB5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（三）国有资产占有使用情况</w:t>
      </w:r>
      <w:bookmarkEnd w:id="53"/>
    </w:p>
    <w:p w14:paraId="4FA78EBD">
      <w:pPr>
        <w:autoSpaceDE w:val="0"/>
        <w:autoSpaceDN w:val="0"/>
        <w:adjustRightInd w:val="0"/>
        <w:spacing w:line="600" w:lineRule="exact"/>
        <w:ind w:firstLine="600" w:firstLineChars="200"/>
        <w:jc w:val="left"/>
        <w:rPr>
          <w:rFonts w:hint="eastAsia" w:ascii="仿宋_GB2312" w:eastAsia="仿宋_GB2312"/>
          <w:color w:val="000000"/>
          <w:sz w:val="30"/>
          <w:szCs w:val="30"/>
          <w:lang w:eastAsia="zh-CN"/>
        </w:rPr>
      </w:pPr>
      <w:r>
        <w:rPr>
          <w:rFonts w:hint="eastAsia" w:ascii="仿宋_GB2312" w:eastAsia="仿宋_GB2312"/>
          <w:color w:val="000000"/>
          <w:sz w:val="30"/>
          <w:szCs w:val="30"/>
        </w:rPr>
        <w:t>截至</w:t>
      </w:r>
      <w:r>
        <w:rPr>
          <w:rFonts w:ascii="仿宋_GB2312" w:eastAsia="仿宋_GB2312"/>
          <w:color w:val="000000"/>
          <w:sz w:val="30"/>
          <w:szCs w:val="30"/>
        </w:rPr>
        <w:t>20</w:t>
      </w:r>
      <w:r>
        <w:rPr>
          <w:rFonts w:hint="eastAsia" w:ascii="仿宋_GB2312" w:eastAsia="仿宋_GB2312"/>
          <w:color w:val="000000"/>
          <w:sz w:val="30"/>
          <w:szCs w:val="30"/>
          <w:lang w:val="en-US" w:eastAsia="zh-CN"/>
        </w:rPr>
        <w:t>22</w:t>
      </w:r>
      <w:r>
        <w:rPr>
          <w:rFonts w:hint="eastAsia" w:ascii="仿宋_GB2312" w:eastAsia="仿宋_GB2312"/>
          <w:color w:val="000000"/>
          <w:sz w:val="30"/>
          <w:szCs w:val="30"/>
        </w:rPr>
        <w:t>年</w:t>
      </w:r>
      <w:r>
        <w:rPr>
          <w:rFonts w:ascii="仿宋_GB2312" w:eastAsia="仿宋_GB2312"/>
          <w:color w:val="000000"/>
          <w:sz w:val="30"/>
          <w:szCs w:val="30"/>
        </w:rPr>
        <w:t>12</w:t>
      </w:r>
      <w:r>
        <w:rPr>
          <w:rFonts w:hint="eastAsia" w:ascii="仿宋_GB2312" w:eastAsia="仿宋_GB2312"/>
          <w:color w:val="000000"/>
          <w:sz w:val="30"/>
          <w:szCs w:val="30"/>
        </w:rPr>
        <w:t>月</w:t>
      </w:r>
      <w:r>
        <w:rPr>
          <w:rFonts w:ascii="仿宋_GB2312" w:eastAsia="仿宋_GB2312"/>
          <w:color w:val="000000"/>
          <w:sz w:val="30"/>
          <w:szCs w:val="30"/>
        </w:rPr>
        <w:t>31</w:t>
      </w:r>
      <w:r>
        <w:rPr>
          <w:rFonts w:hint="eastAsia" w:ascii="仿宋_GB2312" w:eastAsia="仿宋_GB2312"/>
          <w:color w:val="000000"/>
          <w:sz w:val="30"/>
          <w:szCs w:val="30"/>
        </w:rPr>
        <w:t>日，广安市公安局交通警察支队共有车辆</w:t>
      </w:r>
      <w:r>
        <w:rPr>
          <w:rFonts w:hint="eastAsia" w:ascii="仿宋_GB2312" w:eastAsia="仿宋_GB2312"/>
          <w:color w:val="000000"/>
          <w:sz w:val="30"/>
          <w:szCs w:val="30"/>
          <w:lang w:val="en-US" w:eastAsia="zh-CN"/>
        </w:rPr>
        <w:t>57</w:t>
      </w:r>
      <w:r>
        <w:rPr>
          <w:rFonts w:hint="eastAsia" w:ascii="仿宋_GB2312" w:eastAsia="仿宋_GB2312"/>
          <w:color w:val="000000"/>
          <w:sz w:val="30"/>
          <w:szCs w:val="30"/>
        </w:rPr>
        <w:t>辆，其中：</w:t>
      </w:r>
      <w:r>
        <w:rPr>
          <w:rFonts w:hint="eastAsia" w:ascii="仿宋_GB2312" w:eastAsia="仿宋_GB2312"/>
          <w:color w:val="000000"/>
          <w:sz w:val="32"/>
          <w:szCs w:val="32"/>
        </w:rPr>
        <w:t>主要领导干部用车</w:t>
      </w:r>
      <w:r>
        <w:rPr>
          <w:rFonts w:hint="eastAsia" w:ascii="仿宋_GB2312" w:eastAsia="仿宋_GB2312"/>
          <w:color w:val="000000"/>
          <w:sz w:val="30"/>
          <w:szCs w:val="30"/>
        </w:rPr>
        <w:t>0辆、</w:t>
      </w:r>
      <w:r>
        <w:rPr>
          <w:rFonts w:hint="eastAsia" w:ascii="仿宋_GB2312" w:eastAsia="仿宋_GB2312"/>
          <w:color w:val="000000"/>
          <w:sz w:val="32"/>
          <w:szCs w:val="32"/>
        </w:rPr>
        <w:t>机要通信用车</w:t>
      </w:r>
      <w:r>
        <w:rPr>
          <w:rFonts w:hint="eastAsia" w:ascii="仿宋_GB2312" w:eastAsia="仿宋_GB2312"/>
          <w:color w:val="000000"/>
          <w:sz w:val="30"/>
          <w:szCs w:val="30"/>
        </w:rPr>
        <w:t>0辆、</w:t>
      </w:r>
      <w:r>
        <w:rPr>
          <w:rFonts w:hint="eastAsia" w:ascii="仿宋_GB2312" w:eastAsia="仿宋_GB2312"/>
          <w:color w:val="000000"/>
          <w:sz w:val="32"/>
          <w:szCs w:val="32"/>
        </w:rPr>
        <w:t>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w:t>
      </w:r>
      <w:r>
        <w:rPr>
          <w:rFonts w:hint="eastAsia" w:ascii="仿宋_GB2312" w:eastAsia="仿宋_GB2312"/>
          <w:color w:val="000000"/>
          <w:sz w:val="32"/>
          <w:szCs w:val="32"/>
          <w:lang w:eastAsia="zh-CN"/>
        </w:rPr>
        <w:t>（</w:t>
      </w:r>
      <w:r>
        <w:rPr>
          <w:rFonts w:hint="eastAsia" w:ascii="仿宋_GB2312" w:eastAsia="仿宋_GB2312"/>
          <w:color w:val="000000"/>
          <w:sz w:val="30"/>
          <w:szCs w:val="30"/>
        </w:rPr>
        <w:t>一般执法执勤用车</w:t>
      </w:r>
      <w:r>
        <w:rPr>
          <w:rFonts w:hint="eastAsia" w:ascii="仿宋_GB2312" w:eastAsia="仿宋_GB2312"/>
          <w:color w:val="000000"/>
          <w:sz w:val="32"/>
          <w:szCs w:val="32"/>
          <w:lang w:eastAsia="zh-CN"/>
        </w:rPr>
        <w:t>）</w:t>
      </w:r>
      <w:r>
        <w:rPr>
          <w:rFonts w:hint="eastAsia" w:ascii="仿宋_GB2312" w:eastAsia="仿宋_GB2312"/>
          <w:color w:val="000000"/>
          <w:sz w:val="30"/>
          <w:szCs w:val="30"/>
          <w:lang w:val="en-US" w:eastAsia="zh-CN"/>
        </w:rPr>
        <w:t>56</w:t>
      </w:r>
      <w:r>
        <w:rPr>
          <w:rFonts w:hint="eastAsia" w:ascii="仿宋_GB2312" w:eastAsia="仿宋_GB2312"/>
          <w:color w:val="000000"/>
          <w:sz w:val="30"/>
          <w:szCs w:val="30"/>
        </w:rPr>
        <w:t>辆、特种专业技术用车1辆</w:t>
      </w:r>
      <w:r>
        <w:rPr>
          <w:rFonts w:hint="eastAsia" w:ascii="仿宋_GB2312" w:eastAsia="仿宋_GB2312"/>
          <w:color w:val="000000"/>
          <w:sz w:val="30"/>
          <w:szCs w:val="30"/>
          <w:lang w:eastAsia="zh-CN"/>
        </w:rPr>
        <w:t>。</w:t>
      </w:r>
    </w:p>
    <w:p w14:paraId="2447E9FE">
      <w:pPr>
        <w:autoSpaceDE w:val="0"/>
        <w:autoSpaceDN w:val="0"/>
        <w:adjustRightInd w:val="0"/>
        <w:spacing w:line="600" w:lineRule="exact"/>
        <w:ind w:firstLine="600" w:firstLineChars="200"/>
        <w:jc w:val="left"/>
        <w:rPr>
          <w:rFonts w:ascii="仿宋_GB2312" w:eastAsia="仿宋_GB2312"/>
          <w:color w:val="000000"/>
          <w:sz w:val="30"/>
          <w:szCs w:val="30"/>
        </w:rPr>
      </w:pPr>
      <w:r>
        <w:rPr>
          <w:rFonts w:hint="eastAsia" w:ascii="仿宋_GB2312" w:eastAsia="仿宋_GB2312"/>
          <w:color w:val="000000" w:themeColor="text1"/>
          <w:sz w:val="30"/>
          <w:szCs w:val="30"/>
        </w:rPr>
        <w:t>单价</w:t>
      </w:r>
      <w:r>
        <w:rPr>
          <w:rFonts w:ascii="仿宋_GB2312" w:eastAsia="仿宋_GB2312"/>
          <w:color w:val="000000" w:themeColor="text1"/>
          <w:sz w:val="30"/>
          <w:szCs w:val="30"/>
        </w:rPr>
        <w:t>100</w:t>
      </w:r>
      <w:r>
        <w:rPr>
          <w:rFonts w:hint="eastAsia" w:ascii="仿宋_GB2312" w:eastAsia="仿宋_GB2312"/>
          <w:color w:val="000000"/>
          <w:sz w:val="30"/>
          <w:szCs w:val="30"/>
        </w:rPr>
        <w:t>万元以上专用设备0台（套）。</w:t>
      </w:r>
    </w:p>
    <w:p w14:paraId="12088486">
      <w:pPr>
        <w:numPr>
          <w:ilvl w:val="0"/>
          <w:numId w:val="4"/>
        </w:numPr>
        <w:autoSpaceDE w:val="0"/>
        <w:autoSpaceDN w:val="0"/>
        <w:adjustRightInd w:val="0"/>
        <w:spacing w:line="600" w:lineRule="exact"/>
        <w:ind w:firstLine="643" w:firstLineChars="200"/>
        <w:jc w:val="left"/>
        <w:outlineLvl w:val="2"/>
        <w:rPr>
          <w:rFonts w:hint="eastAsia" w:ascii="仿宋_GB2312" w:hAnsi="仿宋_GB2312"/>
          <w:sz w:val="32"/>
          <w:szCs w:val="32"/>
        </w:rPr>
      </w:pPr>
      <w:r>
        <w:rPr>
          <w:rFonts w:hint="eastAsia" w:ascii="仿宋" w:hAnsi="仿宋" w:eastAsia="仿宋"/>
          <w:b/>
          <w:color w:val="000000"/>
          <w:sz w:val="32"/>
          <w:szCs w:val="32"/>
          <w:lang w:eastAsia="zh-CN"/>
        </w:rPr>
        <w:t>预算绩效管理情况。</w:t>
      </w:r>
    </w:p>
    <w:p w14:paraId="03952BE8">
      <w:pPr>
        <w:numPr>
          <w:ilvl w:val="0"/>
          <w:numId w:val="0"/>
        </w:numPr>
        <w:autoSpaceDE w:val="0"/>
        <w:autoSpaceDN w:val="0"/>
        <w:adjustRightInd w:val="0"/>
        <w:spacing w:line="600" w:lineRule="exact"/>
        <w:ind w:firstLine="600" w:firstLineChars="200"/>
        <w:jc w:val="left"/>
        <w:outlineLvl w:val="2"/>
        <w:rPr>
          <w:rFonts w:hint="eastAsia" w:ascii="仿宋" w:hAnsi="仿宋" w:eastAsia="仿宋" w:cs="仿宋"/>
          <w:sz w:val="30"/>
          <w:szCs w:val="30"/>
        </w:rPr>
      </w:pPr>
      <w:r>
        <w:rPr>
          <w:rFonts w:hint="eastAsia" w:ascii="仿宋" w:hAnsi="仿宋" w:eastAsia="仿宋" w:cs="仿宋"/>
          <w:sz w:val="30"/>
          <w:szCs w:val="30"/>
        </w:rPr>
        <w:t>根据预算绩效管理要求，本部门在</w:t>
      </w:r>
      <w:r>
        <w:rPr>
          <w:rFonts w:hint="eastAsia" w:ascii="仿宋" w:hAnsi="仿宋" w:eastAsia="仿宋" w:cs="仿宋"/>
          <w:sz w:val="30"/>
          <w:szCs w:val="30"/>
          <w:lang w:val="en-US" w:eastAsia="zh-CN"/>
        </w:rPr>
        <w:t>2022年度</w:t>
      </w:r>
      <w:r>
        <w:rPr>
          <w:rFonts w:hint="eastAsia" w:ascii="仿宋" w:hAnsi="仿宋" w:eastAsia="仿宋" w:cs="仿宋"/>
          <w:sz w:val="30"/>
          <w:szCs w:val="30"/>
        </w:rPr>
        <w:t>预算编制阶段，组织对辅警人员经费</w:t>
      </w:r>
      <w:r>
        <w:rPr>
          <w:rFonts w:hint="eastAsia" w:ascii="仿宋" w:hAnsi="仿宋" w:eastAsia="仿宋" w:cs="仿宋"/>
          <w:sz w:val="30"/>
          <w:szCs w:val="30"/>
          <w:lang w:eastAsia="zh-CN"/>
        </w:rPr>
        <w:t>等</w:t>
      </w:r>
      <w:r>
        <w:rPr>
          <w:rFonts w:hint="eastAsia" w:ascii="仿宋" w:hAnsi="仿宋" w:eastAsia="仿宋" w:cs="仿宋"/>
          <w:sz w:val="30"/>
          <w:szCs w:val="30"/>
          <w:lang w:val="en-US" w:eastAsia="zh-CN"/>
        </w:rPr>
        <w:t>22个</w:t>
      </w:r>
      <w:r>
        <w:rPr>
          <w:rFonts w:hint="eastAsia" w:ascii="仿宋" w:hAnsi="仿宋" w:eastAsia="仿宋" w:cs="仿宋"/>
          <w:sz w:val="30"/>
          <w:szCs w:val="30"/>
        </w:rPr>
        <w:t>项目开展了预算事前绩效评估，对</w:t>
      </w:r>
      <w:r>
        <w:rPr>
          <w:rFonts w:hint="eastAsia" w:ascii="仿宋" w:hAnsi="仿宋" w:eastAsia="仿宋" w:cs="仿宋"/>
          <w:sz w:val="30"/>
          <w:szCs w:val="30"/>
          <w:lang w:val="en-US" w:eastAsia="zh-CN"/>
        </w:rPr>
        <w:t>22</w:t>
      </w:r>
      <w:r>
        <w:rPr>
          <w:rFonts w:hint="eastAsia" w:ascii="仿宋" w:hAnsi="仿宋" w:eastAsia="仿宋" w:cs="仿宋"/>
          <w:sz w:val="30"/>
          <w:szCs w:val="30"/>
        </w:rPr>
        <w:t>个项目编制了绩效目标，预算执行过程中，</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22</w:t>
      </w:r>
      <w:r>
        <w:rPr>
          <w:rFonts w:hint="eastAsia" w:ascii="仿宋" w:hAnsi="仿宋" w:eastAsia="仿宋" w:cs="仿宋"/>
          <w:sz w:val="30"/>
          <w:szCs w:val="30"/>
        </w:rPr>
        <w:t>个项目开展绩效监控。</w:t>
      </w:r>
    </w:p>
    <w:p w14:paraId="0BE8DE0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组织对2022年度一般公共预算、政府性基金预算以及</w:t>
      </w:r>
      <w:r>
        <w:rPr>
          <w:rFonts w:hint="eastAsia" w:eastAsia="仿宋_GB2312" w:cs="Times New Roman"/>
          <w:sz w:val="32"/>
          <w:szCs w:val="32"/>
          <w:lang w:eastAsia="zh-CN"/>
        </w:rPr>
        <w:t>政府采购</w:t>
      </w:r>
      <w:r>
        <w:rPr>
          <w:rFonts w:hint="default" w:ascii="Times New Roman" w:hAnsi="Times New Roman" w:eastAsia="仿宋_GB2312" w:cs="Times New Roman"/>
          <w:color w:val="000000" w:themeColor="text1"/>
          <w:sz w:val="32"/>
          <w:szCs w:val="32"/>
          <w:shd w:val="clear" w:color="auto" w:fill="auto"/>
        </w:rPr>
        <w:t>等全面开展绩效自评，</w:t>
      </w:r>
      <w:r>
        <w:rPr>
          <w:rFonts w:hint="eastAsia" w:eastAsia="仿宋_GB2312" w:cs="Times New Roman"/>
          <w:color w:val="000000" w:themeColor="text1"/>
          <w:sz w:val="32"/>
          <w:szCs w:val="32"/>
          <w:shd w:val="clear" w:color="auto" w:fill="auto"/>
          <w:lang w:eastAsia="zh-CN"/>
        </w:rPr>
        <w:t>形成广安市公安局交通警察支队部门整体绩效自评报告</w:t>
      </w:r>
      <w:r>
        <w:rPr>
          <w:rFonts w:hint="default" w:ascii="Times New Roman" w:hAnsi="Times New Roman" w:eastAsia="仿宋_GB2312" w:cs="Times New Roman"/>
          <w:color w:val="000000" w:themeColor="text1"/>
          <w:sz w:val="32"/>
          <w:szCs w:val="32"/>
          <w:shd w:val="clear" w:color="auto" w:fill="auto"/>
        </w:rPr>
        <w:t>，其中，</w:t>
      </w:r>
      <w:r>
        <w:rPr>
          <w:rFonts w:hint="eastAsia" w:eastAsia="仿宋_GB2312" w:cs="Times New Roman"/>
          <w:color w:val="000000" w:themeColor="text1"/>
          <w:sz w:val="32"/>
          <w:szCs w:val="32"/>
          <w:shd w:val="clear" w:color="auto" w:fill="auto"/>
          <w:lang w:eastAsia="zh-CN"/>
        </w:rPr>
        <w:t>广安市公安局交通警察支队部门整体绩效自评得分</w:t>
      </w:r>
      <w:r>
        <w:rPr>
          <w:rFonts w:hint="default" w:ascii="Times New Roman" w:hAnsi="Times New Roman" w:eastAsia="仿宋_GB2312" w:cs="Times New Roman"/>
          <w:color w:val="000000" w:themeColor="text1"/>
          <w:sz w:val="32"/>
          <w:szCs w:val="32"/>
          <w:shd w:val="clear" w:color="auto" w:fill="auto"/>
        </w:rPr>
        <w:t>为</w:t>
      </w:r>
      <w:r>
        <w:rPr>
          <w:rFonts w:hint="eastAsia" w:eastAsia="仿宋_GB2312" w:cs="Times New Roman"/>
          <w:color w:val="000000" w:themeColor="text1"/>
          <w:sz w:val="32"/>
          <w:szCs w:val="32"/>
          <w:shd w:val="clear" w:color="auto" w:fill="auto"/>
          <w:lang w:val="en-US" w:eastAsia="zh-CN"/>
        </w:rPr>
        <w:t>93</w:t>
      </w:r>
      <w:r>
        <w:rPr>
          <w:rFonts w:hint="default" w:ascii="Times New Roman" w:hAnsi="Times New Roman" w:eastAsia="仿宋_GB2312" w:cs="Times New Roman"/>
          <w:color w:val="000000" w:themeColor="text1"/>
          <w:sz w:val="32"/>
          <w:szCs w:val="32"/>
          <w:shd w:val="clear" w:color="auto" w:fill="auto"/>
        </w:rPr>
        <w:t>分，</w:t>
      </w:r>
      <w:r>
        <w:rPr>
          <w:rFonts w:hint="eastAsia" w:ascii="仿宋" w:hAnsi="仿宋" w:eastAsia="仿宋" w:cs="仿宋"/>
          <w:color w:val="000000" w:themeColor="text1"/>
          <w:sz w:val="32"/>
          <w:szCs w:val="32"/>
          <w:shd w:val="clear" w:color="auto" w:fill="auto"/>
        </w:rPr>
        <w:t>绩效自评综述：</w:t>
      </w:r>
      <w:r>
        <w:rPr>
          <w:rFonts w:hint="eastAsia" w:ascii="仿宋" w:hAnsi="仿宋" w:eastAsia="仿宋" w:cs="仿宋"/>
          <w:kern w:val="0"/>
          <w:sz w:val="32"/>
          <w:szCs w:val="32"/>
        </w:rPr>
        <w:t>支队各部门能够有效履行职责，整体推动工作向前发展，指导各基层大队，较好解决现代交通人车路的基本矛盾</w:t>
      </w:r>
      <w:r>
        <w:rPr>
          <w:rFonts w:hint="eastAsia" w:ascii="仿宋" w:hAnsi="仿宋" w:eastAsia="仿宋" w:cs="仿宋"/>
          <w:kern w:val="0"/>
          <w:sz w:val="32"/>
          <w:szCs w:val="32"/>
          <w:lang w:eastAsia="zh-CN"/>
        </w:rPr>
        <w:t>，有效保证辖区道路不出重大事故，解决城区道路重大拥堵，积极推进“科技强警”，实现一流业绩、一流队伍的目标</w:t>
      </w:r>
      <w:r>
        <w:rPr>
          <w:rFonts w:hint="eastAsia" w:ascii="仿宋" w:hAnsi="仿宋" w:eastAsia="仿宋" w:cs="仿宋"/>
          <w:kern w:val="0"/>
          <w:sz w:val="32"/>
          <w:szCs w:val="32"/>
        </w:rPr>
        <w:t>。重点项目能够按时间推进，按项目进度推进，基本上能够做到在年初预算的基础上所有的重点项目能够按照预算实施</w:t>
      </w:r>
      <w:r>
        <w:rPr>
          <w:rFonts w:hint="eastAsia" w:ascii="仿宋" w:hAnsi="仿宋" w:eastAsia="仿宋" w:cs="仿宋"/>
          <w:kern w:val="0"/>
          <w:sz w:val="32"/>
          <w:szCs w:val="32"/>
          <w:lang w:eastAsia="zh-CN"/>
        </w:rPr>
        <w:t>，较好地完成市委市政府和上级主管部门交办的各项工作任务；广安市公安局交通警察支队“物业管理服务”政府采购项目绩效自评</w:t>
      </w:r>
      <w:r>
        <w:rPr>
          <w:rFonts w:hint="default" w:ascii="Times New Roman" w:hAnsi="Times New Roman" w:eastAsia="仿宋_GB2312" w:cs="Times New Roman"/>
          <w:color w:val="000000" w:themeColor="text1"/>
          <w:sz w:val="32"/>
          <w:szCs w:val="32"/>
          <w:shd w:val="clear" w:color="auto" w:fill="auto"/>
        </w:rPr>
        <w:t>得</w:t>
      </w:r>
      <w:r>
        <w:rPr>
          <w:rFonts w:hint="default" w:ascii="Times New Roman" w:hAnsi="Times New Roman" w:eastAsia="仿宋_GB2312" w:cs="Times New Roman"/>
          <w:sz w:val="32"/>
          <w:szCs w:val="32"/>
        </w:rPr>
        <w:t>分为</w:t>
      </w:r>
      <w:r>
        <w:rPr>
          <w:rFonts w:hint="eastAsia" w:eastAsia="仿宋_GB2312" w:cs="Times New Roman"/>
          <w:sz w:val="32"/>
          <w:szCs w:val="32"/>
          <w:lang w:val="en-US" w:eastAsia="zh-CN"/>
        </w:rPr>
        <w:t>89.1</w:t>
      </w:r>
      <w:r>
        <w:rPr>
          <w:rFonts w:hint="default" w:ascii="Times New Roman" w:hAnsi="Times New Roman" w:eastAsia="仿宋_GB2312" w:cs="Times New Roman"/>
          <w:sz w:val="32"/>
          <w:szCs w:val="32"/>
        </w:rPr>
        <w:t>分，绩效自评综述：</w:t>
      </w:r>
      <w:r>
        <w:rPr>
          <w:rFonts w:hint="eastAsia" w:ascii="仿宋" w:hAnsi="仿宋" w:eastAsia="仿宋" w:cs="仿宋"/>
          <w:color w:val="auto"/>
          <w:kern w:val="0"/>
          <w:sz w:val="32"/>
          <w:szCs w:val="32"/>
          <w:highlight w:val="none"/>
          <w:u w:val="none"/>
          <w:shd w:val="clear" w:color="auto" w:fill="FFFFFF"/>
          <w:lang w:val="en-US" w:eastAsia="zh-CN"/>
        </w:rPr>
        <w:t>对照本项目的所有数量、质量、时间、成本、效益、满意度指标。本年度的数量指标中，按时完成了所属单位和区域的服务；质量指标中，资金用途用于物业管理服务费用，做到专款专用，验收按照招标文件和合同约定进行了履约验收；时间指标中，在2022年12月31日前完成了采购；成本指标中，节约资金18.72万元；效益指标中，达到了提高服务水平，保证</w:t>
      </w:r>
      <w:r>
        <w:rPr>
          <w:rFonts w:hint="eastAsia" w:ascii="仿宋" w:hAnsi="仿宋" w:eastAsia="仿宋" w:cs="仿宋"/>
          <w:b w:val="0"/>
          <w:color w:val="000000" w:themeColor="text1"/>
          <w:kern w:val="2"/>
          <w:sz w:val="32"/>
          <w:szCs w:val="32"/>
          <w:lang w:val="zh-CN" w:eastAsia="zh-CN" w:bidi="ar-SA"/>
        </w:rPr>
        <w:t>支队机关、车管所及直属一、二、三大队</w:t>
      </w:r>
      <w:r>
        <w:rPr>
          <w:rFonts w:hint="eastAsia" w:ascii="仿宋" w:hAnsi="仿宋" w:eastAsia="仿宋" w:cs="仿宋"/>
          <w:b w:val="0"/>
          <w:color w:val="000000" w:themeColor="text1"/>
          <w:kern w:val="2"/>
          <w:sz w:val="32"/>
          <w:szCs w:val="32"/>
          <w:lang w:val="en-US" w:eastAsia="zh-CN" w:bidi="ar-SA"/>
        </w:rPr>
        <w:t>办公区域清洁卫生，设施设备运行正常，秩序良好，</w:t>
      </w:r>
      <w:r>
        <w:rPr>
          <w:rFonts w:hint="eastAsia" w:ascii="仿宋" w:hAnsi="仿宋" w:eastAsia="仿宋" w:cs="仿宋"/>
          <w:color w:val="auto"/>
          <w:kern w:val="0"/>
          <w:sz w:val="32"/>
          <w:szCs w:val="32"/>
          <w:highlight w:val="none"/>
          <w:u w:val="none"/>
          <w:shd w:val="clear" w:color="auto" w:fill="FFFFFF"/>
          <w:lang w:val="en-US" w:eastAsia="zh-CN"/>
        </w:rPr>
        <w:t>满意度指标80%以上。政府性基金预算项目主城区电子警察监控系统建设项目绩效自评得分为95分，绩效自评综述：</w:t>
      </w:r>
      <w:r>
        <w:rPr>
          <w:rFonts w:hint="eastAsia" w:ascii="仿宋" w:hAnsi="仿宋" w:eastAsia="仿宋" w:cs="仿宋"/>
          <w:color w:val="auto"/>
          <w:kern w:val="0"/>
          <w:sz w:val="32"/>
          <w:szCs w:val="32"/>
          <w:highlight w:val="none"/>
          <w:u w:val="none"/>
          <w:shd w:val="clear" w:color="auto" w:fill="FFFFFF"/>
          <w:lang w:val="zh-CN"/>
        </w:rPr>
        <w:t>本项目作为市政府投资项目，严格按照规定完成该项目，达到了项目预算时确定的绩效目标：</w:t>
      </w:r>
      <w:r>
        <w:rPr>
          <w:rFonts w:hint="eastAsia" w:ascii="仿宋" w:hAnsi="仿宋" w:eastAsia="仿宋" w:cs="仿宋"/>
          <w:color w:val="auto"/>
          <w:kern w:val="0"/>
          <w:sz w:val="32"/>
          <w:szCs w:val="32"/>
          <w:highlight w:val="none"/>
          <w:u w:val="none"/>
          <w:shd w:val="clear" w:color="auto" w:fill="FFFFFF"/>
          <w:lang w:val="en-US" w:eastAsia="zh-CN"/>
        </w:rPr>
        <w:t>通过交通控制与管理信息化，“向科技要警力”，提高现有道路通行能力，解决交通安全与快捷通行之间的矛盾，进而保障人民财产与生命安全。完成了项目的数量指标：主城区新增红绿灯及闯红灯抓拍系统三级指标中，共采购交通信号设备类16种，违反信号抓拍设备类33种；主城区新增闯红灯抓拍系统三级指标中，共采购违反信号灯抓拍设备类21种，市政施工类5种；主城区交通信号灯待行屏控制系统共采购货物11种；主城区电子警察监控系统、红绿灯备用件共采购货物23种。质量指标：所有采购货物验收合格，整个项目工程完毕后验收合格。所有产品按照要求提供检测报告的，已提供检测报告；按照要求属于《节能产品政府采购品目清单》范围内的，已提供强制节能产品在有效期内的节能产品认证证书；按照要求属于《信息安全产品强制认证目录》中的产品，已按要求提供中国信息安全认证中心按国家标准认证颁发的有效认证证书。时效指标：该工程在2021年3月30日安装完毕，市交警支队2021年7月26日组织验收，严格按照合同施工进度完工。成本指标：财政评审预算控制价为319.5863万元，最终合同价315.26933万元，达到成本控制目标。项目资金结余在市财政局，市交警支队无项目资金结余。无违纪违规记录。</w:t>
      </w:r>
      <w:r>
        <w:rPr>
          <w:rFonts w:hint="eastAsia" w:ascii="仿宋" w:hAnsi="仿宋" w:eastAsia="仿宋" w:cs="仿宋"/>
          <w:color w:val="auto"/>
          <w:kern w:val="0"/>
          <w:sz w:val="32"/>
          <w:szCs w:val="32"/>
          <w:highlight w:val="none"/>
          <w:u w:val="none"/>
          <w:shd w:val="clear" w:color="auto" w:fill="FFFFFF"/>
          <w:lang w:val="zh-CN"/>
        </w:rPr>
        <w:t>本项目通过实施，产生了巨大社会效益：</w:t>
      </w:r>
      <w:r>
        <w:rPr>
          <w:rFonts w:hint="eastAsia" w:ascii="仿宋" w:hAnsi="仿宋" w:eastAsia="仿宋" w:cs="仿宋"/>
          <w:color w:val="auto"/>
          <w:kern w:val="0"/>
          <w:sz w:val="32"/>
          <w:szCs w:val="32"/>
          <w:highlight w:val="none"/>
          <w:u w:val="none"/>
          <w:shd w:val="clear" w:color="auto" w:fill="FFFFFF"/>
          <w:lang w:val="en-US" w:eastAsia="zh-CN"/>
        </w:rPr>
        <w:t>1.“向科技要警力”，通过系统自动控制，节省了警力，提高了科技含量；2.提高了路面通行速度，经过测算，项目实施后的通行能力比项目实施前提高了近30%。由于该项目的实施，提高现有道路通行能力，解决交通安全与快捷通行之间的矛盾，进而保障人民财产与生命安全，交通参与者满意度大幅上升，经调查满意度测评，满意度达到95.41%</w:t>
      </w:r>
      <w:r>
        <w:rPr>
          <w:rFonts w:hint="default" w:ascii="Times New Roman" w:hAnsi="Times New Roman" w:eastAsia="仿宋_GB2312" w:cs="Times New Roman"/>
          <w:sz w:val="32"/>
          <w:szCs w:val="32"/>
        </w:rPr>
        <w:t>。绩效自评报告详见附件。</w:t>
      </w:r>
    </w:p>
    <w:p w14:paraId="63149F6C">
      <w:pPr>
        <w:numPr>
          <w:ilvl w:val="0"/>
          <w:numId w:val="0"/>
        </w:numPr>
        <w:autoSpaceDE w:val="0"/>
        <w:autoSpaceDN w:val="0"/>
        <w:adjustRightInd w:val="0"/>
        <w:spacing w:line="600" w:lineRule="exact"/>
        <w:jc w:val="left"/>
        <w:outlineLvl w:val="2"/>
        <w:rPr>
          <w:rFonts w:hint="default" w:ascii="仿宋" w:hAnsi="仿宋" w:eastAsia="仿宋"/>
          <w:b/>
          <w:color w:val="000000"/>
          <w:sz w:val="32"/>
          <w:szCs w:val="32"/>
          <w:lang w:val="en-US" w:eastAsia="zh-CN"/>
        </w:rPr>
      </w:pPr>
    </w:p>
    <w:p w14:paraId="4A38FC94">
      <w:pPr>
        <w:numPr>
          <w:ilvl w:val="0"/>
          <w:numId w:val="5"/>
        </w:numPr>
        <w:spacing w:line="600" w:lineRule="exact"/>
        <w:ind w:firstLine="663" w:firstLineChars="150"/>
        <w:jc w:val="center"/>
        <w:outlineLvl w:val="0"/>
        <w:rPr>
          <w:rStyle w:val="27"/>
          <w:rFonts w:ascii="黑体" w:hAnsi="黑体" w:eastAsia="黑体"/>
          <w:b w:val="0"/>
        </w:rPr>
      </w:pPr>
      <w:bookmarkStart w:id="54" w:name="_Toc15377225"/>
      <w:bookmarkStart w:id="55" w:name="_Toc15396613"/>
      <w:r>
        <w:rPr>
          <w:rFonts w:hint="eastAsia" w:ascii="黑体" w:hAnsi="黑体" w:eastAsia="黑体"/>
          <w:b/>
          <w:color w:val="000000"/>
          <w:sz w:val="44"/>
          <w:szCs w:val="44"/>
        </w:rPr>
        <w:t>名</w:t>
      </w:r>
      <w:r>
        <w:rPr>
          <w:rStyle w:val="27"/>
          <w:rFonts w:hint="eastAsia" w:ascii="黑体" w:hAnsi="黑体" w:eastAsia="黑体"/>
          <w:b w:val="0"/>
        </w:rPr>
        <w:t>词解释</w:t>
      </w:r>
      <w:bookmarkEnd w:id="54"/>
      <w:bookmarkEnd w:id="55"/>
    </w:p>
    <w:p w14:paraId="573B2C7C">
      <w:pPr>
        <w:spacing w:line="600" w:lineRule="exact"/>
        <w:jc w:val="left"/>
        <w:rPr>
          <w:rFonts w:ascii="宋体"/>
          <w:b/>
          <w:color w:val="000000"/>
          <w:sz w:val="44"/>
          <w:szCs w:val="44"/>
        </w:rPr>
      </w:pPr>
    </w:p>
    <w:p w14:paraId="4B3FE626">
      <w:pPr>
        <w:pStyle w:val="25"/>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财政拨款收入：指单位从同级财政部门取得的财政预算资金。</w:t>
      </w:r>
    </w:p>
    <w:p w14:paraId="04A3A5A2">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lang w:val="en-US" w:eastAsia="zh-CN"/>
        </w:rPr>
        <w:t>2</w:t>
      </w:r>
      <w:r>
        <w:rPr>
          <w:rFonts w:ascii="仿宋_GB2312" w:eastAsia="仿宋_GB2312"/>
          <w:sz w:val="30"/>
          <w:szCs w:val="30"/>
        </w:rPr>
        <w:t>.</w:t>
      </w:r>
      <w:r>
        <w:rPr>
          <w:rFonts w:hint="eastAsia" w:ascii="仿宋_GB2312" w:eastAsia="仿宋_GB2312"/>
          <w:sz w:val="30"/>
          <w:szCs w:val="30"/>
        </w:rPr>
        <w:t>其他收入：指单位取得的除上述收入以外的各项收入。主要是</w:t>
      </w:r>
      <w:r>
        <w:rPr>
          <w:rFonts w:hint="eastAsia" w:ascii="仿宋_GB2312" w:eastAsia="仿宋_GB2312"/>
          <w:sz w:val="30"/>
          <w:szCs w:val="30"/>
          <w:lang w:eastAsia="zh-CN"/>
        </w:rPr>
        <w:t>代收代管园区、广安、前锋等区辅警人员经费及部分项目经费</w:t>
      </w:r>
      <w:r>
        <w:rPr>
          <w:rFonts w:hint="eastAsia" w:ascii="仿宋_GB2312" w:eastAsia="仿宋_GB2312"/>
          <w:sz w:val="30"/>
          <w:szCs w:val="30"/>
        </w:rPr>
        <w:t>。</w:t>
      </w:r>
      <w:r>
        <w:rPr>
          <w:rFonts w:ascii="仿宋_GB2312" w:eastAsia="仿宋_GB2312"/>
          <w:sz w:val="30"/>
          <w:szCs w:val="30"/>
        </w:rPr>
        <w:t xml:space="preserve">  </w:t>
      </w:r>
    </w:p>
    <w:p w14:paraId="6441DCA3">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lang w:val="en-US" w:eastAsia="zh-CN"/>
        </w:rPr>
        <w:t>3</w:t>
      </w:r>
      <w:r>
        <w:rPr>
          <w:rFonts w:ascii="仿宋_GB2312" w:eastAsia="仿宋_GB2312"/>
          <w:sz w:val="30"/>
          <w:szCs w:val="30"/>
        </w:rPr>
        <w:t>.</w:t>
      </w:r>
      <w:r>
        <w:rPr>
          <w:rFonts w:hint="eastAsia" w:ascii="仿宋_GB2312" w:eastAsia="仿宋_GB2312"/>
          <w:sz w:val="30"/>
          <w:szCs w:val="30"/>
        </w:rPr>
        <w:t>年初结转和结余：指以前年度尚未完成、结转到本年按有关规定继续使用的资金。</w:t>
      </w:r>
      <w:r>
        <w:rPr>
          <w:rFonts w:ascii="仿宋_GB2312" w:eastAsia="仿宋_GB2312"/>
          <w:sz w:val="30"/>
          <w:szCs w:val="30"/>
        </w:rPr>
        <w:t xml:space="preserve"> </w:t>
      </w:r>
    </w:p>
    <w:p w14:paraId="0425F8C3">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、年末结转和结余：指单位按有关规定结转到下年或以后年度继续使用的资金。</w:t>
      </w:r>
    </w:p>
    <w:p w14:paraId="1EB207E6">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.公共安全支出（类）公安（款）行政运行（项）：指反映行政单位的基本支出。</w:t>
      </w:r>
    </w:p>
    <w:p w14:paraId="7E1C4DED">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6</w:t>
      </w:r>
      <w:r>
        <w:rPr>
          <w:rFonts w:hint="eastAsia" w:ascii="仿宋_GB2312" w:eastAsia="仿宋_GB2312"/>
          <w:color w:val="000000"/>
          <w:sz w:val="30"/>
          <w:szCs w:val="30"/>
        </w:rPr>
        <w:t>.公共安全支出（类）公安（款）一般行政管理事务（项）：指反映行政单位未单独设置项级科目的其他项目支出。</w:t>
      </w:r>
    </w:p>
    <w:p w14:paraId="7521746E">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7</w:t>
      </w:r>
      <w:r>
        <w:rPr>
          <w:rFonts w:hint="eastAsia" w:ascii="仿宋_GB2312" w:eastAsia="仿宋_GB2312"/>
          <w:color w:val="000000"/>
          <w:sz w:val="30"/>
          <w:szCs w:val="30"/>
        </w:rPr>
        <w:t>.公共安全支出（类）公安（款）道路交通管理（项）：指反映各级公安机关开展各类道路交通管理工作的支出。</w:t>
      </w:r>
    </w:p>
    <w:p w14:paraId="20EFE799">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8</w:t>
      </w:r>
      <w:r>
        <w:rPr>
          <w:rFonts w:hint="eastAsia" w:ascii="仿宋_GB2312" w:eastAsia="仿宋_GB2312"/>
          <w:color w:val="000000"/>
          <w:sz w:val="30"/>
          <w:szCs w:val="30"/>
        </w:rPr>
        <w:t>.公共安全支出（类）公安（款）网络运行及维护（项）：指反映各级公安机关各类专网、局域网的租费、运行费、维护费、软件开发费等方面的支出。</w:t>
      </w:r>
    </w:p>
    <w:p w14:paraId="3DC9286E">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.社会保障和就业（类）行政事业单位离退休（款）机关事业单位基本养老保险缴费支出（项）：指反映机关事业单位实施养老保险制度由单位缴纳的基本养老保险费支出。</w:t>
      </w:r>
    </w:p>
    <w:p w14:paraId="53EE0E4A">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10</w:t>
      </w:r>
      <w:r>
        <w:rPr>
          <w:rFonts w:hint="eastAsia" w:ascii="仿宋_GB2312" w:eastAsia="仿宋_GB2312"/>
          <w:color w:val="000000"/>
          <w:sz w:val="30"/>
          <w:szCs w:val="30"/>
        </w:rPr>
        <w:t>.医疗卫生与计划生育支出（类）行政事业单位医疗（款）行政单位医疗（项）：指反映财政部门集中安排的行政单位基本医疗保险缴费经费，未参加医疗保险的行政单位的公费医疗经费，按国家规定享受离休人员、红军老战士待遇人员的医疗经费。</w:t>
      </w:r>
    </w:p>
    <w:p w14:paraId="689BB8E0">
      <w:pPr>
        <w:ind w:firstLine="600" w:firstLineChars="200"/>
        <w:rPr>
          <w:rFonts w:ascii="仿宋_GB2312" w:eastAsia="仿宋_GB2312"/>
          <w:color w:val="000000"/>
          <w:sz w:val="30"/>
          <w:szCs w:val="30"/>
        </w:rPr>
      </w:pPr>
      <w:r>
        <w:rPr>
          <w:rFonts w:hint="eastAsia" w:ascii="仿宋_GB2312" w:eastAsia="仿宋_GB2312"/>
          <w:color w:val="000000"/>
          <w:sz w:val="30"/>
          <w:szCs w:val="30"/>
          <w:lang w:val="en-US" w:eastAsia="zh-CN"/>
        </w:rPr>
        <w:t>11</w:t>
      </w:r>
      <w:r>
        <w:rPr>
          <w:rFonts w:ascii="仿宋_GB2312" w:eastAsia="仿宋_GB2312"/>
          <w:color w:val="000000"/>
          <w:sz w:val="30"/>
          <w:szCs w:val="30"/>
        </w:rPr>
        <w:t>.</w:t>
      </w:r>
      <w:r>
        <w:rPr>
          <w:rFonts w:hint="eastAsia" w:ascii="仿宋_GB2312" w:eastAsia="仿宋_GB2312"/>
          <w:color w:val="000000"/>
          <w:sz w:val="30"/>
          <w:szCs w:val="30"/>
        </w:rPr>
        <w:t>基本支出：指为保障机构正常运转、完成日常工作任务而发生的人员支出和公用支出。</w:t>
      </w:r>
    </w:p>
    <w:p w14:paraId="7D60A41B">
      <w:pPr>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eastAsia="仿宋_GB2312"/>
          <w:color w:val="000000"/>
          <w:sz w:val="30"/>
          <w:szCs w:val="30"/>
          <w:lang w:val="en-US" w:eastAsia="zh-CN"/>
        </w:rPr>
        <w:t>2</w:t>
      </w:r>
      <w:r>
        <w:rPr>
          <w:rFonts w:ascii="仿宋_GB2312" w:eastAsia="仿宋_GB2312"/>
          <w:color w:val="000000"/>
          <w:sz w:val="30"/>
          <w:szCs w:val="30"/>
        </w:rPr>
        <w:t>.</w:t>
      </w:r>
      <w:r>
        <w:rPr>
          <w:rFonts w:hint="eastAsia" w:ascii="仿宋_GB2312" w:eastAsia="仿宋_GB2312"/>
          <w:color w:val="000000"/>
          <w:sz w:val="30"/>
          <w:szCs w:val="30"/>
        </w:rPr>
        <w:t>项目支出：指在基本支出之外为完成特定行政任务和事业发展目标所发生的支出。</w:t>
      </w:r>
      <w:r>
        <w:rPr>
          <w:rFonts w:ascii="仿宋_GB2312" w:eastAsia="仿宋_GB2312"/>
          <w:color w:val="000000"/>
          <w:sz w:val="30"/>
          <w:szCs w:val="30"/>
        </w:rPr>
        <w:t xml:space="preserve"> </w:t>
      </w:r>
    </w:p>
    <w:p w14:paraId="7D0D49BC">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lang w:val="en-US" w:eastAsia="zh-CN"/>
        </w:rPr>
        <w:t>13</w:t>
      </w:r>
      <w:r>
        <w:rPr>
          <w:rFonts w:ascii="仿宋_GB2312" w:eastAsia="仿宋_GB2312"/>
          <w:sz w:val="30"/>
          <w:szCs w:val="30"/>
        </w:rPr>
        <w:t>.</w:t>
      </w:r>
      <w:r>
        <w:rPr>
          <w:rFonts w:hint="eastAsia" w:ascii="仿宋_GB2312" w:eastAsia="仿宋_GB2312"/>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E17FE41">
      <w:pPr>
        <w:pStyle w:val="25"/>
        <w:spacing w:line="560" w:lineRule="exact"/>
        <w:ind w:firstLine="600" w:firstLineChars="200"/>
        <w:rPr>
          <w:rFonts w:ascii="仿宋_GB2312" w:eastAsia="仿宋_GB2312"/>
          <w:sz w:val="30"/>
          <w:szCs w:val="30"/>
        </w:rPr>
      </w:pPr>
      <w:r>
        <w:rPr>
          <w:rFonts w:hint="eastAsia" w:ascii="仿宋_GB2312" w:eastAsia="仿宋_GB2312"/>
          <w:sz w:val="30"/>
          <w:szCs w:val="30"/>
          <w:lang w:val="en-US" w:eastAsia="zh-CN"/>
        </w:rPr>
        <w:t>14</w:t>
      </w:r>
      <w:r>
        <w:rPr>
          <w:rFonts w:ascii="仿宋_GB2312" w:eastAsia="仿宋_GB2312"/>
          <w:sz w:val="30"/>
          <w:szCs w:val="30"/>
        </w:rPr>
        <w:t>.</w:t>
      </w:r>
      <w:r>
        <w:rPr>
          <w:rFonts w:hint="eastAsia" w:ascii="仿宋_GB2312" w:eastAsia="仿宋_GB2312"/>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6B6123">
      <w:pPr>
        <w:ind w:firstLine="602" w:firstLineChars="200"/>
        <w:rPr>
          <w:rFonts w:ascii="仿宋" w:hAnsi="仿宋" w:eastAsia="仿宋"/>
          <w:b/>
          <w:color w:val="000000"/>
          <w:sz w:val="30"/>
          <w:szCs w:val="30"/>
        </w:rPr>
      </w:pPr>
    </w:p>
    <w:p w14:paraId="583F9A5E">
      <w:pPr>
        <w:spacing w:line="600" w:lineRule="exact"/>
        <w:jc w:val="center"/>
        <w:outlineLvl w:val="0"/>
        <w:rPr>
          <w:rStyle w:val="27"/>
          <w:rFonts w:ascii="黑体" w:hAnsi="黑体" w:eastAsia="黑体"/>
          <w:b w:val="0"/>
        </w:rPr>
      </w:pPr>
      <w:bookmarkStart w:id="56" w:name="_Toc15396614"/>
      <w:bookmarkStart w:id="57" w:name="_Toc15377226"/>
      <w:r>
        <w:rPr>
          <w:rFonts w:hint="eastAsia" w:ascii="黑体" w:hAnsi="黑体" w:eastAsia="黑体"/>
          <w:color w:val="000000"/>
          <w:sz w:val="44"/>
          <w:szCs w:val="44"/>
        </w:rPr>
        <w:t>第</w:t>
      </w:r>
      <w:r>
        <w:rPr>
          <w:rStyle w:val="27"/>
          <w:rFonts w:hint="eastAsia" w:ascii="黑体" w:hAnsi="黑体" w:eastAsia="黑体"/>
          <w:b w:val="0"/>
        </w:rPr>
        <w:t>四部分 附件</w:t>
      </w:r>
      <w:bookmarkEnd w:id="56"/>
    </w:p>
    <w:p w14:paraId="34850660">
      <w:pPr>
        <w:spacing w:line="600" w:lineRule="exact"/>
        <w:jc w:val="both"/>
        <w:outlineLvl w:val="0"/>
        <w:rPr>
          <w:rStyle w:val="27"/>
          <w:rFonts w:hint="eastAsia" w:ascii="仿宋" w:hAnsi="仿宋" w:eastAsia="仿宋" w:cs="仿宋"/>
          <w:sz w:val="30"/>
          <w:szCs w:val="30"/>
          <w:lang w:val="en-US" w:eastAsia="zh-CN"/>
        </w:rPr>
      </w:pPr>
      <w:r>
        <w:rPr>
          <w:rStyle w:val="27"/>
          <w:rFonts w:hint="eastAsia" w:ascii="仿宋" w:hAnsi="仿宋" w:eastAsia="仿宋" w:cs="仿宋"/>
          <w:sz w:val="30"/>
          <w:szCs w:val="30"/>
          <w:lang w:eastAsia="zh-CN"/>
        </w:rPr>
        <w:t>附件</w:t>
      </w:r>
      <w:r>
        <w:rPr>
          <w:rStyle w:val="27"/>
          <w:rFonts w:hint="eastAsia" w:ascii="仿宋" w:hAnsi="仿宋" w:eastAsia="仿宋" w:cs="仿宋"/>
          <w:sz w:val="30"/>
          <w:szCs w:val="30"/>
          <w:lang w:val="en-US" w:eastAsia="zh-CN"/>
        </w:rPr>
        <w:t>1：</w:t>
      </w:r>
    </w:p>
    <w:p w14:paraId="5EA822B9">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Times New Roman" w:hAnsi="Times New Roman" w:eastAsia="宋体" w:cs="Times New Roman"/>
          <w:b/>
          <w:sz w:val="44"/>
          <w:szCs w:val="44"/>
          <w:highlight w:val="none"/>
          <w:shd w:val="clear" w:color="auto" w:fill="FFFFFF"/>
          <w:lang w:eastAsia="zh-CN"/>
        </w:rPr>
      </w:pPr>
      <w:bookmarkStart w:id="58" w:name="_Toc15396618"/>
      <w:r>
        <w:rPr>
          <w:rFonts w:hint="eastAsia" w:eastAsia="宋体" w:cs="Times New Roman"/>
          <w:b/>
          <w:sz w:val="44"/>
          <w:szCs w:val="44"/>
          <w:highlight w:val="none"/>
          <w:shd w:val="clear" w:color="auto" w:fill="FFFFFF"/>
          <w:lang w:eastAsia="zh-CN"/>
        </w:rPr>
        <w:t>广安市公安局交通警察支队</w:t>
      </w:r>
    </w:p>
    <w:p w14:paraId="2251002A">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Times New Roman" w:hAnsi="Times New Roman" w:eastAsia="宋体" w:cs="Times New Roman"/>
          <w:b/>
          <w:sz w:val="44"/>
          <w:szCs w:val="44"/>
          <w:highlight w:val="none"/>
          <w:shd w:val="clear" w:color="auto" w:fill="FFFFFF"/>
        </w:rPr>
      </w:pPr>
      <w:r>
        <w:rPr>
          <w:rFonts w:hint="eastAsia" w:eastAsia="宋体" w:cs="Times New Roman"/>
          <w:b/>
          <w:sz w:val="44"/>
          <w:szCs w:val="44"/>
          <w:highlight w:val="none"/>
          <w:shd w:val="clear" w:color="auto" w:fill="FFFFFF"/>
          <w:lang w:val="en-US" w:eastAsia="zh-CN"/>
        </w:rPr>
        <w:t>2022年</w:t>
      </w:r>
      <w:r>
        <w:rPr>
          <w:rFonts w:hint="eastAsia" w:cs="Times New Roman"/>
          <w:b/>
          <w:sz w:val="44"/>
          <w:szCs w:val="44"/>
          <w:highlight w:val="none"/>
          <w:shd w:val="clear" w:color="auto" w:fill="FFFFFF"/>
          <w:lang w:val="en-US" w:eastAsia="zh-CN"/>
        </w:rPr>
        <w:t>度</w:t>
      </w:r>
      <w:r>
        <w:rPr>
          <w:rFonts w:hint="default" w:ascii="Times New Roman" w:hAnsi="Times New Roman" w:eastAsia="宋体" w:cs="Times New Roman"/>
          <w:b/>
          <w:sz w:val="44"/>
          <w:szCs w:val="44"/>
          <w:highlight w:val="none"/>
          <w:shd w:val="clear" w:color="auto" w:fill="FFFFFF"/>
        </w:rPr>
        <w:t>部门整体绩效</w:t>
      </w:r>
      <w:r>
        <w:rPr>
          <w:rFonts w:hint="eastAsia" w:eastAsia="宋体" w:cs="Times New Roman"/>
          <w:b/>
          <w:sz w:val="44"/>
          <w:szCs w:val="44"/>
          <w:highlight w:val="none"/>
          <w:shd w:val="clear" w:color="auto" w:fill="FFFFFF"/>
          <w:lang w:eastAsia="zh-CN"/>
        </w:rPr>
        <w:t>自评</w:t>
      </w:r>
      <w:r>
        <w:rPr>
          <w:rFonts w:hint="default" w:ascii="Times New Roman" w:hAnsi="Times New Roman" w:eastAsia="宋体" w:cs="Times New Roman"/>
          <w:b/>
          <w:sz w:val="44"/>
          <w:szCs w:val="44"/>
          <w:highlight w:val="none"/>
          <w:shd w:val="clear" w:color="auto" w:fill="FFFFFF"/>
        </w:rPr>
        <w:t>报告</w:t>
      </w:r>
    </w:p>
    <w:p w14:paraId="7B33555B">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Times New Roman" w:hAnsi="Times New Roman" w:cs="Times New Roman"/>
          <w:szCs w:val="32"/>
          <w:highlight w:val="none"/>
          <w:shd w:val="clear" w:color="auto" w:fill="FFFFFF"/>
        </w:rPr>
      </w:pPr>
    </w:p>
    <w:p w14:paraId="7A26FF71">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contextualSpacing/>
        <w:jc w:val="left"/>
        <w:textAlignment w:val="auto"/>
        <w:rPr>
          <w:rFonts w:hint="default" w:ascii="Times New Roman" w:hAnsi="Times New Roman" w:eastAsia="黑体" w:cs="Times New Roman"/>
          <w:color w:val="000000"/>
          <w:kern w:val="0"/>
          <w:sz w:val="24"/>
          <w:szCs w:val="32"/>
          <w:highlight w:val="none"/>
          <w:shd w:val="clear" w:color="auto" w:fill="FFFFFF"/>
        </w:rPr>
      </w:pPr>
    </w:p>
    <w:p w14:paraId="098AE5B7">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部门（单位）基本情况</w:t>
      </w:r>
    </w:p>
    <w:p w14:paraId="51802A58">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机构组成。</w:t>
      </w:r>
    </w:p>
    <w:p w14:paraId="32BD1633">
      <w:pPr>
        <w:autoSpaceDE w:val="0"/>
        <w:autoSpaceDN w:val="0"/>
        <w:adjustRightInd w:val="0"/>
        <w:ind w:firstLine="640" w:firstLineChars="200"/>
        <w:jc w:val="left"/>
        <w:rPr>
          <w:rFonts w:hint="eastAsia" w:ascii="仿宋" w:hAnsi="仿宋" w:eastAsia="仿宋" w:cs="仿宋"/>
          <w:sz w:val="32"/>
          <w:szCs w:val="32"/>
          <w:lang w:val="zh-CN"/>
        </w:rPr>
      </w:pPr>
      <w:r>
        <w:rPr>
          <w:rFonts w:hint="eastAsia" w:ascii="仿宋" w:hAnsi="仿宋" w:eastAsia="仿宋" w:cs="仿宋"/>
          <w:kern w:val="0"/>
          <w:sz w:val="32"/>
          <w:szCs w:val="32"/>
        </w:rPr>
        <w:t>广安市公安局交通警察支队内设</w:t>
      </w:r>
      <w:r>
        <w:rPr>
          <w:rFonts w:hint="eastAsia" w:ascii="仿宋" w:hAnsi="仿宋" w:eastAsia="仿宋" w:cs="仿宋"/>
          <w:kern w:val="0"/>
          <w:sz w:val="32"/>
          <w:szCs w:val="32"/>
          <w:lang w:val="en-US" w:eastAsia="zh-CN"/>
        </w:rPr>
        <w:t>13个科所队室，主要包括</w:t>
      </w:r>
      <w:r>
        <w:rPr>
          <w:rFonts w:hint="eastAsia" w:ascii="仿宋" w:hAnsi="仿宋" w:eastAsia="仿宋" w:cs="仿宋"/>
          <w:kern w:val="0"/>
          <w:sz w:val="32"/>
          <w:szCs w:val="32"/>
        </w:rPr>
        <w:t>办公室、政工监察室、警务保障大队、事故大队、秩序大队、科技大队、宣传法制大队、督察大队、车辆管理所、交通智能监控中心及第一大队、第二大队、第三大队等。</w:t>
      </w:r>
    </w:p>
    <w:p w14:paraId="078F0A10">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机构职能和人员概况。</w:t>
      </w:r>
    </w:p>
    <w:p w14:paraId="20C291E6">
      <w:pPr>
        <w:pStyle w:val="6"/>
        <w:adjustRightInd w:val="0"/>
        <w:snapToGrid w:val="0"/>
        <w:spacing w:before="93" w:line="600" w:lineRule="exact"/>
        <w:ind w:firstLine="640" w:firstLineChars="20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主要职能。</w:t>
      </w:r>
    </w:p>
    <w:p w14:paraId="3CE9E91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广安市公安局交通警察支队的职能：掌握全市道路交通安全情况，组织、指导和监督全市公安机关依法查处道路交通违法行为和交通事故；组织、指导和维护道路交通秩序和公路治安秩序，负责驾驶员考试考核及其牌证发放和开展交通安全教育活动；指导全市公安机关参与城市建设、道路交通和安全设施的规划；负责全市公安交警部门的经费、装备的管理；指导全市交通警察队伍的教育、培训和管理工作。</w:t>
      </w:r>
    </w:p>
    <w:p w14:paraId="5752BD5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2.人员概况。</w:t>
      </w:r>
    </w:p>
    <w:p w14:paraId="2F72733F">
      <w:pPr>
        <w:pStyle w:val="14"/>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广安市公安局交通警察支队2022年年末共有在职民警161人，行政编制工勤人员4人，事业人员14人，辅警人员391人，</w:t>
      </w:r>
      <w:r>
        <w:rPr>
          <w:rFonts w:hint="eastAsia" w:ascii="仿宋" w:hAnsi="仿宋" w:eastAsia="仿宋" w:cs="仿宋"/>
          <w:kern w:val="0"/>
          <w:sz w:val="32"/>
          <w:szCs w:val="32"/>
          <w:lang w:val="en-US" w:eastAsia="zh-CN"/>
        </w:rPr>
        <w:t>文明劝导员50人</w:t>
      </w:r>
      <w:r>
        <w:rPr>
          <w:rFonts w:hint="eastAsia" w:ascii="仿宋" w:hAnsi="仿宋" w:eastAsia="仿宋" w:cs="仿宋"/>
          <w:sz w:val="32"/>
          <w:szCs w:val="32"/>
          <w:lang w:val="en-US" w:eastAsia="zh-CN"/>
        </w:rPr>
        <w:t>。</w:t>
      </w:r>
    </w:p>
    <w:p w14:paraId="14ABC017">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年度主要工作任务。</w:t>
      </w:r>
    </w:p>
    <w:p w14:paraId="4FAC8139">
      <w:pPr>
        <w:keepNext w:val="0"/>
        <w:keepLines w:val="0"/>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 w:hAnsi="仿宋" w:eastAsia="仿宋" w:cs="仿宋"/>
          <w:kern w:val="32"/>
          <w:sz w:val="32"/>
          <w:szCs w:val="32"/>
          <w:lang w:eastAsia="zh-CN"/>
        </w:rPr>
      </w:pPr>
      <w:r>
        <w:rPr>
          <w:rFonts w:hint="eastAsia" w:ascii="仿宋" w:hAnsi="仿宋" w:eastAsia="仿宋" w:cs="仿宋"/>
          <w:kern w:val="32"/>
          <w:sz w:val="32"/>
          <w:szCs w:val="32"/>
        </w:rPr>
        <w:t>1、化解重大风险，护卫</w:t>
      </w:r>
      <w:r>
        <w:rPr>
          <w:rFonts w:hint="eastAsia" w:ascii="仿宋" w:hAnsi="仿宋" w:eastAsia="仿宋" w:cs="仿宋"/>
          <w:kern w:val="32"/>
          <w:sz w:val="32"/>
          <w:szCs w:val="32"/>
          <w:lang w:eastAsia="zh-CN"/>
        </w:rPr>
        <w:t>重大活动开展</w:t>
      </w:r>
    </w:p>
    <w:p w14:paraId="3C24A3AE">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(1).持续深化事故预防“减量控大”工作。</w:t>
      </w:r>
      <w:r>
        <w:rPr>
          <w:rFonts w:hint="eastAsia" w:ascii="仿宋" w:hAnsi="仿宋" w:eastAsia="仿宋" w:cs="仿宋"/>
          <w:kern w:val="32"/>
          <w:sz w:val="32"/>
          <w:szCs w:val="32"/>
        </w:rPr>
        <w:t>认真落实事故预防主责，扎实开展交通安全隐患排查整治、城市交通安全综合治理、公路交通安全风险防控等六大攻坚行动，坚决守好农村公路、城市道路、国省干道阵地。</w:t>
      </w:r>
    </w:p>
    <w:p w14:paraId="40CB636A">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(2).统筹开展专项整治。</w:t>
      </w:r>
      <w:r>
        <w:rPr>
          <w:rFonts w:hint="eastAsia" w:ascii="仿宋" w:hAnsi="仿宋" w:eastAsia="仿宋" w:cs="仿宋"/>
          <w:kern w:val="32"/>
          <w:sz w:val="32"/>
          <w:szCs w:val="32"/>
        </w:rPr>
        <w:t xml:space="preserve">瞄准重点车辆、重点违法、重要时段，针对性开展路面秩序整治。坚持严查“三超一疲劳”、非法营运、酒驾、醉驾、闯红灯、不礼让斑马线等交通违法不放松。持续强化工程运输车、“三车”和客货运输车、变型拖拉机、面包车等车辆综合治理、源头治理。 </w:t>
      </w:r>
    </w:p>
    <w:p w14:paraId="3F03E31E">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(3).做好重大活动交通安保。</w:t>
      </w:r>
      <w:r>
        <w:rPr>
          <w:rFonts w:hint="eastAsia" w:ascii="仿宋" w:hAnsi="仿宋" w:eastAsia="仿宋" w:cs="仿宋"/>
          <w:kern w:val="32"/>
          <w:sz w:val="32"/>
          <w:szCs w:val="32"/>
        </w:rPr>
        <w:t>提前分析研判、精心组织落实，全力做好</w:t>
      </w:r>
      <w:r>
        <w:rPr>
          <w:rFonts w:hint="eastAsia" w:ascii="仿宋" w:hAnsi="仿宋" w:eastAsia="仿宋" w:cs="仿宋"/>
          <w:kern w:val="32"/>
          <w:sz w:val="32"/>
          <w:szCs w:val="32"/>
          <w:lang w:eastAsia="zh-CN"/>
        </w:rPr>
        <w:t>重大活动</w:t>
      </w:r>
      <w:r>
        <w:rPr>
          <w:rFonts w:hint="eastAsia" w:ascii="仿宋" w:hAnsi="仿宋" w:eastAsia="仿宋" w:cs="仿宋"/>
          <w:kern w:val="32"/>
          <w:sz w:val="32"/>
          <w:szCs w:val="32"/>
        </w:rPr>
        <w:t>交通安保工作。围绕保障群众安畅出行目标，结合流量、路况、天气等要素变化，采取路面管控、宣传诱导等措施，进一步强化重要节假日、重大活动交通保障。严格落实疫情常态化防控要求，配合做好冷链运输车检查等工作，切实加强基层执勤执法防护。</w:t>
      </w:r>
    </w:p>
    <w:p w14:paraId="1B1E30A9">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(4).强化道路交通应急管理。</w:t>
      </w:r>
      <w:r>
        <w:rPr>
          <w:rFonts w:hint="eastAsia" w:ascii="仿宋" w:hAnsi="仿宋" w:eastAsia="仿宋" w:cs="仿宋"/>
          <w:kern w:val="32"/>
          <w:sz w:val="32"/>
          <w:szCs w:val="32"/>
        </w:rPr>
        <w:t xml:space="preserve">依托支队指挥调度平台和全市交通综合态势“一张图”，做强“情指勤督舆”一体化实战指挥体系，实现对应急突发事件、交通事故、路面拥堵等情况的迅速反应、精准施策、及时处置。加强与气象、应急、交通等部门及高速路公司协作配合，灵通信息、共商共研、联勤联动，大力提升春运等出行高峰密集期、汛期、恶劣天气等条件下道路交通管理能力。 </w:t>
      </w:r>
    </w:p>
    <w:p w14:paraId="336E8487">
      <w:pPr>
        <w:spacing w:line="600" w:lineRule="exact"/>
        <w:ind w:firstLine="640" w:firstLineChars="200"/>
        <w:contextualSpacing/>
        <w:rPr>
          <w:rFonts w:hint="eastAsia" w:ascii="仿宋" w:hAnsi="仿宋" w:eastAsia="仿宋" w:cs="仿宋"/>
          <w:kern w:val="32"/>
          <w:sz w:val="32"/>
          <w:szCs w:val="32"/>
        </w:rPr>
      </w:pPr>
      <w:r>
        <w:rPr>
          <w:rFonts w:hint="eastAsia" w:ascii="仿宋" w:hAnsi="仿宋" w:eastAsia="仿宋" w:cs="仿宋"/>
          <w:kern w:val="32"/>
          <w:sz w:val="32"/>
          <w:szCs w:val="32"/>
        </w:rPr>
        <w:t>2、创新治理交通，维护良好通行秩序</w:t>
      </w:r>
    </w:p>
    <w:p w14:paraId="333A055D">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(5).积极提升源头治理能力。</w:t>
      </w:r>
      <w:r>
        <w:rPr>
          <w:rFonts w:hint="eastAsia" w:ascii="仿宋" w:hAnsi="仿宋" w:eastAsia="仿宋" w:cs="仿宋"/>
          <w:kern w:val="32"/>
          <w:sz w:val="32"/>
          <w:szCs w:val="32"/>
        </w:rPr>
        <w:t>组织开展道路交通隐患大排查大整治“回头看”，梳理排查、盯紧看牢隐患排治结果，根据情况分类分级落实跟踪督促。</w:t>
      </w:r>
      <w:r>
        <w:rPr>
          <w:rFonts w:hint="eastAsia" w:ascii="仿宋" w:hAnsi="仿宋" w:eastAsia="仿宋" w:cs="仿宋"/>
          <w:bCs/>
          <w:kern w:val="32"/>
          <w:sz w:val="32"/>
          <w:szCs w:val="32"/>
        </w:rPr>
        <w:t>强化客货运源头监管，</w:t>
      </w:r>
      <w:r>
        <w:rPr>
          <w:rFonts w:hint="eastAsia" w:ascii="仿宋" w:hAnsi="仿宋" w:eastAsia="仿宋" w:cs="仿宋"/>
          <w:kern w:val="32"/>
          <w:sz w:val="32"/>
          <w:szCs w:val="32"/>
        </w:rPr>
        <w:t>加强与交通部门配合，持续深化客货运突出违法违规行为专项整治、</w:t>
      </w:r>
      <w:r>
        <w:rPr>
          <w:rFonts w:hint="eastAsia" w:ascii="仿宋" w:hAnsi="仿宋" w:eastAsia="仿宋" w:cs="仿宋"/>
          <w:bCs/>
          <w:kern w:val="32"/>
          <w:sz w:val="32"/>
          <w:szCs w:val="32"/>
        </w:rPr>
        <w:t>道路重点营运车辆和企业安全生产记分管理，</w:t>
      </w:r>
      <w:r>
        <w:rPr>
          <w:rFonts w:hint="eastAsia" w:ascii="仿宋" w:hAnsi="仿宋" w:eastAsia="仿宋" w:cs="仿宋"/>
          <w:kern w:val="32"/>
          <w:sz w:val="32"/>
          <w:szCs w:val="32"/>
        </w:rPr>
        <w:t>重拳纠违、联合惩戒，大力清理风险隐患企业及驾驶人，引导树立规范健康行业风气。积极推动57座以上大客车、卧铺客车退出营运市场。加快推进国省道中央隔离护栏升级改造，动态清零逾期未检验、未报废、未年检等车辆源头隐患。</w:t>
      </w:r>
    </w:p>
    <w:p w14:paraId="5FB1F632">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(6).全力推动农村交通安全治理。</w:t>
      </w:r>
      <w:r>
        <w:rPr>
          <w:rFonts w:hint="eastAsia" w:ascii="仿宋" w:hAnsi="仿宋" w:eastAsia="仿宋" w:cs="仿宋"/>
          <w:kern w:val="32"/>
          <w:sz w:val="32"/>
          <w:szCs w:val="32"/>
        </w:rPr>
        <w:t>认真贯彻落实省政府精神，充分利用道安平台，推动各地党委政府、相关部门落实农村交安领导和监管责任。积极探索推广“交管办”分类管理、派出所和交警中队勤务融合、亡人事故领导干部出现场等经验做法。深化农村道路固本强基、“一盔一带”安全守护行动和“两站两员”建设，用好农村交管信息系统及手机APP应用，全面提升农村道路交通安全基层治理水平。</w:t>
      </w:r>
    </w:p>
    <w:p w14:paraId="0A05412F">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(7).创新交通安全宣传教育。</w:t>
      </w:r>
      <w:r>
        <w:rPr>
          <w:rFonts w:hint="eastAsia" w:ascii="仿宋" w:hAnsi="仿宋" w:eastAsia="仿宋" w:cs="仿宋"/>
          <w:kern w:val="32"/>
          <w:sz w:val="32"/>
          <w:szCs w:val="32"/>
        </w:rPr>
        <w:t>深入推进道路交通安全宣传教育提升行动，持续开展“五大曝光行动”，强化主题宣传、预警提示。创新宣传模式，延伸宣传触角，联合住建部门，推动道路交通安全宣传教育进社区、入小区。畅通宣传渠道，加大“双微”、公众号阵地建设和对短视频等传播力、感染力较强宣传内容的制作投放力度。坚持涉警舆情监测研判常态化，规范交警执法直播，做到依法处置、舆论引导、社会面管控“三同步”。</w:t>
      </w:r>
    </w:p>
    <w:p w14:paraId="7B2FAAA4">
      <w:pPr>
        <w:spacing w:line="600" w:lineRule="exact"/>
        <w:ind w:firstLine="640" w:firstLineChars="200"/>
        <w:contextualSpacing/>
        <w:rPr>
          <w:rFonts w:hint="eastAsia" w:ascii="仿宋" w:hAnsi="仿宋" w:eastAsia="仿宋" w:cs="仿宋"/>
          <w:kern w:val="32"/>
          <w:sz w:val="32"/>
          <w:szCs w:val="32"/>
        </w:rPr>
      </w:pPr>
      <w:r>
        <w:rPr>
          <w:rFonts w:hint="eastAsia" w:ascii="仿宋" w:hAnsi="仿宋" w:eastAsia="仿宋" w:cs="仿宋"/>
          <w:kern w:val="32"/>
          <w:sz w:val="32"/>
          <w:szCs w:val="32"/>
        </w:rPr>
        <w:t>3、深化改革服务，护航经济社会发展</w:t>
      </w:r>
    </w:p>
    <w:p w14:paraId="0F2CA8C2">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(8).持续深化公安交管“放管服”改革。</w:t>
      </w:r>
      <w:r>
        <w:rPr>
          <w:rFonts w:hint="eastAsia" w:ascii="仿宋" w:hAnsi="仿宋" w:eastAsia="仿宋" w:cs="仿宋"/>
          <w:kern w:val="32"/>
          <w:sz w:val="32"/>
          <w:szCs w:val="32"/>
        </w:rPr>
        <w:t>常态化推进“我为群众办实事”，立足市情实际，完善城市通行便利、缓解停车难和方便老年人业务办理措施，适时扩大实施范围。强化各地“放管服”改革落实情况检查，规范机动车登记服务站代办车驾业务，持续降低群众办事成本、提升办理体验。</w:t>
      </w:r>
    </w:p>
    <w:p w14:paraId="66BC74B3">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(9).大力服务成渝双城经济圈建设。</w:t>
      </w:r>
      <w:r>
        <w:rPr>
          <w:rFonts w:hint="eastAsia" w:ascii="仿宋" w:hAnsi="仿宋" w:eastAsia="仿宋" w:cs="仿宋"/>
          <w:kern w:val="32"/>
          <w:sz w:val="32"/>
          <w:szCs w:val="32"/>
        </w:rPr>
        <w:t>全面落实国家建设成渝双城经济圈发展战略，持续深化渝广两地道路交通应急处置、联勤联动、互访互学，落地落细临时号牌互认等便捷生活措施。</w:t>
      </w:r>
    </w:p>
    <w:p w14:paraId="172EFC35">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(10).强化信息技术应用。</w:t>
      </w:r>
      <w:r>
        <w:rPr>
          <w:rFonts w:hint="eastAsia" w:ascii="仿宋" w:hAnsi="仿宋" w:eastAsia="仿宋" w:cs="仿宋"/>
          <w:kern w:val="32"/>
          <w:sz w:val="32"/>
          <w:szCs w:val="32"/>
        </w:rPr>
        <w:t>深入推进“智慧交管”建设，围绕指挥调度、公路防控、业务监管、数据管理、运维保障“六大体系”，抓紧完善集成指挥平台、业务综合监管等系统建设，加大对国省道、城市道路、农村公路主阵地和秩序管理、车驾管理、事故处理等业务监管，着力提升指挥调度、路面监测、查缉布控、异常查处水平，以信息技术的深度应用做强道路交通管理。</w:t>
      </w:r>
    </w:p>
    <w:p w14:paraId="012993BA">
      <w:pPr>
        <w:spacing w:line="600" w:lineRule="exact"/>
        <w:ind w:firstLine="640" w:firstLineChars="200"/>
        <w:contextualSpacing/>
        <w:rPr>
          <w:rFonts w:hint="eastAsia" w:ascii="仿宋" w:hAnsi="仿宋" w:eastAsia="仿宋" w:cs="仿宋"/>
          <w:kern w:val="32"/>
          <w:sz w:val="32"/>
          <w:szCs w:val="32"/>
        </w:rPr>
      </w:pPr>
      <w:r>
        <w:rPr>
          <w:rFonts w:hint="eastAsia" w:ascii="仿宋" w:hAnsi="仿宋" w:eastAsia="仿宋" w:cs="仿宋"/>
          <w:kern w:val="32"/>
          <w:sz w:val="32"/>
          <w:szCs w:val="32"/>
        </w:rPr>
        <w:t>4、从严管党治警，打造忠诚干净担当铁军</w:t>
      </w:r>
    </w:p>
    <w:p w14:paraId="55913B7D">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(1</w:t>
      </w:r>
      <w:r>
        <w:rPr>
          <w:rFonts w:hint="eastAsia" w:ascii="仿宋" w:hAnsi="仿宋" w:eastAsia="仿宋" w:cs="仿宋"/>
          <w:b/>
          <w:kern w:val="32"/>
          <w:sz w:val="32"/>
          <w:szCs w:val="32"/>
          <w:lang w:val="en-US" w:eastAsia="zh-CN"/>
        </w:rPr>
        <w:t>1</w:t>
      </w:r>
      <w:r>
        <w:rPr>
          <w:rFonts w:hint="eastAsia" w:ascii="仿宋" w:hAnsi="仿宋" w:eastAsia="仿宋" w:cs="仿宋"/>
          <w:b/>
          <w:kern w:val="32"/>
          <w:sz w:val="32"/>
          <w:szCs w:val="32"/>
        </w:rPr>
        <w:t>).坚持从严管党治警。</w:t>
      </w:r>
      <w:r>
        <w:rPr>
          <w:rFonts w:hint="eastAsia" w:ascii="仿宋" w:hAnsi="仿宋" w:eastAsia="仿宋" w:cs="仿宋"/>
          <w:kern w:val="32"/>
          <w:sz w:val="32"/>
          <w:szCs w:val="32"/>
        </w:rPr>
        <w:t>持续巩固队伍教育整顿成果，全面强化从严管党治警，常态化开展队伍风险隐患分析研判、排查防控，严查违法违纪、严肃责任追究，刚性执纪严管队伍。严格党内政治生活，抓实政治学习、民主生活、谈心谈话等各项工作。深入开展党建带队建示范单位等创建活动，扎实抓好党的组织建设。用好“两个积（记）分办法”管理手段，增强日常管理约束力、引导力。加强辅警管理，推动队伍严管严治全覆盖、无空白。</w:t>
      </w:r>
    </w:p>
    <w:p w14:paraId="542EF036">
      <w:pPr>
        <w:spacing w:line="600" w:lineRule="exact"/>
        <w:ind w:firstLine="643" w:firstLineChars="200"/>
        <w:contextualSpacing/>
        <w:rPr>
          <w:rFonts w:hint="eastAsia" w:ascii="仿宋" w:hAnsi="仿宋" w:eastAsia="仿宋" w:cs="仿宋"/>
          <w:kern w:val="32"/>
          <w:sz w:val="32"/>
          <w:szCs w:val="32"/>
        </w:rPr>
      </w:pPr>
      <w:r>
        <w:rPr>
          <w:rFonts w:hint="eastAsia" w:ascii="仿宋" w:hAnsi="仿宋" w:eastAsia="仿宋" w:cs="仿宋"/>
          <w:b/>
          <w:kern w:val="32"/>
          <w:sz w:val="32"/>
          <w:szCs w:val="32"/>
        </w:rPr>
        <w:t>(1</w:t>
      </w:r>
      <w:r>
        <w:rPr>
          <w:rFonts w:hint="eastAsia" w:ascii="仿宋" w:hAnsi="仿宋" w:eastAsia="仿宋" w:cs="仿宋"/>
          <w:b/>
          <w:kern w:val="32"/>
          <w:sz w:val="32"/>
          <w:szCs w:val="32"/>
          <w:lang w:val="en-US" w:eastAsia="zh-CN"/>
        </w:rPr>
        <w:t>2</w:t>
      </w:r>
      <w:r>
        <w:rPr>
          <w:rFonts w:hint="eastAsia" w:ascii="仿宋" w:hAnsi="仿宋" w:eastAsia="仿宋" w:cs="仿宋"/>
          <w:b/>
          <w:kern w:val="32"/>
          <w:sz w:val="32"/>
          <w:szCs w:val="32"/>
        </w:rPr>
        <w:t>).强化执法规范化建设。</w:t>
      </w:r>
      <w:r>
        <w:rPr>
          <w:rFonts w:hint="eastAsia" w:ascii="仿宋" w:hAnsi="仿宋" w:eastAsia="仿宋" w:cs="仿宋"/>
          <w:kern w:val="32"/>
          <w:sz w:val="32"/>
          <w:szCs w:val="32"/>
        </w:rPr>
        <w:t>积极推动修订《四川省</w:t>
      </w:r>
      <w:r>
        <w:rPr>
          <w:rFonts w:hint="eastAsia" w:ascii="仿宋" w:hAnsi="仿宋" w:eastAsia="仿宋" w:cs="仿宋"/>
          <w:kern w:val="32"/>
          <w:sz w:val="32"/>
          <w:szCs w:val="32"/>
          <w:lang w:eastAsia="zh-CN"/>
        </w:rPr>
        <w:t>〈</w:t>
      </w:r>
      <w:r>
        <w:rPr>
          <w:rFonts w:hint="eastAsia" w:ascii="仿宋" w:hAnsi="仿宋" w:eastAsia="仿宋" w:cs="仿宋"/>
          <w:kern w:val="32"/>
          <w:sz w:val="32"/>
          <w:szCs w:val="32"/>
        </w:rPr>
        <w:t>中华人民共和国道路交通安全法</w:t>
      </w:r>
      <w:r>
        <w:rPr>
          <w:rFonts w:hint="eastAsia" w:ascii="仿宋" w:hAnsi="仿宋" w:eastAsia="仿宋" w:cs="仿宋"/>
          <w:kern w:val="32"/>
          <w:sz w:val="32"/>
          <w:szCs w:val="32"/>
          <w:lang w:eastAsia="zh-CN"/>
        </w:rPr>
        <w:t>〉</w:t>
      </w:r>
      <w:r>
        <w:rPr>
          <w:rFonts w:hint="eastAsia" w:ascii="仿宋" w:hAnsi="仿宋" w:eastAsia="仿宋" w:cs="仿宋"/>
          <w:kern w:val="32"/>
          <w:sz w:val="32"/>
          <w:szCs w:val="32"/>
        </w:rPr>
        <w:t>实施办法》，促进</w:t>
      </w:r>
      <w:r>
        <w:rPr>
          <w:rFonts w:hint="eastAsia" w:ascii="仿宋" w:hAnsi="仿宋" w:eastAsia="仿宋" w:cs="仿宋"/>
          <w:kern w:val="32"/>
          <w:sz w:val="32"/>
          <w:szCs w:val="32"/>
          <w:lang w:eastAsia="zh-CN"/>
        </w:rPr>
        <w:t>地方性法规</w:t>
      </w:r>
      <w:r>
        <w:rPr>
          <w:rFonts w:hint="eastAsia" w:ascii="仿宋" w:hAnsi="仿宋" w:eastAsia="仿宋" w:cs="仿宋"/>
          <w:kern w:val="32"/>
          <w:sz w:val="32"/>
          <w:szCs w:val="32"/>
        </w:rPr>
        <w:t>和上位法有效衔接。深化非现场执法、货车执法、窗口业务等常态治理。建立健全执法规范建设长效机制，加大对执法记录仪使用情况抽检抽查力度，不断强化执勤执法监督。认真落实依法行政，认真做好文件制发、流程设置审核检查，严防违规增设行政许可程序、增加办事流程等问题发生。</w:t>
      </w:r>
    </w:p>
    <w:p w14:paraId="4970AE89">
      <w:pPr>
        <w:snapToGrid w:val="0"/>
        <w:spacing w:line="520" w:lineRule="exact"/>
        <w:ind w:firstLine="643" w:firstLineChars="200"/>
        <w:rPr>
          <w:rFonts w:hint="eastAsia" w:ascii="仿宋" w:hAnsi="仿宋" w:eastAsia="仿宋" w:cs="仿宋"/>
          <w:sz w:val="32"/>
          <w:szCs w:val="32"/>
          <w:lang w:val="zh-CN"/>
        </w:rPr>
      </w:pPr>
      <w:r>
        <w:rPr>
          <w:rFonts w:hint="eastAsia" w:ascii="仿宋" w:hAnsi="仿宋" w:eastAsia="仿宋" w:cs="仿宋"/>
          <w:b/>
          <w:kern w:val="32"/>
          <w:sz w:val="32"/>
          <w:szCs w:val="32"/>
        </w:rPr>
        <w:t>(1</w:t>
      </w:r>
      <w:r>
        <w:rPr>
          <w:rFonts w:hint="eastAsia" w:ascii="仿宋" w:hAnsi="仿宋" w:eastAsia="仿宋" w:cs="仿宋"/>
          <w:b/>
          <w:kern w:val="32"/>
          <w:sz w:val="32"/>
          <w:szCs w:val="32"/>
          <w:lang w:val="en-US" w:eastAsia="zh-CN"/>
        </w:rPr>
        <w:t>3</w:t>
      </w:r>
      <w:r>
        <w:rPr>
          <w:rFonts w:hint="eastAsia" w:ascii="仿宋" w:hAnsi="仿宋" w:eastAsia="仿宋" w:cs="仿宋"/>
          <w:b/>
          <w:kern w:val="32"/>
          <w:sz w:val="32"/>
          <w:szCs w:val="32"/>
        </w:rPr>
        <w:t>).切实落实从优待警。</w:t>
      </w:r>
      <w:r>
        <w:rPr>
          <w:rFonts w:hint="eastAsia" w:ascii="仿宋" w:hAnsi="仿宋" w:eastAsia="仿宋" w:cs="仿宋"/>
          <w:kern w:val="32"/>
          <w:sz w:val="32"/>
          <w:szCs w:val="32"/>
        </w:rPr>
        <w:t>积极组织民（辅）警投身</w:t>
      </w:r>
      <w:r>
        <w:rPr>
          <w:rFonts w:hint="eastAsia" w:ascii="仿宋" w:hAnsi="仿宋" w:eastAsia="仿宋" w:cs="仿宋"/>
          <w:kern w:val="32"/>
          <w:sz w:val="32"/>
          <w:szCs w:val="32"/>
          <w:lang w:eastAsia="zh-CN"/>
        </w:rPr>
        <w:t>主题</w:t>
      </w:r>
      <w:r>
        <w:rPr>
          <w:rFonts w:hint="eastAsia" w:ascii="仿宋" w:hAnsi="仿宋" w:eastAsia="仿宋" w:cs="仿宋"/>
          <w:kern w:val="32"/>
          <w:sz w:val="32"/>
          <w:szCs w:val="32"/>
        </w:rPr>
        <w:t>实践活动及学习培训、轮岗交流，推动个人能力发展、素质提升，增强队伍活力。加快保障民警合法权益制度完善、落地实施，切实保障民（辅）警执勤执法、休息休假等权利。探索建设警营文化沙龙、荣誉室，积极争取保障好基层大队“五小工程”。</w:t>
      </w:r>
    </w:p>
    <w:p w14:paraId="0CF34BB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（四）部门整体支出绩效目标。</w:t>
      </w:r>
    </w:p>
    <w:p w14:paraId="46667DF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市公安局交警支队2022年度根据市委市政府及上级公安机关要求，利用财政性资金拨款收入来源，预计完成以下年度工作目标任务：（一）强化事故预防，守牢安全底线。固化综合治理长效机制，狠抓源头管理、宣传教育、分析研判，减少一般事故，防止较大事故，杜绝重特大事故；（二）突出两个重点，安全畅通并重。突出做强农村地区事故预防弱项、破解城市交通拥堵难题两个重点，夯实公路安全与城市畅通工作基础，提高整体工作水平；（三）提升应用水平，科技服务实战。强化交管集成指挥平台、交通安全防控体系、大数据分析研判等应用，更新配备科技装备，全面提升管控效能；（四）深化交管改革，提升服务水平。以民意为导向，征集意见建议，梳理问题症结，深化、创新“放管服”改革，提升服务水平，增强群众获得感、幸福感；（五）深化队伍建设，打造过硬队伍。践行总要求，把锻造“四讲”公安铁军要求落实到行动中，打造忠诚、干净、担当的过硬交警队伍。</w:t>
      </w:r>
    </w:p>
    <w:p w14:paraId="0E9A019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二、</w:t>
      </w:r>
      <w:r>
        <w:rPr>
          <w:rFonts w:hint="eastAsia" w:ascii="仿宋" w:hAnsi="仿宋" w:eastAsia="仿宋" w:cs="仿宋"/>
          <w:color w:val="000000"/>
          <w:kern w:val="0"/>
          <w:sz w:val="32"/>
          <w:szCs w:val="32"/>
          <w:highlight w:val="none"/>
          <w:shd w:val="clear" w:color="auto" w:fill="FFFFFF"/>
          <w:lang w:eastAsia="zh-CN"/>
        </w:rPr>
        <w:t>部门</w:t>
      </w:r>
      <w:r>
        <w:rPr>
          <w:rFonts w:hint="eastAsia" w:ascii="仿宋" w:hAnsi="仿宋" w:eastAsia="仿宋" w:cs="仿宋"/>
          <w:color w:val="000000"/>
          <w:kern w:val="0"/>
          <w:sz w:val="32"/>
          <w:szCs w:val="32"/>
          <w:highlight w:val="none"/>
          <w:shd w:val="clear" w:color="auto" w:fill="FFFFFF"/>
        </w:rPr>
        <w:t>资金收支情况</w:t>
      </w:r>
    </w:p>
    <w:p w14:paraId="6CE529A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（一）部门总体收支情况。</w:t>
      </w:r>
    </w:p>
    <w:p w14:paraId="4774F19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1.部门总体收入情况</w:t>
      </w:r>
    </w:p>
    <w:p w14:paraId="005169DD">
      <w:pPr>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w:t>
      </w:r>
      <w:r>
        <w:rPr>
          <w:rFonts w:hint="eastAsia" w:ascii="仿宋" w:hAnsi="仿宋" w:eastAsia="仿宋" w:cs="仿宋"/>
          <w:color w:val="000000"/>
          <w:sz w:val="32"/>
          <w:szCs w:val="32"/>
        </w:rPr>
        <w:t>本年</w:t>
      </w:r>
      <w:r>
        <w:rPr>
          <w:rFonts w:hint="eastAsia" w:ascii="仿宋" w:hAnsi="仿宋" w:eastAsia="仿宋" w:cs="仿宋"/>
          <w:color w:val="000000"/>
          <w:sz w:val="32"/>
          <w:szCs w:val="32"/>
          <w:lang w:eastAsia="zh-CN"/>
        </w:rPr>
        <w:t>部门总体</w:t>
      </w:r>
      <w:r>
        <w:rPr>
          <w:rFonts w:hint="eastAsia" w:ascii="仿宋" w:hAnsi="仿宋" w:eastAsia="仿宋" w:cs="仿宋"/>
          <w:color w:val="000000"/>
          <w:sz w:val="32"/>
          <w:szCs w:val="32"/>
        </w:rPr>
        <w:t>收入合计</w:t>
      </w:r>
      <w:r>
        <w:rPr>
          <w:rFonts w:hint="eastAsia" w:ascii="仿宋" w:hAnsi="仿宋" w:eastAsia="仿宋" w:cs="仿宋"/>
          <w:color w:val="000000"/>
          <w:sz w:val="32"/>
          <w:szCs w:val="32"/>
          <w:lang w:val="en-US" w:eastAsia="zh-CN"/>
        </w:rPr>
        <w:t>11235.53</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10353.86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92.15</w:t>
      </w:r>
      <w:r>
        <w:rPr>
          <w:rFonts w:hint="eastAsia" w:ascii="仿宋" w:hAnsi="仿宋" w:eastAsia="仿宋" w:cs="仿宋"/>
          <w:color w:val="000000"/>
          <w:sz w:val="32"/>
          <w:szCs w:val="32"/>
        </w:rPr>
        <w:t>%；政府性基金预算财政拨款收入</w:t>
      </w:r>
      <w:r>
        <w:rPr>
          <w:rFonts w:hint="eastAsia" w:ascii="仿宋" w:hAnsi="仿宋" w:eastAsia="仿宋" w:cs="仿宋"/>
          <w:color w:val="000000"/>
          <w:sz w:val="32"/>
          <w:szCs w:val="32"/>
          <w:lang w:val="en-US" w:eastAsia="zh-CN"/>
        </w:rPr>
        <w:t>881.67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7.85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themeColor="text1"/>
          <w:sz w:val="32"/>
          <w:szCs w:val="32"/>
        </w:rPr>
        <w:t>上级补助收入</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%；事业收入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%；经营收入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%；附属单位上缴收入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%；其他收入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14:paraId="4D328F0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2.部门总体支出情况</w:t>
      </w:r>
    </w:p>
    <w:p w14:paraId="29948ED3">
      <w:pPr>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w:t>
      </w:r>
      <w:r>
        <w:rPr>
          <w:rFonts w:hint="eastAsia" w:ascii="仿宋" w:hAnsi="仿宋" w:eastAsia="仿宋" w:cs="仿宋"/>
          <w:color w:val="000000"/>
          <w:sz w:val="32"/>
          <w:szCs w:val="32"/>
        </w:rPr>
        <w:t>本年</w:t>
      </w:r>
      <w:r>
        <w:rPr>
          <w:rFonts w:hint="eastAsia" w:ascii="仿宋" w:hAnsi="仿宋" w:eastAsia="仿宋" w:cs="仿宋"/>
          <w:color w:val="000000"/>
          <w:sz w:val="32"/>
          <w:szCs w:val="32"/>
          <w:lang w:eastAsia="zh-CN"/>
        </w:rPr>
        <w:t>部门总体</w:t>
      </w:r>
      <w:r>
        <w:rPr>
          <w:rFonts w:hint="eastAsia" w:ascii="仿宋" w:hAnsi="仿宋" w:eastAsia="仿宋" w:cs="仿宋"/>
          <w:color w:val="000000"/>
          <w:sz w:val="32"/>
          <w:szCs w:val="32"/>
        </w:rPr>
        <w:t>支出合计</w:t>
      </w:r>
      <w:r>
        <w:rPr>
          <w:rFonts w:hint="eastAsia" w:ascii="仿宋" w:hAnsi="仿宋" w:eastAsia="仿宋" w:cs="仿宋"/>
          <w:color w:val="000000"/>
          <w:sz w:val="32"/>
          <w:szCs w:val="32"/>
          <w:lang w:val="en-US" w:eastAsia="zh-CN"/>
        </w:rPr>
        <w:t>11235.53</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5774.17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51.39</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5461.36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48.61</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上缴上级支出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%；经营支出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%；对附属单位补助支出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14:paraId="46B19F0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3.部门总体结转结余情况</w:t>
      </w:r>
    </w:p>
    <w:p w14:paraId="5BC5FA2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2022年度年末部门总体结转结余为0。</w:t>
      </w:r>
    </w:p>
    <w:p w14:paraId="11556FA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（二）部门财政拨款收支情况。</w:t>
      </w:r>
    </w:p>
    <w:p w14:paraId="7932AA9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1.部门财政拨款收入情况</w:t>
      </w:r>
    </w:p>
    <w:p w14:paraId="7F173EC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度本部门财政拨款</w:t>
      </w:r>
      <w:r>
        <w:rPr>
          <w:rFonts w:hint="eastAsia" w:ascii="仿宋" w:hAnsi="仿宋" w:eastAsia="仿宋" w:cs="仿宋"/>
          <w:color w:val="000000"/>
          <w:sz w:val="32"/>
          <w:szCs w:val="32"/>
        </w:rPr>
        <w:t>收入合计</w:t>
      </w:r>
      <w:r>
        <w:rPr>
          <w:rFonts w:hint="eastAsia" w:ascii="仿宋" w:hAnsi="仿宋" w:eastAsia="仿宋" w:cs="仿宋"/>
          <w:color w:val="000000"/>
          <w:sz w:val="32"/>
          <w:szCs w:val="32"/>
          <w:lang w:val="en-US" w:eastAsia="zh-CN"/>
        </w:rPr>
        <w:t>11235.53</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10353.86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92.15</w:t>
      </w:r>
      <w:r>
        <w:rPr>
          <w:rFonts w:hint="eastAsia" w:ascii="仿宋" w:hAnsi="仿宋" w:eastAsia="仿宋" w:cs="仿宋"/>
          <w:color w:val="000000"/>
          <w:sz w:val="32"/>
          <w:szCs w:val="32"/>
        </w:rPr>
        <w:t>%；政府性基金预算财政拨款收入</w:t>
      </w:r>
      <w:r>
        <w:rPr>
          <w:rFonts w:hint="eastAsia" w:ascii="仿宋" w:hAnsi="仿宋" w:eastAsia="仿宋" w:cs="仿宋"/>
          <w:color w:val="000000"/>
          <w:sz w:val="32"/>
          <w:szCs w:val="32"/>
          <w:lang w:val="en-US" w:eastAsia="zh-CN"/>
        </w:rPr>
        <w:t>881.67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7.85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themeColor="text1"/>
          <w:sz w:val="32"/>
          <w:szCs w:val="32"/>
          <w:lang w:eastAsia="zh-CN"/>
        </w:rPr>
        <w:t>国有资本经营预算财政拨款收入</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14:paraId="7AE0B09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2.部门财政拨款支出情况</w:t>
      </w:r>
    </w:p>
    <w:p w14:paraId="4A534B8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度本部门财政拨款</w:t>
      </w:r>
      <w:r>
        <w:rPr>
          <w:rFonts w:hint="eastAsia" w:ascii="仿宋" w:hAnsi="仿宋" w:eastAsia="仿宋" w:cs="仿宋"/>
          <w:color w:val="000000"/>
          <w:sz w:val="32"/>
          <w:szCs w:val="32"/>
        </w:rPr>
        <w:t>支出合计</w:t>
      </w:r>
      <w:r>
        <w:rPr>
          <w:rFonts w:hint="eastAsia" w:ascii="仿宋" w:hAnsi="仿宋" w:eastAsia="仿宋" w:cs="仿宋"/>
          <w:color w:val="000000"/>
          <w:sz w:val="32"/>
          <w:szCs w:val="32"/>
          <w:lang w:val="en-US" w:eastAsia="zh-CN"/>
        </w:rPr>
        <w:t>11235.53</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5774.17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51.39</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5461.36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48.61</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14:paraId="51199C1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3.部门财政拨款结转结余情况</w:t>
      </w:r>
    </w:p>
    <w:p w14:paraId="160A728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2022年度年末部门财政拨款结转结余为0。</w:t>
      </w:r>
    </w:p>
    <w:p w14:paraId="0684A6A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themeColor="text1"/>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三、</w:t>
      </w:r>
      <w:r>
        <w:rPr>
          <w:rFonts w:hint="eastAsia" w:ascii="仿宋" w:hAnsi="仿宋" w:eastAsia="仿宋" w:cs="仿宋"/>
          <w:color w:val="000000"/>
          <w:kern w:val="0"/>
          <w:sz w:val="32"/>
          <w:szCs w:val="32"/>
          <w:highlight w:val="none"/>
          <w:u w:val="none"/>
          <w:shd w:val="clear" w:color="auto" w:fill="FFFFFF"/>
        </w:rPr>
        <w:t>部门整体绩效</w:t>
      </w:r>
      <w:r>
        <w:rPr>
          <w:rFonts w:hint="eastAsia" w:ascii="仿宋" w:hAnsi="仿宋" w:eastAsia="仿宋" w:cs="仿宋"/>
          <w:color w:val="000000"/>
          <w:kern w:val="0"/>
          <w:sz w:val="32"/>
          <w:szCs w:val="32"/>
          <w:highlight w:val="none"/>
          <w:u w:val="none"/>
          <w:shd w:val="clear" w:color="auto" w:fill="FFFFFF"/>
          <w:lang w:eastAsia="zh-CN"/>
        </w:rPr>
        <w:t>分析</w:t>
      </w:r>
    </w:p>
    <w:p w14:paraId="256C134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（一）部门预算项目绩效分析。</w:t>
      </w:r>
    </w:p>
    <w:p w14:paraId="3328F85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1.人员类项目绩效分析</w:t>
      </w:r>
    </w:p>
    <w:p w14:paraId="70C4C6E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2022年度市交警支队部门人员类项目共有16个，即工资性支出（行政）、工资性支出（事业）、聘用人员经费（行政）、基本养老保险缴费（行政）、养老保险缴费（事业）、医疗保险（行政）、医疗保险（事业）、其他社会保险缴费（事业）、住房公积金（事业）、医疗补助（行政）、遗嘱生活补助（行政）、年度目标绩效奖、年度目标绩效奖（事业）、其他工资福利支出（行政）、其他对个人和家庭的补助（行政）、离退休人员生活补助等。</w:t>
      </w:r>
    </w:p>
    <w:p w14:paraId="5678A855">
      <w:pPr>
        <w:pStyle w:val="14"/>
        <w:ind w:left="0" w:leftChars="0" w:firstLine="0" w:firstLineChars="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highlight w:val="none"/>
          <w:shd w:val="clear" w:color="auto" w:fill="FFFFFF"/>
          <w:lang w:val="en-US" w:eastAsia="zh-CN"/>
        </w:rPr>
        <w:t xml:space="preserve">    根据年初预算，人员类3个项目的预算数为工资性支出（行政）1306.72万元、工资性支出（事业）0万元、聘用人员经费（行政）0万元、基本养老保险缴费（行政）209.07万元、基本养老保险缴费（事业）0万元、医疗保险（行政）84.94万元、医疗保险（事业）0万元、其他社会保险缴费（事业）0万元、住房公积金（事业）0万元、医疗补助（行政）30.24万元、遗嘱生活补助（行政）1.38万元、年度目标绩效奖0万元、年度目标绩效奖（事业）0万元、其他工资福利支出（行政）0万元、其他对个人和家庭的补助（行政）0万元、离退休人员生活补助0万元等1632.35万元。根据人员类项目的特点，该类项目的部门绩效目标制定为：严格执行相关政策，及时足额发放人员的工资福利待遇、缴纳养老保险等社会保险资金和遗嘱补助人员的补助金。</w:t>
      </w:r>
    </w:p>
    <w:p w14:paraId="0F8C286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到</w:t>
      </w:r>
      <w:r>
        <w:rPr>
          <w:rFonts w:hint="eastAsia" w:ascii="仿宋" w:hAnsi="仿宋" w:eastAsia="仿宋" w:cs="仿宋"/>
          <w:color w:val="000000"/>
          <w:kern w:val="0"/>
          <w:sz w:val="32"/>
          <w:szCs w:val="32"/>
          <w:highlight w:val="none"/>
          <w:shd w:val="clear" w:color="auto" w:fill="FFFFFF"/>
          <w:lang w:val="en-US" w:eastAsia="zh-CN"/>
        </w:rPr>
        <w:t>2022年年末，包括调整预算，部门完成工资性支出（行政）1565.62万元、工资性支出（事业）10万元、聘用人员经费（行政）250.8万元、基本养老保险缴费（行政）216.99万元、基本养老保险缴费（事业）4.23万元、医疗保险（行政）86.56万元、医疗保险（事业）2.74万元、其他社会保险缴费（事业）2.33万元、住房公积金（事业）4.36万元、医疗补助（行政）33.01万元、遗嘱生活补助（行政）1.38万元、年度目标绩效奖479.11万元、年度目标绩效奖（事业）43.75万元、其他工资福利支出（行政）54.96万元、其他对个人和家庭的补助（行政）8.14万元、离退休人员生活补助45.05万元等共计2809.03万元，</w:t>
      </w:r>
      <w:r>
        <w:rPr>
          <w:rFonts w:hint="eastAsia" w:ascii="仿宋" w:hAnsi="仿宋" w:eastAsia="仿宋" w:cs="仿宋"/>
          <w:color w:val="000000"/>
          <w:kern w:val="0"/>
          <w:sz w:val="32"/>
          <w:szCs w:val="32"/>
          <w:highlight w:val="none"/>
          <w:shd w:val="clear" w:color="auto" w:fill="FFFFFF"/>
          <w:lang w:val="zh-CN"/>
        </w:rPr>
        <w:t>本年度部门完全实现年初目标。</w:t>
      </w:r>
    </w:p>
    <w:p w14:paraId="11DB6AB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在实现年初绩效目标过程中，部门严格按照组织人事部门的工资文件政策及财政局的相关规定，严格执行国家政策，严控支出，严格按照预算进度支付资金，及时根据人员增减情况和工资福利待遇调整情况调整人员工资福利待遇。无违规违纪情况记录。年末资金结余率为0。</w:t>
      </w:r>
    </w:p>
    <w:p w14:paraId="4A9A00A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2.运转类项目绩效分析</w:t>
      </w:r>
    </w:p>
    <w:p w14:paraId="0639EA7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2022年度市交警支队运转类项目共有3个，分别为：定额公用经费（行政）、工会福利费（行政）和其他交通费（行政）。</w:t>
      </w:r>
    </w:p>
    <w:p w14:paraId="034E9C7B">
      <w:pPr>
        <w:pStyle w:val="14"/>
        <w:ind w:left="0" w:leftChars="0" w:firstLine="0" w:firstLineChars="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highlight w:val="none"/>
          <w:shd w:val="clear" w:color="auto" w:fill="FFFFFF"/>
          <w:lang w:val="en-US" w:eastAsia="zh-CN"/>
        </w:rPr>
        <w:t xml:space="preserve">    根据年初预算，运转类3个项目的年初预算数为0万元，经过中途预算调整，3个项目的预算调整数分别为：定额公用经费（行政）841.91万元、工会福利费（行政）6万元和其他交通费（行政）36.05万元，共计883.96万元。根据运转类项目的特点，该类项目的部门绩效目标制定为：保障市交警支队机关正常运转，能够正常履行部门职能。</w:t>
      </w:r>
    </w:p>
    <w:p w14:paraId="2CC8229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到年末部门完成支出为：定额公用经费（行政）839.76万元、工会福利费（行政）6万元和其他交通费（行政）35.93万元，共计881.69万元，剩余指标缴回财政。</w:t>
      </w:r>
      <w:r>
        <w:rPr>
          <w:rFonts w:hint="eastAsia" w:ascii="仿宋" w:hAnsi="仿宋" w:eastAsia="仿宋" w:cs="仿宋"/>
          <w:color w:val="000000"/>
          <w:kern w:val="0"/>
          <w:sz w:val="32"/>
          <w:szCs w:val="32"/>
          <w:highlight w:val="none"/>
          <w:shd w:val="clear" w:color="auto" w:fill="FFFFFF"/>
          <w:lang w:val="zh-CN"/>
        </w:rPr>
        <w:t>本年度部门完全实现年初目标。</w:t>
      </w:r>
    </w:p>
    <w:p w14:paraId="7018FE9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在实现年初绩效目标过程中，部门严格按照财经法律法规及市财政局的相关规定，严格执行国家政策，严格按照部门财务制度和内部控制制度，压实经办人（报销人）的责任，并将部门内设科室的履职情况和部门分解到科室的预算数结合起来，严控支出，严格按照预算进度支付资金。无违规违纪情况记录。年末资金结余率为0。</w:t>
      </w:r>
    </w:p>
    <w:p w14:paraId="18E1FDE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3.特定目标类项目绩效分析</w:t>
      </w:r>
    </w:p>
    <w:p w14:paraId="71B1D67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2022年度市交警支队特定目标类项目共有22个，分别为：车管所车驾管经费、辅警人员经费、检测线人员经费（检测线工作经费）、交警一大队业务技术用房迁建项目、交通安全协作经费、交通安全宣传经费、交通设施维修、警务装备及固定资产更新、劝导员经费、食堂免费工作餐及工人劳务费（勤务工作餐）、网络租赁运行维护费、代管资金、王军丧葬抚恤金和人民警察伤亡特殊补助金、智慧交通标志标线和电子警察监控建设项目、2021年省级政法支付－执法办案经费、12510103政法转移支付、执勤执法装备清洁费、抚恤金、一次性退休补贴、5.09疫情防控资金、省级转移支付资金、引进人才和选调生住房搬迁安置补助等</w:t>
      </w:r>
    </w:p>
    <w:p w14:paraId="76BF0969">
      <w:pPr>
        <w:pStyle w:val="14"/>
        <w:ind w:left="0" w:leftChars="0" w:firstLine="640" w:firstLineChars="200"/>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上述22个特定目标类项目年初预算数为0万元，中途调整预算数为：9293.84万元，到年末，实际完成8836.81万元。剩余指标457.03万元，除去代管资金项目133.99万元外323.04万元指标被财政收回。</w:t>
      </w:r>
    </w:p>
    <w:p w14:paraId="40B7F4B2">
      <w:pPr>
        <w:pStyle w:val="14"/>
        <w:ind w:left="0" w:leftChars="0" w:firstLine="640" w:firstLineChars="200"/>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上述22个特定类项目绩效目标制定具体各有不同。具体目标、年末目标完成情况、资金支出情况见《部门预算项目支出绩效自评表（2022年度）》。本年度在实施项目过程中，无违规违纪情况记录。年末资金结余率为0。</w:t>
      </w:r>
    </w:p>
    <w:p w14:paraId="224438D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（二）部门整体履职绩效分析。</w:t>
      </w:r>
    </w:p>
    <w:p w14:paraId="56E816E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zh-CN"/>
        </w:rPr>
        <w:t>围绕部门整体绩效目标完成情况和部门履职情况，</w:t>
      </w:r>
      <w:r>
        <w:rPr>
          <w:rFonts w:hint="eastAsia" w:ascii="仿宋" w:hAnsi="仿宋" w:eastAsia="仿宋" w:cs="仿宋"/>
          <w:color w:val="000000"/>
          <w:kern w:val="0"/>
          <w:sz w:val="32"/>
          <w:szCs w:val="32"/>
          <w:highlight w:val="none"/>
          <w:shd w:val="clear" w:color="auto" w:fill="FFFFFF"/>
          <w:lang w:val="en-US" w:eastAsia="zh-CN"/>
        </w:rPr>
        <w:t>2022年度市交警支队完成以下方面的目标任务：</w:t>
      </w:r>
    </w:p>
    <w:p w14:paraId="71A85008">
      <w:pPr>
        <w:pStyle w:val="14"/>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故预防方面。扎实开展“减量控大”工作，在清剿重点车辆和驾驶人源头隐患方面，未发现逾期未检验重型货车上道路行驶，未发现已注销、逾期未检验危化品运输车上道路行驶的情况；交通安全隐患排查治理方面，部省市三级共挂牌督办道路隐患64起，除2处铁路隐患未整治完毕外，其余62处已整治完毕；交通事故方面，与上年度比呈下降趋势，全市交通事故死伤比为1:127.68，全市交通事故死伤比同比去年下降39.87%。</w:t>
      </w:r>
    </w:p>
    <w:p w14:paraId="09D6EE31">
      <w:pPr>
        <w:pStyle w:val="14"/>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秩序整治方面。普通国省道交通安全管控和查处农村严重交通违法方面，做得比较好；城市交通疏堵方面，增加高科技投入和加大警力应急疏堵；酒驾醉驾治理方面，全年共查处5674起，其中醉驾303起；专项整治“一盔一带”违法行为，劝导电动车（摩托车）骑乘人员佩戴安全头盔，切实提高城市道路和公路电动自行车（摩托车）骑乘人员安全头盔佩戴率。</w:t>
      </w:r>
    </w:p>
    <w:p w14:paraId="4A205CE1">
      <w:pPr>
        <w:pStyle w:val="14"/>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信息化建设方面。利用集成指挥平台进行勤务部署，依托该平台防控体系现场查处重点交通违法行为；依托该平台进行分析研判布控检查率达到100%；在重点点位设备联网方面，认真履行职能职责，加大重点点位运行维护力度，确保运行稳定。支队利用各方有利条件，重点建设智慧交通项目、车管所综合业务监管平台系统、车管所业务平台系统、车管所服务平台系统等项目，所有项目均投入运行。</w:t>
      </w:r>
    </w:p>
    <w:p w14:paraId="24C51268">
      <w:pPr>
        <w:pStyle w:val="14"/>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车管所业务方面。支队车管所及7个县市区大队车管所24家机动车登记服务站的所有查验业务已全部使用查验监管系统进行办理业务；车管所考场人脸识别系统使用率100%；音视频监控系统启用率100%，考生通过互联网约考率100%；车管所办理业务正常运行率100%，支队车管所共办理机动车注册登记13586辆，转移登记15626辆，变更登记4380辆，抵押登记19367辆，注销登记9219辆，异地变更登记26辆，转入业务3215辆，校车登记232辆，办理驾驶证业务本地初领32926人，外地初领3959人，军警换领57人，外籍换领20人，增驾申领10160人，补证换证（含转入、换证、补证）29261人。</w:t>
      </w:r>
    </w:p>
    <w:p w14:paraId="7C4F6171">
      <w:pPr>
        <w:pStyle w:val="14"/>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两手抓两手都要硬。一手抓严管队伍，强化队伍建设，坚持每月开展“三会一课”，一手抓从优待警，严格按照国家政策及时足额发放职工工资福利待遇，办好“五小工程”，解决民辅警执勤工作餐和清洗执勤服装问题。</w:t>
      </w:r>
    </w:p>
    <w:p w14:paraId="4F3FD40E">
      <w:pPr>
        <w:pStyle w:val="14"/>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通过全体民辅警的努力奋斗，2022年部门在市公安局的内部考核中，得到“双一流”表彰。</w:t>
      </w:r>
    </w:p>
    <w:p w14:paraId="273AA51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（三）结果应用情况。</w:t>
      </w:r>
    </w:p>
    <w:p w14:paraId="708E2430">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shd w:val="clear" w:color="auto" w:fill="FFFFFF"/>
          <w:lang w:val="zh-CN"/>
        </w:rPr>
        <w:t>交警支队</w:t>
      </w:r>
      <w:r>
        <w:rPr>
          <w:rFonts w:hint="eastAsia" w:ascii="仿宋" w:hAnsi="仿宋" w:eastAsia="仿宋" w:cs="仿宋"/>
          <w:color w:val="000000"/>
          <w:kern w:val="0"/>
          <w:sz w:val="32"/>
          <w:szCs w:val="32"/>
          <w:shd w:val="clear" w:color="auto" w:fill="FFFFFF"/>
          <w:lang w:val="en-US" w:eastAsia="zh-CN"/>
        </w:rPr>
        <w:t>2022年度部门整体支出情况、项目支出及绩效申报、评价等都在政府规定的门户网站上按照要求进行了公开，同时，支队也十分重视评价结果和结果的反馈信息，根据评价结果和反馈信息，支队对效益不高的项目进行了调整，对部分因指标设置不合理的项目进行了指标调整，并在以后的项目申报、项目建设等实施项目过程中更加设计客观、合理，同时，支队将项目的绩效评价结果与项目实施的内部科室绩效考核联系起来，在表彰和年末评优评先方面进行参考。</w:t>
      </w:r>
    </w:p>
    <w:p w14:paraId="5A7E6052">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自评质量。</w:t>
      </w:r>
    </w:p>
    <w:p w14:paraId="120E3849">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为深入贯彻落实党中央、国务院和省委、省政府关于全面实施预算绩效管理的决策部署，按照《四川省省级财政预算管理办法》（省政府令第356号）、《中共四川省委办公厅四川省人民政府办公厅关于深入实施预算绩效管理的通知》（川委厅【2022】5号）、《广安市预算绩效管理工作考评暂行办法》（广绩办发〔2020〕7号）有关要求，市交警支队高度重视，专门组织包括项目实施的责任人员在内的组成项目绩效和部门整体绩效自评小组，对市交警支队的每一个项目查找历史资料，从项目立项、申报、采购、实施、验收到最后总结评价都重新梳理，从项目的预算、目标、指标、最后完成情况、优缺点及应用都进行了仔细评价，包括部门整体自评也按照这个方法进行自我评价。整个评价过程实事求是，项目实施得好且项目申报各项目标、指标做得好的总结做得好的原因；项目实施得一般且项目申报目标、指标设置一般的找出其中原因，提出解决的办法，并在以后的工作中怎么去改正。</w:t>
      </w:r>
    </w:p>
    <w:p w14:paraId="506B2DF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四、评价结论及建议</w:t>
      </w:r>
    </w:p>
    <w:p w14:paraId="358F5C52">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（一）评价结论。</w:t>
      </w:r>
    </w:p>
    <w:p w14:paraId="23D297B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支队各部门能够有效履行职责，整体推动工作向前发展，指导各基层大队，较好解决现代交通人车路的基本矛盾</w:t>
      </w:r>
      <w:r>
        <w:rPr>
          <w:rFonts w:hint="eastAsia" w:ascii="仿宋" w:hAnsi="仿宋" w:eastAsia="仿宋" w:cs="仿宋"/>
          <w:kern w:val="0"/>
          <w:sz w:val="32"/>
          <w:szCs w:val="32"/>
          <w:lang w:eastAsia="zh-CN"/>
        </w:rPr>
        <w:t>，有效保证辖区道路不出重大事故，解决城区道路重大拥堵，积极推进“科技强警”，实现一流业绩、一流队伍的目标</w:t>
      </w:r>
      <w:r>
        <w:rPr>
          <w:rFonts w:hint="eastAsia" w:ascii="仿宋" w:hAnsi="仿宋" w:eastAsia="仿宋" w:cs="仿宋"/>
          <w:kern w:val="0"/>
          <w:sz w:val="32"/>
          <w:szCs w:val="32"/>
        </w:rPr>
        <w:t>。重点项目能够按时间推进，按项目进度推进，基本上能够做到在年初预算的基础上所有的重点项目能够按照预算实施</w:t>
      </w:r>
      <w:r>
        <w:rPr>
          <w:rFonts w:hint="eastAsia" w:ascii="仿宋" w:hAnsi="仿宋" w:eastAsia="仿宋" w:cs="仿宋"/>
          <w:kern w:val="0"/>
          <w:sz w:val="32"/>
          <w:szCs w:val="32"/>
          <w:lang w:eastAsia="zh-CN"/>
        </w:rPr>
        <w:t>，较好地完成市委市政府和上级主管部门交办的各项工作任务。</w:t>
      </w:r>
    </w:p>
    <w:p w14:paraId="4500077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（二）存在问题。</w:t>
      </w:r>
    </w:p>
    <w:p w14:paraId="7DF88F1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highlight w:val="none"/>
          <w:shd w:val="clear" w:color="auto" w:fill="FFFFFF"/>
          <w:lang w:val="en-US"/>
        </w:rPr>
      </w:pPr>
      <w:r>
        <w:rPr>
          <w:rFonts w:hint="eastAsia" w:ascii="仿宋" w:hAnsi="仿宋" w:eastAsia="仿宋" w:cs="仿宋"/>
          <w:kern w:val="0"/>
          <w:sz w:val="32"/>
          <w:szCs w:val="32"/>
          <w:lang w:eastAsia="zh-CN"/>
        </w:rPr>
        <w:t>通过本次对部门整体支出绩效评价和项目的绩效评价，发现其中也存在不足：</w:t>
      </w:r>
      <w:r>
        <w:rPr>
          <w:rFonts w:hint="eastAsia" w:ascii="仿宋" w:hAnsi="仿宋" w:eastAsia="仿宋" w:cs="仿宋"/>
          <w:kern w:val="0"/>
          <w:sz w:val="32"/>
          <w:szCs w:val="32"/>
          <w:lang w:val="en-US" w:eastAsia="zh-CN"/>
        </w:rPr>
        <w:t>1.部分项目部分指标设置还存在不合理，部分指标设置不便于项目完成后评价指标完成情况；2.部分项目推进情况滞后，受到部门资金支付影响。市交警支队财政拨款资金由年初预算资金和年中预算调剂资金两部分组成，年初预算资金主要是在职民警的人员经费，这部分经费由市财政局预算批复，具有较强预算约束力，能够按时间进度实施；年中预算调剂资金主要用于解决部门日常办公费用及项目经费，这部分资金受到部门行政事业性收费收入的影响，导致部门项目经费由于资金缺口部分项目推进不力。</w:t>
      </w:r>
    </w:p>
    <w:p w14:paraId="646E7C7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（三）改进建议。</w:t>
      </w:r>
    </w:p>
    <w:p w14:paraId="04ADEA13">
      <w:pPr>
        <w:pStyle w:val="14"/>
        <w:numPr>
          <w:ilvl w:val="0"/>
          <w:numId w:val="0"/>
        </w:numPr>
        <w:ind w:firstLine="640" w:firstLineChars="200"/>
        <w:rPr>
          <w:rFonts w:hint="default" w:eastAsia="仿宋_GB2312"/>
          <w:lang w:val="en-US" w:eastAsia="zh-CN"/>
        </w:rPr>
      </w:pPr>
      <w:r>
        <w:rPr>
          <w:rFonts w:hint="eastAsia" w:ascii="仿宋" w:hAnsi="仿宋" w:eastAsia="仿宋" w:cs="仿宋"/>
          <w:sz w:val="32"/>
          <w:szCs w:val="32"/>
          <w:lang w:val="zh-CN"/>
        </w:rPr>
        <w:t>通过对部门整体支出绩效评价和项目的绩效评价，找出了其中存在的问题，提出了改进办法：</w:t>
      </w:r>
      <w:r>
        <w:rPr>
          <w:rFonts w:hint="eastAsia" w:ascii="仿宋" w:hAnsi="仿宋" w:eastAsia="仿宋" w:cs="仿宋"/>
          <w:sz w:val="32"/>
          <w:szCs w:val="32"/>
          <w:lang w:val="en-US" w:eastAsia="zh-CN"/>
        </w:rPr>
        <w:t>1.项目目标和各项指标的设置，尽量用便于考核的指标来设置，同时能够清晰反映整个项目的状况；2建议将整个部门资金纳入年度预算，使部门各项资金的财政拨款和支付受到刚性约束，能够对项目的实施提供有力的资金支撑。</w:t>
      </w:r>
    </w:p>
    <w:p w14:paraId="21DFC3A0">
      <w:pPr>
        <w:keepNext w:val="0"/>
        <w:keepLines w:val="0"/>
        <w:pageBreakBefore w:val="0"/>
        <w:kinsoku/>
        <w:wordWrap/>
        <w:overflowPunct/>
        <w:topLinePunct w:val="0"/>
        <w:autoSpaceDE/>
        <w:autoSpaceDN/>
        <w:bidi w:val="0"/>
        <w:spacing w:line="560" w:lineRule="exact"/>
        <w:ind w:firstLine="320" w:firstLineChars="1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附表：部门预算项目支出绩效自评表（2022年度）</w:t>
      </w:r>
    </w:p>
    <w:p w14:paraId="68140BD2">
      <w:pPr>
        <w:spacing w:line="600" w:lineRule="exact"/>
        <w:jc w:val="both"/>
        <w:outlineLvl w:val="0"/>
        <w:rPr>
          <w:rFonts w:hint="eastAsia" w:ascii="黑体" w:hAnsi="黑体" w:eastAsia="黑体"/>
          <w:color w:val="000000"/>
          <w:sz w:val="30"/>
          <w:szCs w:val="30"/>
          <w:lang w:val="en-US" w:eastAsia="zh-CN"/>
        </w:rPr>
      </w:pPr>
      <w:r>
        <w:rPr>
          <w:rFonts w:hint="eastAsia" w:ascii="黑体" w:hAnsi="黑体" w:eastAsia="黑体"/>
          <w:color w:val="000000"/>
          <w:sz w:val="30"/>
          <w:szCs w:val="30"/>
          <w:lang w:eastAsia="zh-CN"/>
        </w:rPr>
        <w:t>附件</w:t>
      </w:r>
      <w:r>
        <w:rPr>
          <w:rFonts w:hint="eastAsia" w:ascii="黑体" w:hAnsi="黑体" w:eastAsia="黑体"/>
          <w:color w:val="000000"/>
          <w:sz w:val="30"/>
          <w:szCs w:val="30"/>
          <w:lang w:val="en-US" w:eastAsia="zh-CN"/>
        </w:rPr>
        <w:t>2</w:t>
      </w:r>
    </w:p>
    <w:p w14:paraId="719B441D">
      <w:pPr>
        <w:pStyle w:val="32"/>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广安市公安局交通警察支队</w:t>
      </w:r>
    </w:p>
    <w:p w14:paraId="2BE1482C">
      <w:pPr>
        <w:pStyle w:val="32"/>
        <w:keepNext w:val="0"/>
        <w:keepLines w:val="0"/>
        <w:pageBreakBefore w:val="0"/>
        <w:widowControl w:val="0"/>
        <w:kinsoku/>
        <w:wordWrap/>
        <w:overflowPunct/>
        <w:topLinePunct w:val="0"/>
        <w:autoSpaceDE/>
        <w:autoSpaceDN/>
        <w:bidi w:val="0"/>
        <w:spacing w:line="578" w:lineRule="exact"/>
        <w:jc w:val="center"/>
        <w:textAlignment w:val="auto"/>
        <w:rPr>
          <w:rFonts w:ascii="宋体" w:hAnsi="宋体"/>
          <w:color w:val="auto"/>
          <w:kern w:val="2"/>
          <w:sz w:val="32"/>
          <w:szCs w:val="32"/>
          <w:highlight w:val="none"/>
        </w:rPr>
      </w:pPr>
      <w:r>
        <w:rPr>
          <w:rFonts w:hint="eastAsia" w:ascii="方正小标宋简体" w:hAnsi="方正小标宋简体" w:eastAsia="方正小标宋简体" w:cs="方正小标宋简体"/>
          <w:color w:val="auto"/>
          <w:kern w:val="2"/>
          <w:sz w:val="44"/>
          <w:szCs w:val="44"/>
          <w:highlight w:val="none"/>
          <w:lang w:val="en-US" w:eastAsia="zh-CN"/>
        </w:rPr>
        <w:t>“物业管理服务”预算项目绩效自评报告</w:t>
      </w:r>
    </w:p>
    <w:p w14:paraId="4FDE480D">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zh-CN"/>
        </w:rPr>
        <w:t>项目概况</w:t>
      </w:r>
    </w:p>
    <w:p w14:paraId="196F1EA0">
      <w:pPr>
        <w:keepNext w:val="0"/>
        <w:keepLines w:val="0"/>
        <w:pageBreakBefore w:val="0"/>
        <w:tabs>
          <w:tab w:val="center" w:pos="4153"/>
        </w:tabs>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（一）项目基本情况。</w:t>
      </w:r>
      <w:r>
        <w:rPr>
          <w:rFonts w:hint="eastAsia" w:ascii="仿宋" w:hAnsi="仿宋" w:eastAsia="仿宋" w:cs="仿宋"/>
          <w:b/>
          <w:color w:val="auto"/>
          <w:sz w:val="32"/>
          <w:szCs w:val="32"/>
          <w:highlight w:val="none"/>
          <w:u w:val="none"/>
          <w:lang w:val="zh-CN"/>
        </w:rPr>
        <w:tab/>
      </w:r>
    </w:p>
    <w:p w14:paraId="55D5242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1．项目主管部门为广安市公安局交通警察支队，主要职能是对项目进行前期调查、收集整理相关资料，编制采购需求和进行采购需求论证；制定项目执行和控制计划；跟踪和分析成本；项目运行的控制；组织进行绩效评价，用以指导单位项目的开展。</w:t>
      </w:r>
    </w:p>
    <w:p w14:paraId="276BCC0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2．项目立项、资金申报的依据：根据支队机关、车管所及直属一、二、三大队近三年来物业管理服务费用支出情况，每年约</w:t>
      </w:r>
      <w:r>
        <w:rPr>
          <w:rFonts w:hint="eastAsia" w:ascii="仿宋" w:hAnsi="仿宋" w:eastAsia="仿宋" w:cs="仿宋"/>
          <w:color w:val="auto"/>
          <w:kern w:val="0"/>
          <w:sz w:val="32"/>
          <w:szCs w:val="32"/>
          <w:highlight w:val="none"/>
          <w:u w:val="none"/>
          <w:shd w:val="clear" w:color="auto" w:fill="FFFFFF"/>
          <w:lang w:val="en-US" w:eastAsia="zh-CN"/>
        </w:rPr>
        <w:t>110万元。按照政府采购法相关规定，为保证</w:t>
      </w:r>
      <w:r>
        <w:rPr>
          <w:rFonts w:hint="eastAsia" w:ascii="仿宋" w:hAnsi="仿宋" w:eastAsia="仿宋" w:cs="仿宋"/>
          <w:color w:val="auto"/>
          <w:kern w:val="0"/>
          <w:sz w:val="32"/>
          <w:szCs w:val="32"/>
          <w:highlight w:val="none"/>
          <w:u w:val="none"/>
          <w:shd w:val="clear" w:color="auto" w:fill="FFFFFF"/>
          <w:lang w:val="zh-CN"/>
        </w:rPr>
        <w:t>支队机关、车管所及直属一、二、三大队</w:t>
      </w:r>
      <w:r>
        <w:rPr>
          <w:rFonts w:hint="eastAsia" w:ascii="仿宋" w:hAnsi="仿宋" w:eastAsia="仿宋" w:cs="仿宋"/>
          <w:color w:val="auto"/>
          <w:kern w:val="0"/>
          <w:sz w:val="32"/>
          <w:szCs w:val="32"/>
          <w:highlight w:val="none"/>
          <w:u w:val="none"/>
          <w:shd w:val="clear" w:color="auto" w:fill="FFFFFF"/>
          <w:lang w:val="en-US" w:eastAsia="zh-CN"/>
        </w:rPr>
        <w:t>办公区域清洁卫生，设施设备运行正常，秩序良好，经支队党总支委会研究决定，实施该项目。所需经费在支队公用经费中解决。附相关文件资料</w:t>
      </w:r>
      <w:r>
        <w:rPr>
          <w:rFonts w:hint="eastAsia" w:ascii="仿宋" w:hAnsi="仿宋" w:eastAsia="仿宋" w:cs="仿宋"/>
          <w:b/>
          <w:bCs/>
          <w:color w:val="auto"/>
          <w:kern w:val="0"/>
          <w:sz w:val="32"/>
          <w:szCs w:val="32"/>
          <w:highlight w:val="none"/>
          <w:u w:val="none"/>
          <w:shd w:val="clear" w:color="auto" w:fill="FFFFFF"/>
          <w:lang w:val="zh-CN"/>
        </w:rPr>
        <w:t>（需求论证报告、支队党总支委会研究记录）</w:t>
      </w:r>
      <w:r>
        <w:rPr>
          <w:rFonts w:hint="eastAsia" w:ascii="仿宋" w:hAnsi="仿宋" w:eastAsia="仿宋" w:cs="仿宋"/>
          <w:color w:val="auto"/>
          <w:kern w:val="0"/>
          <w:sz w:val="32"/>
          <w:szCs w:val="32"/>
          <w:highlight w:val="none"/>
          <w:u w:val="none"/>
          <w:shd w:val="clear" w:color="auto" w:fill="FFFFFF"/>
          <w:lang w:val="zh-CN"/>
        </w:rPr>
        <w:t>。</w:t>
      </w:r>
    </w:p>
    <w:p w14:paraId="6CCE824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3．资金</w:t>
      </w:r>
      <w:r>
        <w:rPr>
          <w:rFonts w:hint="eastAsia" w:ascii="仿宋" w:hAnsi="仿宋" w:eastAsia="仿宋" w:cs="仿宋"/>
          <w:color w:val="auto"/>
          <w:kern w:val="0"/>
          <w:sz w:val="32"/>
          <w:szCs w:val="32"/>
          <w:highlight w:val="none"/>
          <w:u w:val="none"/>
          <w:shd w:val="clear" w:color="auto" w:fill="FFFFFF"/>
          <w:lang w:val="en-US" w:eastAsia="zh-CN"/>
        </w:rPr>
        <w:t>或项目</w:t>
      </w:r>
      <w:r>
        <w:rPr>
          <w:rFonts w:hint="eastAsia" w:ascii="仿宋" w:hAnsi="仿宋" w:eastAsia="仿宋" w:cs="仿宋"/>
          <w:color w:val="auto"/>
          <w:kern w:val="0"/>
          <w:sz w:val="32"/>
          <w:szCs w:val="32"/>
          <w:highlight w:val="none"/>
          <w:u w:val="none"/>
          <w:shd w:val="clear" w:color="auto" w:fill="FFFFFF"/>
          <w:lang w:val="zh-CN"/>
        </w:rPr>
        <w:t>管理办法制定情况，资金支持具体项目的条件、范围与支持方式概况。</w:t>
      </w:r>
    </w:p>
    <w:p w14:paraId="67FF156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b/>
          <w:bCs/>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按照年初预算，资金主要用于支队机关、车管所及直属一、二、三大队的物业管理服务工作，在支队公用经费中列支，已报广安市财政局落实了经费。按照合同约定支付资金。附</w:t>
      </w:r>
      <w:r>
        <w:rPr>
          <w:rFonts w:hint="eastAsia" w:ascii="仿宋" w:hAnsi="仿宋" w:eastAsia="仿宋" w:cs="仿宋"/>
          <w:b/>
          <w:bCs/>
          <w:color w:val="auto"/>
          <w:kern w:val="0"/>
          <w:sz w:val="32"/>
          <w:szCs w:val="32"/>
          <w:highlight w:val="none"/>
          <w:u w:val="none"/>
          <w:shd w:val="clear" w:color="auto" w:fill="FFFFFF"/>
          <w:lang w:val="zh-CN"/>
        </w:rPr>
        <w:t>采购合同</w:t>
      </w:r>
      <w:r>
        <w:rPr>
          <w:rFonts w:hint="eastAsia" w:ascii="仿宋" w:hAnsi="仿宋" w:eastAsia="仿宋" w:cs="仿宋"/>
          <w:color w:val="auto"/>
          <w:kern w:val="0"/>
          <w:sz w:val="32"/>
          <w:szCs w:val="32"/>
          <w:highlight w:val="none"/>
          <w:u w:val="none"/>
          <w:shd w:val="clear" w:color="auto" w:fill="FFFFFF"/>
          <w:lang w:val="en-US" w:eastAsia="zh-CN"/>
        </w:rPr>
        <w:t>。</w:t>
      </w:r>
    </w:p>
    <w:p w14:paraId="4AEC3753">
      <w:pPr>
        <w:keepNext w:val="0"/>
        <w:keepLines w:val="0"/>
        <w:pageBreakBefore w:val="0"/>
        <w:widowControl/>
        <w:numPr>
          <w:ilvl w:val="0"/>
          <w:numId w:val="9"/>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资金分配的原则及考虑因素。</w:t>
      </w:r>
    </w:p>
    <w:p w14:paraId="5DD0CC18">
      <w:pPr>
        <w:pStyle w:val="2"/>
        <w:numPr>
          <w:ilvl w:val="0"/>
          <w:numId w:val="0"/>
        </w:numPr>
        <w:tabs>
          <w:tab w:val="left" w:pos="3320"/>
        </w:tabs>
        <w:ind w:firstLine="704" w:firstLineChars="220"/>
        <w:rPr>
          <w:rFonts w:hint="eastAsia" w:ascii="仿宋" w:hAnsi="仿宋" w:eastAsia="仿宋" w:cs="仿宋"/>
          <w:b w:val="0"/>
          <w:bCs/>
          <w:color w:val="auto"/>
          <w:kern w:val="0"/>
          <w:sz w:val="32"/>
          <w:szCs w:val="32"/>
          <w:highlight w:val="none"/>
          <w:u w:val="none"/>
          <w:shd w:val="clear" w:color="auto" w:fill="FFFFFF"/>
          <w:lang w:val="zh-CN"/>
        </w:rPr>
      </w:pPr>
      <w:r>
        <w:rPr>
          <w:rFonts w:hint="eastAsia" w:ascii="仿宋" w:hAnsi="仿宋" w:eastAsia="仿宋" w:cs="仿宋"/>
          <w:b w:val="0"/>
          <w:bCs/>
          <w:sz w:val="32"/>
          <w:szCs w:val="32"/>
          <w:lang w:val="en-US" w:eastAsia="zh-CN"/>
        </w:rPr>
        <w:t>在市财政局拨付的公用经费中，依据合同约定按月支付</w:t>
      </w:r>
      <w:r>
        <w:rPr>
          <w:rFonts w:hint="eastAsia" w:ascii="仿宋" w:hAnsi="仿宋" w:eastAsia="仿宋" w:cs="仿宋"/>
          <w:b w:val="0"/>
          <w:bCs/>
          <w:color w:val="auto"/>
          <w:kern w:val="0"/>
          <w:sz w:val="32"/>
          <w:szCs w:val="32"/>
          <w:highlight w:val="none"/>
          <w:u w:val="none"/>
          <w:shd w:val="clear" w:color="auto" w:fill="FFFFFF"/>
          <w:lang w:val="zh-CN"/>
        </w:rPr>
        <w:t>支队机关、车管所及直属一、二、三大队的物业管理服务费。通过考核，该扣减的费用按照合同约定执行。</w:t>
      </w:r>
    </w:p>
    <w:p w14:paraId="1699DBFE">
      <w:pPr>
        <w:pStyle w:val="2"/>
        <w:numPr>
          <w:ilvl w:val="0"/>
          <w:numId w:val="0"/>
        </w:numPr>
        <w:tabs>
          <w:tab w:val="left" w:pos="3320"/>
        </w:tabs>
        <w:ind w:firstLine="386" w:firstLineChars="0"/>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（二）项目绩效目标。</w:t>
      </w:r>
    </w:p>
    <w:p w14:paraId="5054BB4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1．项目主要内容。</w:t>
      </w:r>
    </w:p>
    <w:p w14:paraId="26E1A5A4">
      <w:pPr>
        <w:spacing w:line="360" w:lineRule="auto"/>
        <w:ind w:firstLine="800" w:firstLineChars="25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广安市公安局交通警察支队物业</w:t>
      </w:r>
      <w:r>
        <w:rPr>
          <w:rFonts w:hint="eastAsia" w:ascii="仿宋" w:hAnsi="仿宋" w:eastAsia="仿宋" w:cs="仿宋"/>
          <w:color w:val="000000" w:themeColor="text1"/>
          <w:sz w:val="32"/>
          <w:szCs w:val="32"/>
          <w:lang w:eastAsia="zh-CN"/>
        </w:rPr>
        <w:t>管理</w:t>
      </w:r>
      <w:r>
        <w:rPr>
          <w:rFonts w:hint="eastAsia" w:ascii="仿宋" w:hAnsi="仿宋" w:eastAsia="仿宋" w:cs="仿宋"/>
          <w:color w:val="000000" w:themeColor="text1"/>
          <w:sz w:val="32"/>
          <w:szCs w:val="32"/>
        </w:rPr>
        <w:t>服务包括支队机关</w:t>
      </w:r>
      <w:r>
        <w:rPr>
          <w:rFonts w:hint="eastAsia" w:ascii="仿宋" w:hAnsi="仿宋" w:eastAsia="仿宋" w:cs="仿宋"/>
          <w:color w:val="000000" w:themeColor="text1"/>
          <w:sz w:val="32"/>
          <w:szCs w:val="32"/>
          <w:lang w:eastAsia="zh-CN"/>
        </w:rPr>
        <w:t>及车管所办公场所和其他</w:t>
      </w:r>
      <w:r>
        <w:rPr>
          <w:rFonts w:hint="eastAsia" w:ascii="仿宋" w:hAnsi="仿宋" w:eastAsia="仿宋" w:cs="仿宋"/>
          <w:color w:val="000000" w:themeColor="text1"/>
          <w:sz w:val="32"/>
          <w:szCs w:val="32"/>
        </w:rPr>
        <w:t>公</w:t>
      </w:r>
      <w:r>
        <w:rPr>
          <w:rFonts w:hint="eastAsia" w:ascii="仿宋" w:hAnsi="仿宋" w:eastAsia="仿宋" w:cs="仿宋"/>
          <w:color w:val="000000" w:themeColor="text1"/>
          <w:sz w:val="32"/>
          <w:szCs w:val="32"/>
          <w:lang w:eastAsia="zh-CN"/>
        </w:rPr>
        <w:t>用</w:t>
      </w:r>
      <w:r>
        <w:rPr>
          <w:rFonts w:hint="eastAsia" w:ascii="仿宋" w:hAnsi="仿宋" w:eastAsia="仿宋" w:cs="仿宋"/>
          <w:color w:val="000000" w:themeColor="text1"/>
          <w:sz w:val="32"/>
          <w:szCs w:val="32"/>
        </w:rPr>
        <w:t>区域服务面积17846平方米</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交警一大队</w:t>
      </w:r>
      <w:r>
        <w:rPr>
          <w:rFonts w:hint="eastAsia" w:ascii="仿宋" w:hAnsi="仿宋" w:eastAsia="仿宋" w:cs="仿宋"/>
          <w:color w:val="000000" w:themeColor="text1"/>
          <w:sz w:val="32"/>
          <w:szCs w:val="32"/>
          <w:lang w:eastAsia="zh-CN"/>
        </w:rPr>
        <w:t>办公场所和其他</w:t>
      </w:r>
      <w:r>
        <w:rPr>
          <w:rFonts w:hint="eastAsia" w:ascii="仿宋" w:hAnsi="仿宋" w:eastAsia="仿宋" w:cs="仿宋"/>
          <w:color w:val="000000" w:themeColor="text1"/>
          <w:sz w:val="32"/>
          <w:szCs w:val="32"/>
        </w:rPr>
        <w:t>公</w:t>
      </w:r>
      <w:r>
        <w:rPr>
          <w:rFonts w:hint="eastAsia" w:ascii="仿宋" w:hAnsi="仿宋" w:eastAsia="仿宋" w:cs="仿宋"/>
          <w:color w:val="000000" w:themeColor="text1"/>
          <w:sz w:val="32"/>
          <w:szCs w:val="32"/>
          <w:lang w:eastAsia="zh-CN"/>
        </w:rPr>
        <w:t>用</w:t>
      </w:r>
      <w:r>
        <w:rPr>
          <w:rFonts w:hint="eastAsia" w:ascii="仿宋" w:hAnsi="仿宋" w:eastAsia="仿宋" w:cs="仿宋"/>
          <w:color w:val="000000" w:themeColor="text1"/>
          <w:sz w:val="32"/>
          <w:szCs w:val="32"/>
        </w:rPr>
        <w:t>区域服务面积2500平方米</w:t>
      </w:r>
      <w:r>
        <w:rPr>
          <w:rFonts w:hint="eastAsia" w:ascii="仿宋" w:hAnsi="仿宋" w:eastAsia="仿宋" w:cs="仿宋"/>
          <w:color w:val="000000" w:themeColor="text1"/>
          <w:sz w:val="32"/>
          <w:szCs w:val="32"/>
          <w:lang w:eastAsia="zh-CN"/>
        </w:rPr>
        <w:t>亟待启用办公用房</w:t>
      </w:r>
      <w:r>
        <w:rPr>
          <w:rFonts w:hint="eastAsia" w:ascii="仿宋" w:hAnsi="仿宋" w:eastAsia="仿宋" w:cs="仿宋"/>
          <w:color w:val="000000" w:themeColor="text1"/>
          <w:sz w:val="32"/>
          <w:szCs w:val="32"/>
        </w:rPr>
        <w:t>、交警二大队</w:t>
      </w:r>
      <w:r>
        <w:rPr>
          <w:rFonts w:hint="eastAsia" w:ascii="仿宋" w:hAnsi="仿宋" w:eastAsia="仿宋" w:cs="仿宋"/>
          <w:color w:val="000000" w:themeColor="text1"/>
          <w:sz w:val="32"/>
          <w:szCs w:val="32"/>
          <w:lang w:eastAsia="zh-CN"/>
        </w:rPr>
        <w:t>办公场所和其他</w:t>
      </w:r>
      <w:r>
        <w:rPr>
          <w:rFonts w:hint="eastAsia" w:ascii="仿宋" w:hAnsi="仿宋" w:eastAsia="仿宋" w:cs="仿宋"/>
          <w:color w:val="000000" w:themeColor="text1"/>
          <w:sz w:val="32"/>
          <w:szCs w:val="32"/>
        </w:rPr>
        <w:t>公</w:t>
      </w:r>
      <w:r>
        <w:rPr>
          <w:rFonts w:hint="eastAsia" w:ascii="仿宋" w:hAnsi="仿宋" w:eastAsia="仿宋" w:cs="仿宋"/>
          <w:color w:val="000000" w:themeColor="text1"/>
          <w:sz w:val="32"/>
          <w:szCs w:val="32"/>
          <w:lang w:eastAsia="zh-CN"/>
        </w:rPr>
        <w:t>用</w:t>
      </w:r>
      <w:r>
        <w:rPr>
          <w:rFonts w:hint="eastAsia" w:ascii="仿宋" w:hAnsi="仿宋" w:eastAsia="仿宋" w:cs="仿宋"/>
          <w:color w:val="000000" w:themeColor="text1"/>
          <w:sz w:val="32"/>
          <w:szCs w:val="32"/>
        </w:rPr>
        <w:t>区域服</w:t>
      </w:r>
      <w:r>
        <w:rPr>
          <w:rFonts w:hint="eastAsia" w:ascii="仿宋" w:hAnsi="仿宋" w:eastAsia="仿宋" w:cs="仿宋"/>
          <w:b w:val="0"/>
          <w:bCs w:val="0"/>
          <w:color w:val="000000" w:themeColor="text1"/>
          <w:sz w:val="32"/>
          <w:szCs w:val="32"/>
        </w:rPr>
        <w:t>务面积6488平方米、交警三大队</w:t>
      </w:r>
      <w:r>
        <w:rPr>
          <w:rFonts w:hint="eastAsia" w:ascii="仿宋" w:hAnsi="仿宋" w:eastAsia="仿宋" w:cs="仿宋"/>
          <w:b w:val="0"/>
          <w:bCs w:val="0"/>
          <w:color w:val="000000" w:themeColor="text1"/>
          <w:sz w:val="32"/>
          <w:szCs w:val="32"/>
          <w:lang w:eastAsia="zh-CN"/>
        </w:rPr>
        <w:t>办公场所和其他</w:t>
      </w:r>
      <w:r>
        <w:rPr>
          <w:rFonts w:hint="eastAsia" w:ascii="仿宋" w:hAnsi="仿宋" w:eastAsia="仿宋" w:cs="仿宋"/>
          <w:b w:val="0"/>
          <w:bCs w:val="0"/>
          <w:color w:val="000000" w:themeColor="text1"/>
          <w:sz w:val="32"/>
          <w:szCs w:val="32"/>
        </w:rPr>
        <w:t>公</w:t>
      </w:r>
      <w:r>
        <w:rPr>
          <w:rFonts w:hint="eastAsia" w:ascii="仿宋" w:hAnsi="仿宋" w:eastAsia="仿宋" w:cs="仿宋"/>
          <w:b w:val="0"/>
          <w:bCs w:val="0"/>
          <w:color w:val="000000" w:themeColor="text1"/>
          <w:sz w:val="32"/>
          <w:szCs w:val="32"/>
          <w:lang w:eastAsia="zh-CN"/>
        </w:rPr>
        <w:t>用</w:t>
      </w:r>
      <w:r>
        <w:rPr>
          <w:rFonts w:hint="eastAsia" w:ascii="仿宋" w:hAnsi="仿宋" w:eastAsia="仿宋" w:cs="仿宋"/>
          <w:b w:val="0"/>
          <w:bCs w:val="0"/>
          <w:color w:val="000000" w:themeColor="text1"/>
          <w:sz w:val="32"/>
          <w:szCs w:val="32"/>
        </w:rPr>
        <w:t>区域</w:t>
      </w:r>
      <w:r>
        <w:rPr>
          <w:rFonts w:hint="eastAsia" w:ascii="仿宋" w:hAnsi="仿宋" w:eastAsia="仿宋" w:cs="仿宋"/>
          <w:color w:val="000000" w:themeColor="text1"/>
          <w:sz w:val="32"/>
          <w:szCs w:val="32"/>
        </w:rPr>
        <w:t>服务面积1650平方米</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合计总面积28484平方米</w:t>
      </w:r>
      <w:r>
        <w:rPr>
          <w:rFonts w:hint="eastAsia" w:ascii="仿宋" w:hAnsi="仿宋" w:eastAsia="仿宋" w:cs="仿宋"/>
          <w:color w:val="000000" w:themeColor="text1"/>
          <w:sz w:val="32"/>
          <w:szCs w:val="32"/>
          <w:lang w:eastAsia="zh-CN"/>
        </w:rPr>
        <w:t>（以实际使用面积为准）。</w:t>
      </w:r>
    </w:p>
    <w:p w14:paraId="5DC1B9CC">
      <w:pPr>
        <w:spacing w:line="360" w:lineRule="auto"/>
        <w:ind w:firstLine="800" w:firstLineChars="250"/>
        <w:rPr>
          <w:rFonts w:hint="eastAsia" w:ascii="仿宋" w:hAnsi="仿宋" w:eastAsia="仿宋" w:cs="仿宋"/>
          <w:b w:val="0"/>
          <w:bCs w:val="0"/>
          <w:color w:val="000000" w:themeColor="text1"/>
          <w:sz w:val="32"/>
          <w:szCs w:val="32"/>
        </w:rPr>
      </w:pP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val="en-US" w:eastAsia="zh-CN"/>
        </w:rPr>
        <w:t>1）</w:t>
      </w:r>
      <w:r>
        <w:rPr>
          <w:rFonts w:hint="eastAsia" w:ascii="仿宋" w:hAnsi="仿宋" w:eastAsia="仿宋" w:cs="仿宋"/>
          <w:b w:val="0"/>
          <w:bCs w:val="0"/>
          <w:color w:val="000000" w:themeColor="text1"/>
          <w:sz w:val="32"/>
          <w:szCs w:val="32"/>
        </w:rPr>
        <w:t>物业服务人员最低保证21人</w:t>
      </w:r>
      <w:bookmarkStart w:id="71" w:name="_GoBack"/>
      <w:bookmarkEnd w:id="71"/>
      <w:r>
        <w:rPr>
          <w:rFonts w:hint="eastAsia" w:ascii="仿宋" w:hAnsi="仿宋" w:eastAsia="仿宋" w:cs="仿宋"/>
          <w:b w:val="0"/>
          <w:bCs w:val="0"/>
          <w:color w:val="000000" w:themeColor="text1"/>
          <w:sz w:val="32"/>
          <w:szCs w:val="32"/>
        </w:rPr>
        <w:t>其中</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物业管理员至少1人、保洁员至少17人（含绿化人员）、水电综合维修工至少3人。</w:t>
      </w:r>
    </w:p>
    <w:p w14:paraId="47C12F1B">
      <w:pPr>
        <w:numPr>
          <w:ilvl w:val="0"/>
          <w:numId w:val="0"/>
        </w:numPr>
        <w:spacing w:line="360" w:lineRule="auto"/>
        <w:ind w:firstLine="640" w:firstLineChars="200"/>
        <w:rPr>
          <w:rFonts w:hint="eastAsia" w:ascii="仿宋" w:hAnsi="仿宋" w:eastAsia="仿宋" w:cs="仿宋"/>
          <w:sz w:val="32"/>
          <w:szCs w:val="32"/>
          <w:lang w:val="zh-CN" w:eastAsia="zh-CN"/>
        </w:rPr>
      </w:pP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lang w:val="en-US" w:eastAsia="zh-CN"/>
        </w:rPr>
        <w:t>2）</w:t>
      </w:r>
      <w:r>
        <w:rPr>
          <w:rFonts w:hint="eastAsia" w:ascii="仿宋" w:hAnsi="仿宋" w:eastAsia="仿宋" w:cs="仿宋"/>
          <w:b w:val="0"/>
          <w:bCs w:val="0"/>
          <w:color w:val="000000" w:themeColor="text1"/>
          <w:sz w:val="32"/>
          <w:szCs w:val="32"/>
        </w:rPr>
        <w:t>服务范围</w:t>
      </w:r>
      <w:r>
        <w:rPr>
          <w:rFonts w:hint="eastAsia" w:ascii="仿宋" w:hAnsi="仿宋" w:eastAsia="仿宋" w:cs="仿宋"/>
          <w:b w:val="0"/>
          <w:bCs w:val="0"/>
          <w:color w:val="000000" w:themeColor="text1"/>
          <w:sz w:val="32"/>
          <w:szCs w:val="32"/>
          <w:lang w:val="en-US" w:eastAsia="zh-CN"/>
        </w:rPr>
        <w:t xml:space="preserve">  </w:t>
      </w:r>
      <w:r>
        <w:rPr>
          <w:rFonts w:hint="eastAsia" w:ascii="仿宋" w:hAnsi="仿宋" w:eastAsia="仿宋" w:cs="仿宋"/>
          <w:b w:val="0"/>
          <w:bCs w:val="0"/>
          <w:color w:val="000000" w:themeColor="text1"/>
          <w:sz w:val="32"/>
          <w:szCs w:val="32"/>
        </w:rPr>
        <w:t>1、清洁卫生：包括支队机关、车管所、一大队、二大队、三大队所辖区域办公楼会议室、过道、厕所、楼梯、院坝等公共区域清洁</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公共区域玻璃、不锈钢栏杆等其他设施</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负责办公区灭鼠</w:t>
      </w:r>
      <w:r>
        <w:rPr>
          <w:rFonts w:hint="eastAsia" w:ascii="仿宋" w:hAnsi="仿宋" w:eastAsia="仿宋" w:cs="仿宋"/>
          <w:b w:val="0"/>
          <w:bCs w:val="0"/>
          <w:color w:val="000000" w:themeColor="text1"/>
          <w:sz w:val="32"/>
          <w:szCs w:val="32"/>
          <w:lang w:eastAsia="zh-CN"/>
        </w:rPr>
        <w:t>除害</w:t>
      </w:r>
      <w:r>
        <w:rPr>
          <w:rFonts w:hint="eastAsia" w:ascii="仿宋" w:hAnsi="仿宋" w:eastAsia="仿宋" w:cs="仿宋"/>
          <w:b w:val="0"/>
          <w:bCs w:val="0"/>
          <w:color w:val="000000" w:themeColor="text1"/>
          <w:sz w:val="32"/>
          <w:szCs w:val="32"/>
        </w:rPr>
        <w:t>及卫生消毒工作</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不含</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餐厅清洁、外墙一楼以上清洗、办公楼装修后的首次大扫除</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。2、水电维修：包括支队机关、车管所、一大队、二大队、三大队所辖区域办公大楼水电管线及设施设备的维修。3、绿化养护：包括支队机关、车管所、一大队、二大队、三大队所辖区域</w:t>
      </w:r>
      <w:r>
        <w:rPr>
          <w:rFonts w:hint="eastAsia" w:ascii="仿宋" w:hAnsi="仿宋" w:eastAsia="仿宋" w:cs="仿宋"/>
          <w:b w:val="0"/>
          <w:bCs w:val="0"/>
          <w:color w:val="000000" w:themeColor="text1"/>
          <w:sz w:val="32"/>
          <w:szCs w:val="32"/>
          <w:lang w:eastAsia="zh-CN"/>
        </w:rPr>
        <w:t>绿</w:t>
      </w:r>
      <w:r>
        <w:rPr>
          <w:rFonts w:hint="eastAsia" w:ascii="仿宋" w:hAnsi="仿宋" w:eastAsia="仿宋" w:cs="仿宋"/>
          <w:b w:val="0"/>
          <w:bCs w:val="0"/>
          <w:color w:val="000000" w:themeColor="text1"/>
          <w:sz w:val="32"/>
          <w:szCs w:val="32"/>
        </w:rPr>
        <w:t>化的浇水、修枝、</w:t>
      </w:r>
      <w:r>
        <w:rPr>
          <w:rFonts w:hint="eastAsia" w:ascii="仿宋" w:hAnsi="仿宋" w:eastAsia="仿宋" w:cs="仿宋"/>
          <w:b w:val="0"/>
          <w:bCs w:val="0"/>
          <w:color w:val="000000" w:themeColor="text1"/>
          <w:sz w:val="32"/>
          <w:szCs w:val="32"/>
          <w:lang w:eastAsia="zh-CN"/>
        </w:rPr>
        <w:t>整形</w:t>
      </w:r>
      <w:r>
        <w:rPr>
          <w:rFonts w:hint="eastAsia" w:ascii="仿宋" w:hAnsi="仿宋" w:eastAsia="仿宋" w:cs="仿宋"/>
          <w:b w:val="0"/>
          <w:bCs w:val="0"/>
          <w:color w:val="000000" w:themeColor="text1"/>
          <w:sz w:val="32"/>
          <w:szCs w:val="32"/>
        </w:rPr>
        <w:t>、除草、施肥、杀虫等</w:t>
      </w:r>
      <w:r>
        <w:rPr>
          <w:rFonts w:hint="eastAsia" w:ascii="仿宋" w:hAnsi="仿宋" w:eastAsia="仿宋" w:cs="仿宋"/>
          <w:b w:val="0"/>
          <w:bCs w:val="0"/>
          <w:color w:val="000000" w:themeColor="text1"/>
          <w:sz w:val="32"/>
          <w:szCs w:val="32"/>
          <w:lang w:eastAsia="zh-CN"/>
        </w:rPr>
        <w:t>。</w:t>
      </w:r>
    </w:p>
    <w:p w14:paraId="5A42197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2．项目应实现的具体绩效目标：</w:t>
      </w:r>
    </w:p>
    <w:p w14:paraId="44AA1D4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w:t>
      </w:r>
      <w:r>
        <w:rPr>
          <w:rFonts w:hint="eastAsia" w:ascii="仿宋" w:hAnsi="仿宋" w:eastAsia="仿宋" w:cs="仿宋"/>
          <w:color w:val="auto"/>
          <w:kern w:val="0"/>
          <w:sz w:val="32"/>
          <w:szCs w:val="32"/>
          <w:highlight w:val="none"/>
          <w:u w:val="none"/>
          <w:shd w:val="clear" w:color="auto" w:fill="FFFFFF"/>
          <w:lang w:val="en-US" w:eastAsia="zh-CN"/>
        </w:rPr>
        <w:t>1）本项目实现的具体绩效目标：保证</w:t>
      </w:r>
      <w:r>
        <w:rPr>
          <w:rFonts w:hint="eastAsia" w:ascii="仿宋" w:hAnsi="仿宋" w:eastAsia="仿宋" w:cs="仿宋"/>
          <w:color w:val="auto"/>
          <w:kern w:val="0"/>
          <w:sz w:val="32"/>
          <w:szCs w:val="32"/>
          <w:highlight w:val="none"/>
          <w:u w:val="none"/>
          <w:shd w:val="clear" w:color="auto" w:fill="FFFFFF"/>
          <w:lang w:val="zh-CN"/>
        </w:rPr>
        <w:t>支队机关、车管所及直属一、二、三大队</w:t>
      </w:r>
      <w:r>
        <w:rPr>
          <w:rFonts w:hint="eastAsia" w:ascii="仿宋" w:hAnsi="仿宋" w:eastAsia="仿宋" w:cs="仿宋"/>
          <w:color w:val="auto"/>
          <w:kern w:val="0"/>
          <w:sz w:val="32"/>
          <w:szCs w:val="32"/>
          <w:highlight w:val="none"/>
          <w:u w:val="none"/>
          <w:shd w:val="clear" w:color="auto" w:fill="FFFFFF"/>
          <w:lang w:val="en-US" w:eastAsia="zh-CN"/>
        </w:rPr>
        <w:t>办公区域清洁卫生，设施设备运行正常，秩序良好，为公安交管工作正常开展创造良好的工作环境。</w:t>
      </w:r>
    </w:p>
    <w:p w14:paraId="718144E8">
      <w:pPr>
        <w:keepNext w:val="0"/>
        <w:keepLines w:val="0"/>
        <w:pageBreakBefore w:val="0"/>
        <w:widowControl/>
        <w:numPr>
          <w:ilvl w:val="0"/>
          <w:numId w:val="0"/>
        </w:numPr>
        <w:tabs>
          <w:tab w:val="left" w:pos="5778"/>
        </w:tabs>
        <w:kinsoku/>
        <w:wordWrap/>
        <w:overflowPunct/>
        <w:topLinePunct w:val="0"/>
        <w:autoSpaceDE/>
        <w:autoSpaceDN/>
        <w:bidi w:val="0"/>
        <w:adjustRightInd w:val="0"/>
        <w:snapToGrid w:val="0"/>
        <w:spacing w:line="578" w:lineRule="exact"/>
        <w:ind w:left="400" w:leftChars="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（2）目标量化细化情况为：</w:t>
      </w:r>
    </w:p>
    <w:p w14:paraId="6C0FAE7C">
      <w:pPr>
        <w:numPr>
          <w:ilvl w:val="0"/>
          <w:numId w:val="0"/>
        </w:numPr>
        <w:spacing w:line="360" w:lineRule="auto"/>
        <w:ind w:left="400" w:leftChars="0"/>
        <w:rPr>
          <w:rFonts w:hint="eastAsia" w:ascii="仿宋" w:hAnsi="仿宋" w:eastAsia="仿宋" w:cs="仿宋"/>
          <w:sz w:val="32"/>
          <w:szCs w:val="32"/>
          <w:lang w:val="zh-CN"/>
        </w:rPr>
      </w:pPr>
      <w:r>
        <w:rPr>
          <w:rFonts w:hint="eastAsia" w:ascii="仿宋" w:hAnsi="仿宋" w:eastAsia="仿宋" w:cs="仿宋"/>
          <w:color w:val="auto"/>
          <w:kern w:val="0"/>
          <w:sz w:val="32"/>
          <w:szCs w:val="32"/>
          <w:highlight w:val="none"/>
          <w:u w:val="none"/>
          <w:shd w:val="clear" w:color="auto" w:fill="FFFFFF"/>
          <w:lang w:val="zh-CN" w:eastAsia="zh-CN"/>
        </w:rPr>
        <w:t>①数量指标：</w:t>
      </w:r>
      <w:r>
        <w:rPr>
          <w:rFonts w:hint="eastAsia" w:ascii="仿宋" w:hAnsi="仿宋" w:eastAsia="仿宋" w:cs="仿宋"/>
          <w:color w:val="000000" w:themeColor="text1"/>
          <w:sz w:val="32"/>
          <w:szCs w:val="32"/>
        </w:rPr>
        <w:t>支队机关</w:t>
      </w:r>
      <w:r>
        <w:rPr>
          <w:rFonts w:hint="eastAsia" w:ascii="仿宋" w:hAnsi="仿宋" w:eastAsia="仿宋" w:cs="仿宋"/>
          <w:color w:val="000000" w:themeColor="text1"/>
          <w:sz w:val="32"/>
          <w:szCs w:val="32"/>
          <w:lang w:eastAsia="zh-CN"/>
        </w:rPr>
        <w:t>及车管所办公场所和其他</w:t>
      </w:r>
      <w:r>
        <w:rPr>
          <w:rFonts w:hint="eastAsia" w:ascii="仿宋" w:hAnsi="仿宋" w:eastAsia="仿宋" w:cs="仿宋"/>
          <w:color w:val="000000" w:themeColor="text1"/>
          <w:sz w:val="32"/>
          <w:szCs w:val="32"/>
        </w:rPr>
        <w:t>公</w:t>
      </w:r>
      <w:r>
        <w:rPr>
          <w:rFonts w:hint="eastAsia" w:ascii="仿宋" w:hAnsi="仿宋" w:eastAsia="仿宋" w:cs="仿宋"/>
          <w:color w:val="000000" w:themeColor="text1"/>
          <w:sz w:val="32"/>
          <w:szCs w:val="32"/>
          <w:lang w:eastAsia="zh-CN"/>
        </w:rPr>
        <w:t>用</w:t>
      </w:r>
      <w:r>
        <w:rPr>
          <w:rFonts w:hint="eastAsia" w:ascii="仿宋" w:hAnsi="仿宋" w:eastAsia="仿宋" w:cs="仿宋"/>
          <w:color w:val="000000" w:themeColor="text1"/>
          <w:sz w:val="32"/>
          <w:szCs w:val="32"/>
        </w:rPr>
        <w:t>区域服务面积17846平方米</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交警一大队</w:t>
      </w:r>
      <w:r>
        <w:rPr>
          <w:rFonts w:hint="eastAsia" w:ascii="仿宋" w:hAnsi="仿宋" w:eastAsia="仿宋" w:cs="仿宋"/>
          <w:color w:val="000000" w:themeColor="text1"/>
          <w:sz w:val="32"/>
          <w:szCs w:val="32"/>
          <w:lang w:eastAsia="zh-CN"/>
        </w:rPr>
        <w:t>办公场所和其他</w:t>
      </w:r>
      <w:r>
        <w:rPr>
          <w:rFonts w:hint="eastAsia" w:ascii="仿宋" w:hAnsi="仿宋" w:eastAsia="仿宋" w:cs="仿宋"/>
          <w:color w:val="000000" w:themeColor="text1"/>
          <w:sz w:val="32"/>
          <w:szCs w:val="32"/>
        </w:rPr>
        <w:t>公</w:t>
      </w:r>
      <w:r>
        <w:rPr>
          <w:rFonts w:hint="eastAsia" w:ascii="仿宋" w:hAnsi="仿宋" w:eastAsia="仿宋" w:cs="仿宋"/>
          <w:color w:val="000000" w:themeColor="text1"/>
          <w:sz w:val="32"/>
          <w:szCs w:val="32"/>
          <w:lang w:eastAsia="zh-CN"/>
        </w:rPr>
        <w:t>用</w:t>
      </w:r>
      <w:r>
        <w:rPr>
          <w:rFonts w:hint="eastAsia" w:ascii="仿宋" w:hAnsi="仿宋" w:eastAsia="仿宋" w:cs="仿宋"/>
          <w:color w:val="000000" w:themeColor="text1"/>
          <w:sz w:val="32"/>
          <w:szCs w:val="32"/>
        </w:rPr>
        <w:t>区域服务面积2500平方米</w:t>
      </w:r>
      <w:r>
        <w:rPr>
          <w:rFonts w:hint="eastAsia" w:ascii="仿宋" w:hAnsi="仿宋" w:eastAsia="仿宋" w:cs="仿宋"/>
          <w:color w:val="000000" w:themeColor="text1"/>
          <w:sz w:val="32"/>
          <w:szCs w:val="32"/>
          <w:lang w:eastAsia="zh-CN"/>
        </w:rPr>
        <w:t>亟待启用办公用房</w:t>
      </w:r>
      <w:r>
        <w:rPr>
          <w:rFonts w:hint="eastAsia" w:ascii="仿宋" w:hAnsi="仿宋" w:eastAsia="仿宋" w:cs="仿宋"/>
          <w:color w:val="000000" w:themeColor="text1"/>
          <w:sz w:val="32"/>
          <w:szCs w:val="32"/>
        </w:rPr>
        <w:t>、交警二大队</w:t>
      </w:r>
      <w:r>
        <w:rPr>
          <w:rFonts w:hint="eastAsia" w:ascii="仿宋" w:hAnsi="仿宋" w:eastAsia="仿宋" w:cs="仿宋"/>
          <w:color w:val="000000" w:themeColor="text1"/>
          <w:sz w:val="32"/>
          <w:szCs w:val="32"/>
          <w:lang w:eastAsia="zh-CN"/>
        </w:rPr>
        <w:t>办公场所和其他</w:t>
      </w:r>
      <w:r>
        <w:rPr>
          <w:rFonts w:hint="eastAsia" w:ascii="仿宋" w:hAnsi="仿宋" w:eastAsia="仿宋" w:cs="仿宋"/>
          <w:color w:val="000000" w:themeColor="text1"/>
          <w:sz w:val="32"/>
          <w:szCs w:val="32"/>
        </w:rPr>
        <w:t>公</w:t>
      </w:r>
      <w:r>
        <w:rPr>
          <w:rFonts w:hint="eastAsia" w:ascii="仿宋" w:hAnsi="仿宋" w:eastAsia="仿宋" w:cs="仿宋"/>
          <w:color w:val="000000" w:themeColor="text1"/>
          <w:sz w:val="32"/>
          <w:szCs w:val="32"/>
          <w:lang w:eastAsia="zh-CN"/>
        </w:rPr>
        <w:t>用</w:t>
      </w:r>
      <w:r>
        <w:rPr>
          <w:rFonts w:hint="eastAsia" w:ascii="仿宋" w:hAnsi="仿宋" w:eastAsia="仿宋" w:cs="仿宋"/>
          <w:color w:val="000000" w:themeColor="text1"/>
          <w:sz w:val="32"/>
          <w:szCs w:val="32"/>
        </w:rPr>
        <w:t>区域服</w:t>
      </w:r>
      <w:r>
        <w:rPr>
          <w:rFonts w:hint="eastAsia" w:ascii="仿宋" w:hAnsi="仿宋" w:eastAsia="仿宋" w:cs="仿宋"/>
          <w:b w:val="0"/>
          <w:bCs w:val="0"/>
          <w:color w:val="000000" w:themeColor="text1"/>
          <w:sz w:val="32"/>
          <w:szCs w:val="32"/>
        </w:rPr>
        <w:t>务面积6488平方米、交警三大队</w:t>
      </w:r>
      <w:r>
        <w:rPr>
          <w:rFonts w:hint="eastAsia" w:ascii="仿宋" w:hAnsi="仿宋" w:eastAsia="仿宋" w:cs="仿宋"/>
          <w:b w:val="0"/>
          <w:bCs w:val="0"/>
          <w:color w:val="000000" w:themeColor="text1"/>
          <w:sz w:val="32"/>
          <w:szCs w:val="32"/>
          <w:lang w:eastAsia="zh-CN"/>
        </w:rPr>
        <w:t>办公场所和其他</w:t>
      </w:r>
      <w:r>
        <w:rPr>
          <w:rFonts w:hint="eastAsia" w:ascii="仿宋" w:hAnsi="仿宋" w:eastAsia="仿宋" w:cs="仿宋"/>
          <w:b w:val="0"/>
          <w:bCs w:val="0"/>
          <w:color w:val="000000" w:themeColor="text1"/>
          <w:sz w:val="32"/>
          <w:szCs w:val="32"/>
        </w:rPr>
        <w:t>公</w:t>
      </w:r>
      <w:r>
        <w:rPr>
          <w:rFonts w:hint="eastAsia" w:ascii="仿宋" w:hAnsi="仿宋" w:eastAsia="仿宋" w:cs="仿宋"/>
          <w:b w:val="0"/>
          <w:bCs w:val="0"/>
          <w:color w:val="000000" w:themeColor="text1"/>
          <w:sz w:val="32"/>
          <w:szCs w:val="32"/>
          <w:lang w:eastAsia="zh-CN"/>
        </w:rPr>
        <w:t>用</w:t>
      </w:r>
      <w:r>
        <w:rPr>
          <w:rFonts w:hint="eastAsia" w:ascii="仿宋" w:hAnsi="仿宋" w:eastAsia="仿宋" w:cs="仿宋"/>
          <w:b w:val="0"/>
          <w:bCs w:val="0"/>
          <w:color w:val="000000" w:themeColor="text1"/>
          <w:sz w:val="32"/>
          <w:szCs w:val="32"/>
        </w:rPr>
        <w:t>区域</w:t>
      </w:r>
      <w:r>
        <w:rPr>
          <w:rFonts w:hint="eastAsia" w:ascii="仿宋" w:hAnsi="仿宋" w:eastAsia="仿宋" w:cs="仿宋"/>
          <w:color w:val="000000" w:themeColor="text1"/>
          <w:sz w:val="32"/>
          <w:szCs w:val="32"/>
        </w:rPr>
        <w:t>服务面积1650平方米</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合计总面积28484平方米</w:t>
      </w:r>
      <w:r>
        <w:rPr>
          <w:rFonts w:hint="eastAsia" w:ascii="仿宋" w:hAnsi="仿宋" w:eastAsia="仿宋" w:cs="仿宋"/>
          <w:color w:val="000000" w:themeColor="text1"/>
          <w:sz w:val="32"/>
          <w:szCs w:val="32"/>
          <w:lang w:eastAsia="zh-CN"/>
        </w:rPr>
        <w:t>（以实际使用面积为准）；</w:t>
      </w:r>
      <w:r>
        <w:rPr>
          <w:rFonts w:hint="eastAsia" w:ascii="仿宋" w:hAnsi="仿宋" w:eastAsia="仿宋" w:cs="仿宋"/>
          <w:b w:val="0"/>
          <w:color w:val="000000" w:themeColor="text1"/>
          <w:kern w:val="2"/>
          <w:sz w:val="32"/>
          <w:szCs w:val="32"/>
          <w:lang w:val="zh-CN" w:eastAsia="zh-CN" w:bidi="ar-SA"/>
        </w:rPr>
        <w:t>②质量指标：按《广市财采（</w:t>
      </w:r>
      <w:r>
        <w:rPr>
          <w:rFonts w:hint="eastAsia" w:ascii="仿宋" w:hAnsi="仿宋" w:eastAsia="仿宋" w:cs="仿宋"/>
          <w:b w:val="0"/>
          <w:color w:val="000000" w:themeColor="text1"/>
          <w:kern w:val="2"/>
          <w:sz w:val="32"/>
          <w:szCs w:val="32"/>
          <w:lang w:val="en-US" w:eastAsia="zh-CN" w:bidi="ar-SA"/>
        </w:rPr>
        <w:t>2021</w:t>
      </w:r>
      <w:r>
        <w:rPr>
          <w:rFonts w:hint="eastAsia" w:ascii="仿宋" w:hAnsi="仿宋" w:eastAsia="仿宋" w:cs="仿宋"/>
          <w:b w:val="0"/>
          <w:color w:val="000000" w:themeColor="text1"/>
          <w:kern w:val="2"/>
          <w:sz w:val="32"/>
          <w:szCs w:val="32"/>
          <w:lang w:val="zh-CN" w:eastAsia="zh-CN" w:bidi="ar-SA"/>
        </w:rPr>
        <w:t>）</w:t>
      </w:r>
      <w:r>
        <w:rPr>
          <w:rFonts w:hint="eastAsia" w:ascii="仿宋" w:hAnsi="仿宋" w:eastAsia="仿宋" w:cs="仿宋"/>
          <w:b w:val="0"/>
          <w:color w:val="000000" w:themeColor="text1"/>
          <w:kern w:val="2"/>
          <w:sz w:val="32"/>
          <w:szCs w:val="32"/>
          <w:lang w:val="en-US" w:eastAsia="zh-CN" w:bidi="ar-SA"/>
        </w:rPr>
        <w:t>275号</w:t>
      </w:r>
      <w:r>
        <w:rPr>
          <w:rFonts w:hint="eastAsia" w:ascii="仿宋" w:hAnsi="仿宋" w:eastAsia="仿宋" w:cs="仿宋"/>
          <w:b w:val="0"/>
          <w:color w:val="000000" w:themeColor="text1"/>
          <w:kern w:val="2"/>
          <w:sz w:val="32"/>
          <w:szCs w:val="32"/>
          <w:lang w:val="zh-CN" w:eastAsia="zh-CN" w:bidi="ar-SA"/>
        </w:rPr>
        <w:t>》、国家有关规定、招标文件的质量要求和技术指标、中标人的投标文件及承诺与合同约定标准进行验收。数值达到</w:t>
      </w:r>
      <w:r>
        <w:rPr>
          <w:rFonts w:hint="eastAsia" w:ascii="仿宋" w:hAnsi="仿宋" w:eastAsia="仿宋" w:cs="仿宋"/>
          <w:b w:val="0"/>
          <w:color w:val="000000" w:themeColor="text1"/>
          <w:kern w:val="2"/>
          <w:sz w:val="32"/>
          <w:szCs w:val="32"/>
          <w:lang w:val="en-US" w:eastAsia="zh-CN" w:bidi="ar-SA"/>
        </w:rPr>
        <w:t>95%以上；</w:t>
      </w:r>
      <w:r>
        <w:rPr>
          <w:rFonts w:hint="eastAsia" w:ascii="仿宋" w:hAnsi="仿宋" w:eastAsia="仿宋" w:cs="仿宋"/>
          <w:b w:val="0"/>
          <w:color w:val="000000" w:themeColor="text1"/>
          <w:kern w:val="2"/>
          <w:sz w:val="32"/>
          <w:szCs w:val="32"/>
          <w:lang w:val="zh-CN" w:eastAsia="zh-CN" w:bidi="ar-SA"/>
        </w:rPr>
        <w:t>③成本指标：物业管理服务项目金额≤</w:t>
      </w:r>
      <w:r>
        <w:rPr>
          <w:rFonts w:hint="eastAsia" w:ascii="仿宋" w:hAnsi="仿宋" w:eastAsia="仿宋" w:cs="仿宋"/>
          <w:b w:val="0"/>
          <w:color w:val="000000" w:themeColor="text1"/>
          <w:kern w:val="2"/>
          <w:sz w:val="32"/>
          <w:szCs w:val="32"/>
          <w:lang w:val="en-US" w:eastAsia="zh-CN" w:bidi="ar-SA"/>
        </w:rPr>
        <w:t>86万元；</w:t>
      </w:r>
      <w:r>
        <w:rPr>
          <w:rFonts w:hint="eastAsia" w:ascii="仿宋" w:hAnsi="仿宋" w:eastAsia="仿宋" w:cs="仿宋"/>
          <w:b w:val="0"/>
          <w:color w:val="000000" w:themeColor="text1"/>
          <w:kern w:val="2"/>
          <w:sz w:val="32"/>
          <w:szCs w:val="32"/>
          <w:lang w:val="zh-CN" w:eastAsia="zh-CN" w:bidi="ar-SA"/>
        </w:rPr>
        <w:t>④时间指标：项目完成时限</w:t>
      </w:r>
      <w:r>
        <w:rPr>
          <w:rFonts w:hint="eastAsia" w:ascii="仿宋" w:hAnsi="仿宋" w:eastAsia="仿宋" w:cs="仿宋"/>
          <w:b w:val="0"/>
          <w:color w:val="000000" w:themeColor="text1"/>
          <w:kern w:val="2"/>
          <w:sz w:val="32"/>
          <w:szCs w:val="32"/>
          <w:lang w:val="en-US" w:eastAsia="zh-CN" w:bidi="ar-SA"/>
        </w:rPr>
        <w:t>2022年12月；</w:t>
      </w:r>
      <w:r>
        <w:rPr>
          <w:rFonts w:hint="eastAsia" w:ascii="仿宋" w:hAnsi="仿宋" w:eastAsia="仿宋" w:cs="仿宋"/>
          <w:b w:val="0"/>
          <w:color w:val="000000" w:themeColor="text1"/>
          <w:kern w:val="2"/>
          <w:sz w:val="32"/>
          <w:szCs w:val="32"/>
          <w:lang w:val="zh-CN" w:eastAsia="zh-CN" w:bidi="ar-SA"/>
        </w:rPr>
        <w:t>⑤效益指标：加强物业服务管理，提高物业服务水平，</w:t>
      </w:r>
      <w:r>
        <w:rPr>
          <w:rFonts w:hint="eastAsia" w:ascii="仿宋" w:hAnsi="仿宋" w:eastAsia="仿宋" w:cs="仿宋"/>
          <w:b w:val="0"/>
          <w:color w:val="000000" w:themeColor="text1"/>
          <w:kern w:val="2"/>
          <w:sz w:val="32"/>
          <w:szCs w:val="32"/>
          <w:lang w:val="en-US" w:eastAsia="zh-CN" w:bidi="ar-SA"/>
        </w:rPr>
        <w:t>保证</w:t>
      </w:r>
      <w:r>
        <w:rPr>
          <w:rFonts w:hint="eastAsia" w:ascii="仿宋" w:hAnsi="仿宋" w:eastAsia="仿宋" w:cs="仿宋"/>
          <w:b w:val="0"/>
          <w:color w:val="000000" w:themeColor="text1"/>
          <w:kern w:val="2"/>
          <w:sz w:val="32"/>
          <w:szCs w:val="32"/>
          <w:lang w:val="zh-CN" w:eastAsia="zh-CN" w:bidi="ar-SA"/>
        </w:rPr>
        <w:t>支队机关、车管所及直属一、二、三大队</w:t>
      </w:r>
      <w:r>
        <w:rPr>
          <w:rFonts w:hint="eastAsia" w:ascii="仿宋" w:hAnsi="仿宋" w:eastAsia="仿宋" w:cs="仿宋"/>
          <w:b w:val="0"/>
          <w:color w:val="000000" w:themeColor="text1"/>
          <w:kern w:val="2"/>
          <w:sz w:val="32"/>
          <w:szCs w:val="32"/>
          <w:lang w:val="en-US" w:eastAsia="zh-CN" w:bidi="ar-SA"/>
        </w:rPr>
        <w:t>办公区域清洁卫生，设施设备运行正常，秩序良好；</w:t>
      </w:r>
      <w:r>
        <w:rPr>
          <w:rFonts w:hint="eastAsia" w:ascii="仿宋" w:hAnsi="仿宋" w:eastAsia="仿宋" w:cs="仿宋"/>
          <w:b w:val="0"/>
          <w:color w:val="000000" w:themeColor="text1"/>
          <w:kern w:val="2"/>
          <w:sz w:val="32"/>
          <w:szCs w:val="32"/>
          <w:lang w:val="zh-CN" w:eastAsia="zh-CN" w:bidi="ar-SA"/>
        </w:rPr>
        <w:t>⑥满意度指标：项目完成后民辅警职工满意度达到</w:t>
      </w:r>
      <w:r>
        <w:rPr>
          <w:rFonts w:hint="eastAsia" w:ascii="仿宋" w:hAnsi="仿宋" w:eastAsia="仿宋" w:cs="仿宋"/>
          <w:b w:val="0"/>
          <w:color w:val="000000" w:themeColor="text1"/>
          <w:kern w:val="2"/>
          <w:sz w:val="32"/>
          <w:szCs w:val="32"/>
          <w:lang w:val="en-US" w:eastAsia="zh-CN" w:bidi="ar-SA"/>
        </w:rPr>
        <w:t>95%以上。</w:t>
      </w:r>
    </w:p>
    <w:p w14:paraId="28A685E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3．分析评价申报内容是否与实际相符，申报目标是否合理可行。</w:t>
      </w:r>
    </w:p>
    <w:p w14:paraId="2549CFD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sz w:val="32"/>
          <w:szCs w:val="32"/>
          <w:lang w:val="zh-CN"/>
        </w:rPr>
      </w:pPr>
      <w:r>
        <w:rPr>
          <w:rFonts w:hint="eastAsia" w:ascii="仿宋" w:hAnsi="仿宋" w:eastAsia="仿宋" w:cs="仿宋"/>
          <w:color w:val="auto"/>
          <w:kern w:val="0"/>
          <w:sz w:val="32"/>
          <w:szCs w:val="32"/>
          <w:highlight w:val="none"/>
          <w:u w:val="none"/>
          <w:shd w:val="clear" w:color="auto" w:fill="FFFFFF"/>
          <w:lang w:val="zh-CN"/>
        </w:rPr>
        <w:t>该项目申报内容符合实际，目标合理可行。</w:t>
      </w:r>
    </w:p>
    <w:p w14:paraId="12B3124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（三）项目自评步骤及方法。</w:t>
      </w:r>
    </w:p>
    <w:p w14:paraId="498CDE0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采购完成后，支队组织按月进行考核，并制定了具体实现的目标以及各种指标。在项目实施过程中，</w:t>
      </w:r>
      <w:r>
        <w:rPr>
          <w:rFonts w:hint="eastAsia" w:ascii="仿宋" w:hAnsi="仿宋" w:eastAsia="仿宋" w:cs="仿宋"/>
          <w:color w:val="auto"/>
          <w:kern w:val="0"/>
          <w:sz w:val="32"/>
          <w:szCs w:val="32"/>
          <w:highlight w:val="none"/>
          <w:u w:val="none"/>
          <w:shd w:val="clear" w:color="auto" w:fill="FFFFFF"/>
          <w:lang w:val="en-US" w:eastAsia="zh-CN"/>
        </w:rPr>
        <w:t>1、进行满意度测评；2、对照绩效目标逐项评价，根据完成指标情况综合评价该项目完成情况。</w:t>
      </w:r>
    </w:p>
    <w:p w14:paraId="2446301B">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二、项目资金申报及使用情况</w:t>
      </w:r>
    </w:p>
    <w:p w14:paraId="261CF034">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（一）项目资金申报及批复情况。</w:t>
      </w:r>
    </w:p>
    <w:p w14:paraId="6AEBA47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该项目资金申报为</w:t>
      </w:r>
      <w:r>
        <w:rPr>
          <w:rFonts w:hint="eastAsia" w:ascii="仿宋" w:hAnsi="仿宋" w:eastAsia="仿宋" w:cs="仿宋"/>
          <w:color w:val="auto"/>
          <w:kern w:val="0"/>
          <w:sz w:val="32"/>
          <w:szCs w:val="32"/>
          <w:highlight w:val="none"/>
          <w:u w:val="none"/>
          <w:shd w:val="clear" w:color="auto" w:fill="FFFFFF"/>
          <w:lang w:val="en-US" w:eastAsia="zh-CN"/>
        </w:rPr>
        <w:t>86万元，市财政局根据采购结果从日常公用经费项目中据实解决该项目所需经费。</w:t>
      </w:r>
    </w:p>
    <w:p w14:paraId="3958F6A8">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lang w:val="zh-CN"/>
        </w:rPr>
      </w:pPr>
      <w:r>
        <w:rPr>
          <w:rFonts w:hint="eastAsia" w:ascii="仿宋" w:hAnsi="仿宋" w:eastAsia="仿宋" w:cs="仿宋"/>
          <w:b/>
          <w:bCs w:val="0"/>
          <w:color w:val="auto"/>
          <w:sz w:val="32"/>
          <w:szCs w:val="32"/>
          <w:highlight w:val="none"/>
          <w:u w:val="none"/>
          <w:lang w:val="zh-CN"/>
        </w:rPr>
        <w:t>（</w:t>
      </w:r>
      <w:r>
        <w:rPr>
          <w:rFonts w:hint="eastAsia" w:ascii="仿宋" w:hAnsi="仿宋" w:eastAsia="仿宋" w:cs="仿宋"/>
          <w:b/>
          <w:color w:val="auto"/>
          <w:sz w:val="32"/>
          <w:szCs w:val="32"/>
          <w:highlight w:val="none"/>
          <w:u w:val="none"/>
          <w:lang w:val="zh-CN"/>
        </w:rPr>
        <w:t>二）资金计划、到位及使用情况。</w:t>
      </w:r>
    </w:p>
    <w:p w14:paraId="4374728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1．资金计划。</w:t>
      </w:r>
      <w:r>
        <w:rPr>
          <w:rFonts w:hint="eastAsia" w:ascii="仿宋" w:hAnsi="仿宋" w:eastAsia="仿宋" w:cs="仿宋"/>
          <w:color w:val="auto"/>
          <w:kern w:val="0"/>
          <w:sz w:val="32"/>
          <w:szCs w:val="32"/>
          <w:highlight w:val="none"/>
          <w:u w:val="none"/>
          <w:shd w:val="clear" w:color="auto" w:fill="FFFFFF"/>
          <w:lang w:val="en-US" w:eastAsia="zh-CN"/>
        </w:rPr>
        <w:t>根据市场调查情况，预算采购经费约86万元，采购结果金额不超过86万元。</w:t>
      </w:r>
    </w:p>
    <w:p w14:paraId="334932E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2．资金到位。根据市财政局批复的采购计划备案表，预算资金为</w:t>
      </w:r>
      <w:r>
        <w:rPr>
          <w:rFonts w:hint="eastAsia" w:ascii="仿宋" w:hAnsi="仿宋" w:eastAsia="仿宋" w:cs="仿宋"/>
          <w:color w:val="auto"/>
          <w:kern w:val="0"/>
          <w:sz w:val="32"/>
          <w:szCs w:val="32"/>
          <w:highlight w:val="none"/>
          <w:u w:val="none"/>
          <w:shd w:val="clear" w:color="auto" w:fill="FFFFFF"/>
          <w:lang w:val="en-US" w:eastAsia="zh-CN"/>
        </w:rPr>
        <w:t>86万元，从日常公用经费项目中解决该项目所需经费。</w:t>
      </w:r>
    </w:p>
    <w:p w14:paraId="2C27E99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3．资金使用。根据考核情况，项目经费按照合同约定的支付标准、支付进度进行支付物业管理服务费。截至评价时间，该项目共支付供应商资金</w:t>
      </w:r>
      <w:r>
        <w:rPr>
          <w:rFonts w:hint="eastAsia" w:ascii="仿宋" w:hAnsi="仿宋" w:eastAsia="仿宋" w:cs="仿宋"/>
          <w:color w:val="auto"/>
          <w:kern w:val="0"/>
          <w:sz w:val="32"/>
          <w:szCs w:val="32"/>
          <w:highlight w:val="none"/>
          <w:u w:val="none"/>
          <w:shd w:val="clear" w:color="auto" w:fill="FFFFFF"/>
          <w:lang w:val="en-US" w:eastAsia="zh-CN"/>
        </w:rPr>
        <w:t xml:space="preserve"> 21.58566万元。</w:t>
      </w:r>
    </w:p>
    <w:p w14:paraId="29F8335B">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（三）项目财务管理情况。</w:t>
      </w:r>
    </w:p>
    <w:p w14:paraId="3CB7301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该项目经费支出在项目考核验收后，依据合同按照财务管理制度规定，履行报账手续，由支队警务保障大队按照相关规定进行报账支付，项目实际支出与项目合同资金的用途相符，资金的拨付</w:t>
      </w:r>
      <w:r>
        <w:rPr>
          <w:rFonts w:hint="eastAsia" w:ascii="仿宋" w:hAnsi="仿宋" w:eastAsia="仿宋" w:cs="仿宋"/>
          <w:color w:val="auto"/>
          <w:kern w:val="0"/>
          <w:sz w:val="32"/>
          <w:szCs w:val="32"/>
          <w:highlight w:val="none"/>
          <w:u w:val="none"/>
          <w:shd w:val="clear" w:color="auto" w:fill="FFFFFF"/>
          <w:lang w:val="zh-CN" w:eastAsia="zh-CN"/>
        </w:rPr>
        <w:t>有</w:t>
      </w:r>
      <w:r>
        <w:rPr>
          <w:rFonts w:hint="eastAsia" w:ascii="仿宋" w:hAnsi="仿宋" w:eastAsia="仿宋" w:cs="仿宋"/>
          <w:color w:val="auto"/>
          <w:kern w:val="0"/>
          <w:sz w:val="32"/>
          <w:szCs w:val="32"/>
          <w:highlight w:val="none"/>
          <w:u w:val="none"/>
          <w:shd w:val="clear" w:color="auto" w:fill="FFFFFF"/>
          <w:lang w:val="zh-CN"/>
        </w:rPr>
        <w:t>完整的审批程序和手续，符合项目预算的用途，不存在超标列支相关费用，账务处理及时、规范，严格执行财务管理制度。</w:t>
      </w:r>
    </w:p>
    <w:p w14:paraId="2FF4434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三、项目实施及管理情况</w:t>
      </w:r>
    </w:p>
    <w:p w14:paraId="3F76EA7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结合项目组织实施管理办法，重点围绕以下内容进行分析评价，并对自评中发现的问题分析说明。</w:t>
      </w:r>
    </w:p>
    <w:p w14:paraId="0FC8EDA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（一）</w:t>
      </w:r>
      <w:r>
        <w:rPr>
          <w:rFonts w:hint="eastAsia" w:ascii="仿宋" w:hAnsi="仿宋" w:eastAsia="仿宋" w:cs="仿宋"/>
          <w:b/>
          <w:color w:val="auto"/>
          <w:sz w:val="32"/>
          <w:szCs w:val="32"/>
          <w:highlight w:val="none"/>
          <w:u w:val="none"/>
          <w:lang w:val="zh-CN"/>
        </w:rPr>
        <w:t>项目组织架构及实施流程。</w:t>
      </w:r>
      <w:r>
        <w:rPr>
          <w:rFonts w:hint="eastAsia" w:ascii="仿宋" w:hAnsi="仿宋" w:eastAsia="仿宋" w:cs="仿宋"/>
          <w:color w:val="auto"/>
          <w:kern w:val="0"/>
          <w:sz w:val="32"/>
          <w:szCs w:val="32"/>
          <w:highlight w:val="none"/>
          <w:u w:val="none"/>
          <w:shd w:val="clear" w:color="auto" w:fill="FFFFFF"/>
          <w:lang w:val="zh-CN"/>
        </w:rPr>
        <w:t>本项目主要由支队采购办牵头组织实施，审核办、验收办等部门配合。实施流程：1、采购方面，采购办组织进行市场调查，编制采购需求和进行需求论证，聘请社会代理机构实施采购。2、资金方面，根据本项目政府采购结果，在采购完成后由支队考核组织验收，按照支队财务制度审批签字后，支队警务保障大队进行资金报账并拨付资金。</w:t>
      </w:r>
    </w:p>
    <w:p w14:paraId="7C411DB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b/>
          <w:color w:val="auto"/>
          <w:sz w:val="32"/>
          <w:szCs w:val="32"/>
          <w:highlight w:val="none"/>
          <w:u w:val="none"/>
          <w:lang w:val="zh-CN"/>
        </w:rPr>
        <w:t>（二）项目管理情况。</w:t>
      </w:r>
      <w:r>
        <w:rPr>
          <w:rFonts w:hint="eastAsia" w:ascii="仿宋" w:hAnsi="仿宋" w:eastAsia="仿宋" w:cs="仿宋"/>
          <w:color w:val="auto"/>
          <w:kern w:val="0"/>
          <w:sz w:val="32"/>
          <w:szCs w:val="32"/>
          <w:highlight w:val="none"/>
          <w:u w:val="none"/>
          <w:shd w:val="clear" w:color="auto" w:fill="FFFFFF"/>
          <w:lang w:val="zh-CN"/>
        </w:rPr>
        <w:t>本项目由支队采购办牵头组织采购，审核办负责采购文件、采购合同等的法律性审查，支队机关、车管所、直属一二三大队负责每月考核，支队采购委员会负责采购过程的监督和采购结果执行情况的监督。</w:t>
      </w:r>
    </w:p>
    <w:p w14:paraId="525023A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b/>
          <w:color w:val="auto"/>
          <w:sz w:val="32"/>
          <w:szCs w:val="32"/>
          <w:highlight w:val="none"/>
          <w:u w:val="none"/>
          <w:lang w:val="zh-CN"/>
        </w:rPr>
        <w:t>（三）项目监管情况。</w:t>
      </w:r>
      <w:r>
        <w:rPr>
          <w:rFonts w:hint="eastAsia" w:ascii="仿宋" w:hAnsi="仿宋" w:eastAsia="仿宋" w:cs="仿宋"/>
          <w:color w:val="auto"/>
          <w:kern w:val="0"/>
          <w:sz w:val="32"/>
          <w:szCs w:val="32"/>
          <w:highlight w:val="none"/>
          <w:u w:val="none"/>
          <w:shd w:val="clear" w:color="auto" w:fill="FFFFFF"/>
          <w:lang w:val="zh-CN"/>
        </w:rPr>
        <w:t>为加强采购管理，支队督察大队对采购情况实施监督，确保采购的服务达到采购文件要求，支队机关、车管所、直属一二三大队负责每月考核，验收办负责组织验收和汇总考核情况，保证</w:t>
      </w:r>
      <w:r>
        <w:rPr>
          <w:rFonts w:hint="eastAsia" w:ascii="仿宋" w:hAnsi="仿宋" w:eastAsia="仿宋" w:cs="仿宋"/>
          <w:b w:val="0"/>
          <w:color w:val="000000" w:themeColor="text1"/>
          <w:kern w:val="2"/>
          <w:sz w:val="32"/>
          <w:szCs w:val="32"/>
          <w:lang w:val="zh-CN" w:eastAsia="zh-CN" w:bidi="ar-SA"/>
        </w:rPr>
        <w:t>支队机关、车管所及直属一、二、三大队</w:t>
      </w:r>
      <w:r>
        <w:rPr>
          <w:rFonts w:hint="eastAsia" w:ascii="仿宋" w:hAnsi="仿宋" w:eastAsia="仿宋" w:cs="仿宋"/>
          <w:b w:val="0"/>
          <w:color w:val="000000" w:themeColor="text1"/>
          <w:kern w:val="2"/>
          <w:sz w:val="32"/>
          <w:szCs w:val="32"/>
          <w:lang w:val="en-US" w:eastAsia="zh-CN" w:bidi="ar-SA"/>
        </w:rPr>
        <w:t>办公区域清洁卫生，设施设备运行正常，秩序良好</w:t>
      </w:r>
      <w:r>
        <w:rPr>
          <w:rFonts w:hint="eastAsia" w:ascii="仿宋" w:hAnsi="仿宋" w:eastAsia="仿宋" w:cs="仿宋"/>
          <w:color w:val="auto"/>
          <w:kern w:val="0"/>
          <w:sz w:val="32"/>
          <w:szCs w:val="32"/>
          <w:highlight w:val="none"/>
          <w:u w:val="none"/>
          <w:shd w:val="clear" w:color="auto" w:fill="FFFFFF"/>
          <w:lang w:val="zh-CN"/>
        </w:rPr>
        <w:t>。</w:t>
      </w:r>
    </w:p>
    <w:p w14:paraId="6FCE72D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lang w:val="zh-CN"/>
        </w:rPr>
      </w:pPr>
      <w:r>
        <w:rPr>
          <w:rFonts w:hint="eastAsia" w:ascii="仿宋" w:hAnsi="仿宋" w:eastAsia="仿宋" w:cs="仿宋"/>
          <w:color w:val="auto"/>
          <w:sz w:val="32"/>
          <w:szCs w:val="32"/>
          <w:highlight w:val="none"/>
          <w:u w:val="none"/>
        </w:rPr>
        <w:t>四、项目绩效情况</w:t>
      </w:r>
      <w:r>
        <w:rPr>
          <w:rFonts w:hint="eastAsia" w:ascii="仿宋" w:hAnsi="仿宋" w:eastAsia="仿宋" w:cs="仿宋"/>
          <w:color w:val="auto"/>
          <w:sz w:val="32"/>
          <w:szCs w:val="32"/>
          <w:highlight w:val="none"/>
          <w:u w:val="none"/>
          <w:lang w:val="zh-CN"/>
        </w:rPr>
        <w:tab/>
      </w:r>
    </w:p>
    <w:p w14:paraId="409DB393">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（一）项目完成情况。</w:t>
      </w:r>
    </w:p>
    <w:p w14:paraId="1E841B49">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val="0"/>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en-US" w:eastAsia="zh-CN"/>
        </w:rPr>
        <w:t>对照本项目的所有数量、质量、时间、成本、效益、满意度指标。本年度的数量指标中，按时完成了所属单位和区域的服务；质量指标中，资金用途用于物业管理服务费用，做到专款专用，验收按照招标文件和合同约定进行了履约验收；时间指标中，在2022年12月31日前完成了采购；成本指标中，节约资金18.72万元；效益指标中，达到了提高服务水平，保证</w:t>
      </w:r>
      <w:r>
        <w:rPr>
          <w:rFonts w:hint="eastAsia" w:ascii="仿宋" w:hAnsi="仿宋" w:eastAsia="仿宋" w:cs="仿宋"/>
          <w:b w:val="0"/>
          <w:color w:val="000000" w:themeColor="text1"/>
          <w:kern w:val="2"/>
          <w:sz w:val="32"/>
          <w:szCs w:val="32"/>
          <w:lang w:val="zh-CN" w:eastAsia="zh-CN" w:bidi="ar-SA"/>
        </w:rPr>
        <w:t>支队机关、车管所及直属一、二、三大队</w:t>
      </w:r>
      <w:r>
        <w:rPr>
          <w:rFonts w:hint="eastAsia" w:ascii="仿宋" w:hAnsi="仿宋" w:eastAsia="仿宋" w:cs="仿宋"/>
          <w:b w:val="0"/>
          <w:color w:val="000000" w:themeColor="text1"/>
          <w:kern w:val="2"/>
          <w:sz w:val="32"/>
          <w:szCs w:val="32"/>
          <w:lang w:val="en-US" w:eastAsia="zh-CN" w:bidi="ar-SA"/>
        </w:rPr>
        <w:t>办公区域清洁卫生，设施设备运行正常，秩序良好，</w:t>
      </w:r>
      <w:r>
        <w:rPr>
          <w:rFonts w:hint="eastAsia" w:ascii="仿宋" w:hAnsi="仿宋" w:eastAsia="仿宋" w:cs="仿宋"/>
          <w:color w:val="auto"/>
          <w:kern w:val="0"/>
          <w:sz w:val="32"/>
          <w:szCs w:val="32"/>
          <w:highlight w:val="none"/>
          <w:u w:val="none"/>
          <w:shd w:val="clear" w:color="auto" w:fill="FFFFFF"/>
          <w:lang w:val="en-US" w:eastAsia="zh-CN"/>
        </w:rPr>
        <w:t>满意度指标80%以上。</w:t>
      </w:r>
    </w:p>
    <w:p w14:paraId="7A9DBEBD">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（二）项目效益情况。</w:t>
      </w:r>
    </w:p>
    <w:p w14:paraId="2A2F947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en-US" w:eastAsia="zh-CN"/>
        </w:rPr>
        <w:t>本项目的实施，保证了</w:t>
      </w:r>
      <w:r>
        <w:rPr>
          <w:rFonts w:hint="eastAsia" w:ascii="仿宋" w:hAnsi="仿宋" w:eastAsia="仿宋" w:cs="仿宋"/>
          <w:b w:val="0"/>
          <w:color w:val="000000" w:themeColor="text1"/>
          <w:kern w:val="2"/>
          <w:sz w:val="32"/>
          <w:szCs w:val="32"/>
          <w:lang w:val="zh-CN" w:eastAsia="zh-CN" w:bidi="ar-SA"/>
        </w:rPr>
        <w:t>支队机关、车管所及直属一、二、三大队</w:t>
      </w:r>
      <w:r>
        <w:rPr>
          <w:rFonts w:hint="eastAsia" w:ascii="仿宋" w:hAnsi="仿宋" w:eastAsia="仿宋" w:cs="仿宋"/>
          <w:b w:val="0"/>
          <w:color w:val="000000" w:themeColor="text1"/>
          <w:kern w:val="2"/>
          <w:sz w:val="32"/>
          <w:szCs w:val="32"/>
          <w:lang w:val="en-US" w:eastAsia="zh-CN" w:bidi="ar-SA"/>
        </w:rPr>
        <w:t>办公区域清洁卫生，设施设备运行正常，秩序良好，营造了一个优美的工作环境，确保了民警职工辅警能够全身心地投入到公安交管工作中。</w:t>
      </w:r>
    </w:p>
    <w:p w14:paraId="3601990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五、评价结论及建议</w:t>
      </w:r>
    </w:p>
    <w:p w14:paraId="16288748">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（一）评价结论。</w:t>
      </w:r>
    </w:p>
    <w:p w14:paraId="3F39356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rPr>
      </w:pPr>
      <w:r>
        <w:rPr>
          <w:rFonts w:hint="eastAsia" w:ascii="仿宋" w:hAnsi="仿宋" w:eastAsia="仿宋" w:cs="仿宋"/>
          <w:color w:val="auto"/>
          <w:kern w:val="0"/>
          <w:sz w:val="32"/>
          <w:szCs w:val="32"/>
          <w:highlight w:val="none"/>
          <w:u w:val="none"/>
          <w:shd w:val="clear" w:color="auto" w:fill="FFFFFF"/>
          <w:lang w:val="zh-CN"/>
        </w:rPr>
        <w:t>结合本项目特点，实施本项目具有必要性和可行性，</w:t>
      </w:r>
      <w:r>
        <w:rPr>
          <w:rFonts w:hint="eastAsia" w:ascii="仿宋" w:hAnsi="仿宋" w:eastAsia="仿宋" w:cs="仿宋"/>
          <w:color w:val="auto"/>
          <w:kern w:val="0"/>
          <w:sz w:val="32"/>
          <w:szCs w:val="32"/>
          <w:highlight w:val="none"/>
          <w:u w:val="none"/>
          <w:shd w:val="clear" w:color="auto" w:fill="FFFFFF"/>
          <w:lang w:val="en-US" w:eastAsia="zh-CN"/>
        </w:rPr>
        <w:t>保证了</w:t>
      </w:r>
      <w:r>
        <w:rPr>
          <w:rFonts w:hint="eastAsia" w:ascii="仿宋" w:hAnsi="仿宋" w:eastAsia="仿宋" w:cs="仿宋"/>
          <w:b w:val="0"/>
          <w:color w:val="000000" w:themeColor="text1"/>
          <w:kern w:val="2"/>
          <w:sz w:val="32"/>
          <w:szCs w:val="32"/>
          <w:lang w:val="zh-CN" w:eastAsia="zh-CN" w:bidi="ar-SA"/>
        </w:rPr>
        <w:t>支队机关、车管所及直属一、二、三大队</w:t>
      </w:r>
      <w:r>
        <w:rPr>
          <w:rFonts w:hint="eastAsia" w:ascii="仿宋" w:hAnsi="仿宋" w:eastAsia="仿宋" w:cs="仿宋"/>
          <w:b w:val="0"/>
          <w:color w:val="000000" w:themeColor="text1"/>
          <w:kern w:val="2"/>
          <w:sz w:val="32"/>
          <w:szCs w:val="32"/>
          <w:lang w:val="en-US" w:eastAsia="zh-CN" w:bidi="ar-SA"/>
        </w:rPr>
        <w:t>办公区域清洁卫生，设施设备运行正常，秩序良好。绩效自评得分89.1分。</w:t>
      </w:r>
    </w:p>
    <w:p w14:paraId="7C2C6CF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（二）存在的问题。</w:t>
      </w:r>
    </w:p>
    <w:p w14:paraId="0BDC6B80">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满意度评价达不到要求，实施过程中监管不到位。</w:t>
      </w:r>
    </w:p>
    <w:p w14:paraId="2FF4B24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（三）相关建议。</w:t>
      </w:r>
    </w:p>
    <w:p w14:paraId="23D108B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eastAsia="zh-CN"/>
        </w:rPr>
      </w:pPr>
      <w:r>
        <w:rPr>
          <w:rFonts w:hint="eastAsia" w:ascii="仿宋" w:hAnsi="仿宋" w:eastAsia="仿宋" w:cs="仿宋"/>
          <w:color w:val="auto"/>
          <w:kern w:val="0"/>
          <w:sz w:val="32"/>
          <w:szCs w:val="32"/>
          <w:highlight w:val="none"/>
          <w:u w:val="none"/>
          <w:shd w:val="clear" w:color="auto" w:fill="FFFFFF"/>
          <w:lang w:val="zh-CN"/>
        </w:rPr>
        <w:t>加强项目实施中的监督管理，严格按照考核标准进行考核，确保项目正常实施。</w:t>
      </w:r>
      <w:r>
        <w:rPr>
          <w:rFonts w:hint="eastAsia" w:ascii="仿宋" w:hAnsi="仿宋" w:eastAsia="仿宋" w:cs="仿宋"/>
          <w:color w:val="auto"/>
          <w:kern w:val="0"/>
          <w:sz w:val="32"/>
          <w:szCs w:val="32"/>
          <w:highlight w:val="none"/>
          <w:u w:val="none"/>
          <w:shd w:val="clear" w:color="auto" w:fill="FFFFFF"/>
          <w:lang w:val="zh-CN" w:eastAsia="zh-CN"/>
        </w:rPr>
        <w:t xml:space="preserve"> </w:t>
      </w:r>
    </w:p>
    <w:p w14:paraId="6C34DE9D">
      <w:pPr>
        <w:pStyle w:val="2"/>
        <w:rPr>
          <w:rFonts w:hint="default"/>
          <w:b w:val="0"/>
          <w:bCs/>
          <w:lang w:val="en-US" w:eastAsia="zh-CN"/>
        </w:rPr>
      </w:pPr>
      <w:r>
        <w:rPr>
          <w:rFonts w:hint="eastAsia"/>
          <w:b w:val="0"/>
          <w:bCs/>
          <w:lang w:val="zh-CN" w:eastAsia="zh-CN"/>
        </w:rPr>
        <w:t>附件</w:t>
      </w:r>
      <w:r>
        <w:rPr>
          <w:rFonts w:hint="eastAsia"/>
          <w:b w:val="0"/>
          <w:bCs/>
          <w:lang w:val="en-US" w:eastAsia="zh-CN"/>
        </w:rPr>
        <w:t>3：</w:t>
      </w:r>
    </w:p>
    <w:p w14:paraId="354A9F49">
      <w:pPr>
        <w:pStyle w:val="32"/>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广安市主城区电子警察监控系统建设项目</w:t>
      </w:r>
    </w:p>
    <w:p w14:paraId="1AA4ADA7">
      <w:pPr>
        <w:pStyle w:val="32"/>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预算项目绩效自评报告</w:t>
      </w:r>
    </w:p>
    <w:p w14:paraId="0F73E83B">
      <w:pPr>
        <w:pStyle w:val="32"/>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14:paraId="0511653B">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zh-CN"/>
        </w:rPr>
        <w:t>项目概况</w:t>
      </w:r>
    </w:p>
    <w:p w14:paraId="6139477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（一）项目基本情况。</w:t>
      </w:r>
    </w:p>
    <w:p w14:paraId="02DD51D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1．说明项目主管部门（单位）在该项目管理中的职能。</w:t>
      </w:r>
    </w:p>
    <w:p w14:paraId="605233F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广安市城区电子警察监控系统建设项目是广安市人民政府主导</w:t>
      </w:r>
      <w:r>
        <w:rPr>
          <w:rFonts w:hint="eastAsia" w:ascii="仿宋" w:hAnsi="仿宋" w:eastAsia="仿宋" w:cs="仿宋"/>
          <w:color w:val="auto"/>
          <w:kern w:val="0"/>
          <w:sz w:val="32"/>
          <w:szCs w:val="32"/>
          <w:highlight w:val="none"/>
          <w:u w:val="none"/>
          <w:shd w:val="clear" w:color="auto" w:fill="FFFFFF"/>
          <w:lang w:val="en-US" w:eastAsia="zh-CN"/>
        </w:rPr>
        <w:t>、</w:t>
      </w:r>
      <w:r>
        <w:rPr>
          <w:rFonts w:hint="eastAsia" w:ascii="仿宋" w:hAnsi="仿宋" w:eastAsia="仿宋" w:cs="仿宋"/>
          <w:color w:val="auto"/>
          <w:kern w:val="0"/>
          <w:sz w:val="32"/>
          <w:szCs w:val="32"/>
          <w:highlight w:val="none"/>
          <w:u w:val="none"/>
          <w:shd w:val="clear" w:color="auto" w:fill="FFFFFF"/>
          <w:lang w:val="zh-CN"/>
        </w:rPr>
        <w:t>广安市公安局交通警察支队作为建设单位具体承建的一个项目，它是《广安市人民政府办公室关于下达</w:t>
      </w:r>
      <w:r>
        <w:rPr>
          <w:rFonts w:hint="eastAsia" w:ascii="仿宋" w:hAnsi="仿宋" w:eastAsia="仿宋" w:cs="仿宋"/>
          <w:color w:val="auto"/>
          <w:kern w:val="0"/>
          <w:sz w:val="32"/>
          <w:szCs w:val="32"/>
          <w:highlight w:val="none"/>
          <w:u w:val="none"/>
          <w:shd w:val="clear" w:color="auto" w:fill="FFFFFF"/>
          <w:lang w:val="en-US" w:eastAsia="zh-CN"/>
        </w:rPr>
        <w:t>2020—2022年广安市主城区城市建设计划的通知</w:t>
      </w:r>
      <w:r>
        <w:rPr>
          <w:rFonts w:hint="eastAsia" w:ascii="仿宋" w:hAnsi="仿宋" w:eastAsia="仿宋" w:cs="仿宋"/>
          <w:color w:val="auto"/>
          <w:kern w:val="0"/>
          <w:sz w:val="32"/>
          <w:szCs w:val="32"/>
          <w:highlight w:val="none"/>
          <w:u w:val="none"/>
          <w:shd w:val="clear" w:color="auto" w:fill="FFFFFF"/>
          <w:lang w:val="zh-CN"/>
        </w:rPr>
        <w:t>》（广安府办函〔</w:t>
      </w:r>
      <w:r>
        <w:rPr>
          <w:rFonts w:hint="eastAsia" w:ascii="仿宋" w:hAnsi="仿宋" w:eastAsia="仿宋" w:cs="仿宋"/>
          <w:color w:val="auto"/>
          <w:kern w:val="0"/>
          <w:sz w:val="32"/>
          <w:szCs w:val="32"/>
          <w:highlight w:val="none"/>
          <w:u w:val="none"/>
          <w:shd w:val="clear" w:color="auto" w:fill="FFFFFF"/>
          <w:lang w:val="en-US" w:eastAsia="zh-CN"/>
        </w:rPr>
        <w:t>2020〕27号</w:t>
      </w:r>
      <w:r>
        <w:rPr>
          <w:rFonts w:hint="eastAsia" w:ascii="仿宋" w:hAnsi="仿宋" w:eastAsia="仿宋" w:cs="仿宋"/>
          <w:color w:val="auto"/>
          <w:kern w:val="0"/>
          <w:sz w:val="32"/>
          <w:szCs w:val="32"/>
          <w:highlight w:val="none"/>
          <w:u w:val="none"/>
          <w:shd w:val="clear" w:color="auto" w:fill="FFFFFF"/>
          <w:lang w:val="zh-CN"/>
        </w:rPr>
        <w:t>）中</w:t>
      </w:r>
      <w:r>
        <w:rPr>
          <w:rFonts w:hint="eastAsia" w:ascii="仿宋" w:hAnsi="仿宋" w:eastAsia="仿宋" w:cs="仿宋"/>
          <w:color w:val="auto"/>
          <w:kern w:val="0"/>
          <w:sz w:val="32"/>
          <w:szCs w:val="32"/>
          <w:highlight w:val="none"/>
          <w:u w:val="none"/>
          <w:shd w:val="clear" w:color="auto" w:fill="FFFFFF"/>
          <w:lang w:val="en-US" w:eastAsia="zh-CN"/>
        </w:rPr>
        <w:t>标线、标志、标牌及电子警察监控系统项目里面一个子项目</w:t>
      </w:r>
      <w:r>
        <w:rPr>
          <w:rFonts w:hint="eastAsia" w:ascii="仿宋" w:hAnsi="仿宋" w:eastAsia="仿宋" w:cs="仿宋"/>
          <w:color w:val="auto"/>
          <w:kern w:val="0"/>
          <w:sz w:val="32"/>
          <w:szCs w:val="32"/>
          <w:highlight w:val="none"/>
          <w:u w:val="none"/>
          <w:shd w:val="clear" w:color="auto" w:fill="FFFFFF"/>
          <w:lang w:val="zh-CN"/>
        </w:rPr>
        <w:t>。广安市公安局交通警察支队在本项目中的职能是：对该项目负责前期市场调研、需求论证、政府采购招标、与中标供应商签订合同、承建商建设完毕后组织验收和按照合同支付给承建商工程款。</w:t>
      </w:r>
    </w:p>
    <w:p w14:paraId="089A031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2．项目立项、资金申报的依据，</w:t>
      </w:r>
      <w:r>
        <w:rPr>
          <w:rFonts w:hint="eastAsia" w:ascii="仿宋" w:hAnsi="仿宋" w:eastAsia="仿宋" w:cs="仿宋"/>
          <w:color w:val="auto"/>
          <w:kern w:val="0"/>
          <w:sz w:val="32"/>
          <w:szCs w:val="32"/>
          <w:highlight w:val="none"/>
          <w:u w:val="none"/>
          <w:shd w:val="clear" w:color="auto" w:fill="FFFFFF"/>
          <w:lang w:val="en-US" w:eastAsia="zh-CN"/>
        </w:rPr>
        <w:t>包括但不限于：项目涉及的中省相关政策文件和规划、项目设立论证资料、资金安排相关文件等。</w:t>
      </w:r>
    </w:p>
    <w:p w14:paraId="60C79CD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本项目立项、资金申报的依据：《广安市人民政府办公室关于下达</w:t>
      </w:r>
      <w:r>
        <w:rPr>
          <w:rFonts w:hint="eastAsia" w:ascii="仿宋" w:hAnsi="仿宋" w:eastAsia="仿宋" w:cs="仿宋"/>
          <w:color w:val="auto"/>
          <w:kern w:val="0"/>
          <w:sz w:val="32"/>
          <w:szCs w:val="32"/>
          <w:highlight w:val="none"/>
          <w:u w:val="none"/>
          <w:shd w:val="clear" w:color="auto" w:fill="FFFFFF"/>
          <w:lang w:val="en-US" w:eastAsia="zh-CN"/>
        </w:rPr>
        <w:t>2020—2022年广安市主城区城市建设计划的通知</w:t>
      </w:r>
      <w:r>
        <w:rPr>
          <w:rFonts w:hint="eastAsia" w:ascii="仿宋" w:hAnsi="仿宋" w:eastAsia="仿宋" w:cs="仿宋"/>
          <w:color w:val="auto"/>
          <w:kern w:val="0"/>
          <w:sz w:val="32"/>
          <w:szCs w:val="32"/>
          <w:highlight w:val="none"/>
          <w:u w:val="none"/>
          <w:shd w:val="clear" w:color="auto" w:fill="FFFFFF"/>
          <w:lang w:val="zh-CN"/>
        </w:rPr>
        <w:t>》（广安府办函〔</w:t>
      </w:r>
      <w:r>
        <w:rPr>
          <w:rFonts w:hint="eastAsia" w:ascii="仿宋" w:hAnsi="仿宋" w:eastAsia="仿宋" w:cs="仿宋"/>
          <w:color w:val="auto"/>
          <w:kern w:val="0"/>
          <w:sz w:val="32"/>
          <w:szCs w:val="32"/>
          <w:highlight w:val="none"/>
          <w:u w:val="none"/>
          <w:shd w:val="clear" w:color="auto" w:fill="FFFFFF"/>
          <w:lang w:val="en-US" w:eastAsia="zh-CN"/>
        </w:rPr>
        <w:t>2020〕27号</w:t>
      </w:r>
      <w:r>
        <w:rPr>
          <w:rFonts w:hint="eastAsia" w:ascii="仿宋" w:hAnsi="仿宋" w:eastAsia="仿宋" w:cs="仿宋"/>
          <w:color w:val="auto"/>
          <w:kern w:val="0"/>
          <w:sz w:val="32"/>
          <w:szCs w:val="32"/>
          <w:highlight w:val="none"/>
          <w:u w:val="none"/>
          <w:shd w:val="clear" w:color="auto" w:fill="FFFFFF"/>
          <w:lang w:val="zh-CN"/>
        </w:rPr>
        <w:t>）。</w:t>
      </w:r>
    </w:p>
    <w:p w14:paraId="11D7CA9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3．资金</w:t>
      </w:r>
      <w:r>
        <w:rPr>
          <w:rFonts w:hint="eastAsia" w:ascii="仿宋" w:hAnsi="仿宋" w:eastAsia="仿宋" w:cs="仿宋"/>
          <w:color w:val="auto"/>
          <w:kern w:val="0"/>
          <w:sz w:val="32"/>
          <w:szCs w:val="32"/>
          <w:highlight w:val="none"/>
          <w:u w:val="none"/>
          <w:shd w:val="clear" w:color="auto" w:fill="FFFFFF"/>
          <w:lang w:val="en-US" w:eastAsia="zh-CN"/>
        </w:rPr>
        <w:t>或项目</w:t>
      </w:r>
      <w:r>
        <w:rPr>
          <w:rFonts w:hint="eastAsia" w:ascii="仿宋" w:hAnsi="仿宋" w:eastAsia="仿宋" w:cs="仿宋"/>
          <w:color w:val="auto"/>
          <w:kern w:val="0"/>
          <w:sz w:val="32"/>
          <w:szCs w:val="32"/>
          <w:highlight w:val="none"/>
          <w:u w:val="none"/>
          <w:shd w:val="clear" w:color="auto" w:fill="FFFFFF"/>
          <w:lang w:val="zh-CN"/>
        </w:rPr>
        <w:t>管理办法制定情况，资金支持具体项目的条件、范围与支持方式概况。</w:t>
      </w:r>
    </w:p>
    <w:p w14:paraId="445A066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《广安市人民政府办公室关于下达</w:t>
      </w:r>
      <w:r>
        <w:rPr>
          <w:rFonts w:hint="eastAsia" w:ascii="仿宋" w:hAnsi="仿宋" w:eastAsia="仿宋" w:cs="仿宋"/>
          <w:color w:val="auto"/>
          <w:kern w:val="0"/>
          <w:sz w:val="32"/>
          <w:szCs w:val="32"/>
          <w:highlight w:val="none"/>
          <w:u w:val="none"/>
          <w:shd w:val="clear" w:color="auto" w:fill="FFFFFF"/>
          <w:lang w:val="en-US" w:eastAsia="zh-CN"/>
        </w:rPr>
        <w:t>2020—2022年广安市主城区城市建设计划的通知</w:t>
      </w:r>
      <w:r>
        <w:rPr>
          <w:rFonts w:hint="eastAsia" w:ascii="仿宋" w:hAnsi="仿宋" w:eastAsia="仿宋" w:cs="仿宋"/>
          <w:color w:val="auto"/>
          <w:kern w:val="0"/>
          <w:sz w:val="32"/>
          <w:szCs w:val="32"/>
          <w:highlight w:val="none"/>
          <w:u w:val="none"/>
          <w:shd w:val="clear" w:color="auto" w:fill="FFFFFF"/>
          <w:lang w:val="zh-CN"/>
        </w:rPr>
        <w:t>》（广安府办函〔</w:t>
      </w:r>
      <w:r>
        <w:rPr>
          <w:rFonts w:hint="eastAsia" w:ascii="仿宋" w:hAnsi="仿宋" w:eastAsia="仿宋" w:cs="仿宋"/>
          <w:color w:val="auto"/>
          <w:kern w:val="0"/>
          <w:sz w:val="32"/>
          <w:szCs w:val="32"/>
          <w:highlight w:val="none"/>
          <w:u w:val="none"/>
          <w:shd w:val="clear" w:color="auto" w:fill="FFFFFF"/>
          <w:lang w:val="en-US" w:eastAsia="zh-CN"/>
        </w:rPr>
        <w:t>2020〕27号</w:t>
      </w:r>
      <w:r>
        <w:rPr>
          <w:rFonts w:hint="eastAsia" w:ascii="仿宋" w:hAnsi="仿宋" w:eastAsia="仿宋" w:cs="仿宋"/>
          <w:color w:val="auto"/>
          <w:kern w:val="0"/>
          <w:sz w:val="32"/>
          <w:szCs w:val="32"/>
          <w:highlight w:val="none"/>
          <w:u w:val="none"/>
          <w:shd w:val="clear" w:color="auto" w:fill="FFFFFF"/>
          <w:lang w:val="zh-CN"/>
        </w:rPr>
        <w:t>）要求：项目资金年初预算及资金管理由市财政局管理，市交警支队作为项目建设单位，负责应当支付中标供应商工程款时候，市财政局拨款到交警支队，交警支队立即拨付中标供应商。资金支持本项目的条件、范围是：</w:t>
      </w:r>
      <w:r>
        <w:rPr>
          <w:rFonts w:hint="eastAsia" w:ascii="仿宋" w:hAnsi="仿宋" w:eastAsia="仿宋" w:cs="仿宋"/>
          <w:color w:val="auto"/>
          <w:kern w:val="0"/>
          <w:sz w:val="32"/>
          <w:szCs w:val="32"/>
          <w:highlight w:val="none"/>
          <w:u w:val="none"/>
          <w:shd w:val="clear" w:color="auto" w:fill="FFFFFF"/>
          <w:lang w:val="en-US" w:eastAsia="zh-CN"/>
        </w:rPr>
        <w:t>2020年-2022年度主城区标线、标志、标牌、电子警察监控设备和系统建设及维护。资金来源：政府投资。</w:t>
      </w:r>
    </w:p>
    <w:p w14:paraId="75F75683">
      <w:pPr>
        <w:keepNext w:val="0"/>
        <w:keepLines w:val="0"/>
        <w:pageBreakBefore w:val="0"/>
        <w:widowControl/>
        <w:numPr>
          <w:ilvl w:val="0"/>
          <w:numId w:val="1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资金分配的原则及考虑因素。</w:t>
      </w:r>
    </w:p>
    <w:p w14:paraId="1153769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项目建设的资金全额由市财政局预算，全额政府投资。</w:t>
      </w:r>
    </w:p>
    <w:p w14:paraId="43F1B249">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（二）项目绩效目标。</w:t>
      </w:r>
    </w:p>
    <w:p w14:paraId="75BFFA8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1．项目主要内容。</w:t>
      </w:r>
    </w:p>
    <w:p w14:paraId="00EF3C2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项目主要内容：</w:t>
      </w:r>
      <w:r>
        <w:rPr>
          <w:rFonts w:hint="eastAsia" w:ascii="仿宋" w:hAnsi="仿宋" w:eastAsia="仿宋" w:cs="仿宋"/>
          <w:color w:val="auto"/>
          <w:kern w:val="0"/>
          <w:sz w:val="32"/>
          <w:szCs w:val="32"/>
          <w:highlight w:val="none"/>
          <w:u w:val="none"/>
          <w:shd w:val="clear" w:color="auto" w:fill="FFFFFF"/>
          <w:lang w:val="en-US" w:eastAsia="zh-CN"/>
        </w:rPr>
        <w:t>2020年-2022年度主城区标线、标志、标牌、电子警察监控设备和系统建设及维护。</w:t>
      </w:r>
    </w:p>
    <w:p w14:paraId="781691C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2．项目应实现的具体绩效目标，</w:t>
      </w:r>
      <w:r>
        <w:rPr>
          <w:rFonts w:hint="eastAsia" w:ascii="仿宋" w:hAnsi="仿宋" w:eastAsia="仿宋" w:cs="仿宋"/>
          <w:color w:val="auto"/>
          <w:kern w:val="0"/>
          <w:sz w:val="32"/>
          <w:szCs w:val="32"/>
          <w:highlight w:val="none"/>
          <w:u w:val="none"/>
          <w:shd w:val="clear" w:color="auto" w:fill="FFFFFF"/>
          <w:lang w:val="en-US" w:eastAsia="zh-CN"/>
        </w:rPr>
        <w:t>包括但不限于：绩效</w:t>
      </w:r>
      <w:r>
        <w:rPr>
          <w:rFonts w:hint="eastAsia" w:ascii="仿宋" w:hAnsi="仿宋" w:eastAsia="仿宋" w:cs="仿宋"/>
          <w:color w:val="auto"/>
          <w:kern w:val="0"/>
          <w:sz w:val="32"/>
          <w:szCs w:val="32"/>
          <w:highlight w:val="none"/>
          <w:u w:val="none"/>
          <w:shd w:val="clear" w:color="auto" w:fill="FFFFFF"/>
          <w:lang w:val="zh-CN"/>
        </w:rPr>
        <w:t>目标的量化细化情况、项目实施进度计划等。</w:t>
      </w:r>
    </w:p>
    <w:p w14:paraId="7F10F3A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b w:val="0"/>
          <w:bCs/>
          <w:sz w:val="32"/>
          <w:szCs w:val="32"/>
          <w:lang w:val="en-US" w:eastAsia="zh-CN"/>
        </w:rPr>
      </w:pPr>
      <w:r>
        <w:rPr>
          <w:rFonts w:hint="eastAsia" w:ascii="仿宋" w:hAnsi="仿宋" w:eastAsia="仿宋" w:cs="仿宋"/>
          <w:color w:val="auto"/>
          <w:kern w:val="0"/>
          <w:sz w:val="32"/>
          <w:szCs w:val="32"/>
          <w:highlight w:val="none"/>
          <w:u w:val="none"/>
          <w:shd w:val="clear" w:color="auto" w:fill="FFFFFF"/>
          <w:lang w:val="zh-CN"/>
        </w:rPr>
        <w:t>本项目是智能交通系统（</w:t>
      </w:r>
      <w:r>
        <w:rPr>
          <w:rFonts w:hint="eastAsia" w:ascii="仿宋" w:hAnsi="仿宋" w:eastAsia="仿宋" w:cs="仿宋"/>
          <w:color w:val="auto"/>
          <w:kern w:val="0"/>
          <w:sz w:val="32"/>
          <w:szCs w:val="32"/>
          <w:highlight w:val="none"/>
          <w:u w:val="none"/>
          <w:shd w:val="clear" w:color="auto" w:fill="FFFFFF"/>
          <w:lang w:val="en-US" w:eastAsia="zh-CN"/>
        </w:rPr>
        <w:t>ITS</w:t>
      </w:r>
      <w:r>
        <w:rPr>
          <w:rFonts w:hint="eastAsia" w:ascii="仿宋" w:hAnsi="仿宋" w:eastAsia="仿宋" w:cs="仿宋"/>
          <w:color w:val="auto"/>
          <w:kern w:val="0"/>
          <w:sz w:val="32"/>
          <w:szCs w:val="32"/>
          <w:highlight w:val="none"/>
          <w:u w:val="none"/>
          <w:shd w:val="clear" w:color="auto" w:fill="FFFFFF"/>
          <w:lang w:val="zh-CN"/>
        </w:rPr>
        <w:t>）在交通管理工作中的基本应用，也是城市智能交通系统中最直接、最基础的应用系统，系统的建成将使广安主城区交通科技管理手段得到进一步完善。</w:t>
      </w:r>
    </w:p>
    <w:p w14:paraId="358B8C9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本系统以合理组织交通流、完善道路交通设施、增强交通参与者的现代交通意识为前提，对控制区内的交通流进行实时监控、检测、控制、协调、评估，有效地改善控制区域内的交通状况为目标。</w:t>
      </w:r>
    </w:p>
    <w:p w14:paraId="3E65E250">
      <w:pPr>
        <w:keepNext w:val="0"/>
        <w:keepLines w:val="0"/>
        <w:pageBreakBefore w:val="0"/>
        <w:widowControl/>
        <w:numPr>
          <w:ilvl w:val="0"/>
          <w:numId w:val="11"/>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分析评价申报内容是否与实际相符，申报目标是否合理可行。</w:t>
      </w:r>
    </w:p>
    <w:p w14:paraId="2792560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广安市主城区电子警察设备、部分信号灯已建设</w:t>
      </w:r>
      <w:r>
        <w:rPr>
          <w:rFonts w:hint="eastAsia" w:ascii="仿宋" w:hAnsi="仿宋" w:eastAsia="仿宋" w:cs="仿宋"/>
          <w:color w:val="auto"/>
          <w:kern w:val="0"/>
          <w:sz w:val="32"/>
          <w:szCs w:val="32"/>
          <w:highlight w:val="none"/>
          <w:u w:val="none"/>
          <w:shd w:val="clear" w:color="auto" w:fill="FFFFFF"/>
          <w:lang w:val="en-US" w:eastAsia="zh-CN"/>
        </w:rPr>
        <w:t>10余年，随着时间、天气（线路老化、信号控制机等处于室外腐蚀严重）、交通事故、人为损坏等因素，所有的交通信号控制路口设备随着工程保修量不断增加，大量设备带病、超负荷运转，现有设备不能满足长时间工作。只有采购现有国内最先进技术方案，通过交通控制与管理信息化，“向科技要警力”，提高现有道路通行能力，解决交通安全与快捷通行之间的矛盾，进而保障人民财产与生命安全。</w:t>
      </w:r>
    </w:p>
    <w:p w14:paraId="6127706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en-US" w:eastAsia="zh-CN"/>
        </w:rPr>
        <w:t>通过建成后的验收报告和实际效果，可以得出结论：本项目申报内容与实际相符，申报目标合理可行。</w:t>
      </w:r>
    </w:p>
    <w:p w14:paraId="1B5E3A08">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（三）项目自评步骤及方法。</w:t>
      </w:r>
    </w:p>
    <w:p w14:paraId="444BE6F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本项目自评的步骤及方法是：</w:t>
      </w:r>
      <w:r>
        <w:rPr>
          <w:rFonts w:hint="eastAsia" w:ascii="仿宋" w:hAnsi="仿宋" w:eastAsia="仿宋" w:cs="仿宋"/>
          <w:color w:val="auto"/>
          <w:kern w:val="0"/>
          <w:sz w:val="32"/>
          <w:szCs w:val="32"/>
          <w:highlight w:val="none"/>
          <w:u w:val="none"/>
          <w:shd w:val="clear" w:color="auto" w:fill="FFFFFF"/>
          <w:lang w:val="en-US" w:eastAsia="zh-CN"/>
        </w:rPr>
        <w:t>1.项目承建科室交警一大队组织人员收集本项目所有资料；2.通过对资料的熟悉并实际走访主城区各信号灯路口收集数据；3.对比本项目建设前后的各项数据；4.通过填写《市级项目预算评价指标体系得分表》，自评本项目。</w:t>
      </w:r>
    </w:p>
    <w:p w14:paraId="2B6BF1F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二、项目资金申报及使用情况</w:t>
      </w:r>
    </w:p>
    <w:p w14:paraId="10533E05">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（一）项目资金申报及批复情况。</w:t>
      </w:r>
    </w:p>
    <w:p w14:paraId="1E7E9CA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本项目资金由市政府直接确定，市财政局根据项目建设进度进行项目资金申报、批复。</w:t>
      </w:r>
    </w:p>
    <w:p w14:paraId="61E6C0F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（二）资金计划、到位及使用情况（可用表格形式反映）。</w:t>
      </w:r>
    </w:p>
    <w:p w14:paraId="2D3B520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1．资金计划。</w:t>
      </w:r>
    </w:p>
    <w:p w14:paraId="49DC68C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根据《广安市人民政府办公室关于下达</w:t>
      </w:r>
      <w:r>
        <w:rPr>
          <w:rFonts w:hint="eastAsia" w:ascii="仿宋" w:hAnsi="仿宋" w:eastAsia="仿宋" w:cs="仿宋"/>
          <w:color w:val="auto"/>
          <w:kern w:val="0"/>
          <w:sz w:val="32"/>
          <w:szCs w:val="32"/>
          <w:highlight w:val="none"/>
          <w:u w:val="none"/>
          <w:shd w:val="clear" w:color="auto" w:fill="FFFFFF"/>
          <w:lang w:val="en-US" w:eastAsia="zh-CN"/>
        </w:rPr>
        <w:t>2020—2022年广安市主城区城市建设计划的通知</w:t>
      </w:r>
      <w:r>
        <w:rPr>
          <w:rFonts w:hint="eastAsia" w:ascii="仿宋" w:hAnsi="仿宋" w:eastAsia="仿宋" w:cs="仿宋"/>
          <w:color w:val="auto"/>
          <w:kern w:val="0"/>
          <w:sz w:val="32"/>
          <w:szCs w:val="32"/>
          <w:highlight w:val="none"/>
          <w:u w:val="none"/>
          <w:shd w:val="clear" w:color="auto" w:fill="FFFFFF"/>
          <w:lang w:val="zh-CN"/>
        </w:rPr>
        <w:t>》（广安府办函〔</w:t>
      </w:r>
      <w:r>
        <w:rPr>
          <w:rFonts w:hint="eastAsia" w:ascii="仿宋" w:hAnsi="仿宋" w:eastAsia="仿宋" w:cs="仿宋"/>
          <w:color w:val="auto"/>
          <w:kern w:val="0"/>
          <w:sz w:val="32"/>
          <w:szCs w:val="32"/>
          <w:highlight w:val="none"/>
          <w:u w:val="none"/>
          <w:shd w:val="clear" w:color="auto" w:fill="FFFFFF"/>
          <w:lang w:val="en-US" w:eastAsia="zh-CN"/>
        </w:rPr>
        <w:t>2020〕27号</w:t>
      </w:r>
      <w:r>
        <w:rPr>
          <w:rFonts w:hint="eastAsia" w:ascii="仿宋" w:hAnsi="仿宋" w:eastAsia="仿宋" w:cs="仿宋"/>
          <w:color w:val="auto"/>
          <w:kern w:val="0"/>
          <w:sz w:val="32"/>
          <w:szCs w:val="32"/>
          <w:highlight w:val="none"/>
          <w:u w:val="none"/>
          <w:shd w:val="clear" w:color="auto" w:fill="FFFFFF"/>
          <w:lang w:val="zh-CN"/>
        </w:rPr>
        <w:t>），本项目资金来源为政府投资。本项目是</w:t>
      </w:r>
      <w:r>
        <w:rPr>
          <w:rFonts w:hint="eastAsia" w:ascii="仿宋" w:hAnsi="仿宋" w:eastAsia="仿宋" w:cs="仿宋"/>
          <w:color w:val="auto"/>
          <w:kern w:val="0"/>
          <w:sz w:val="32"/>
          <w:szCs w:val="32"/>
          <w:highlight w:val="none"/>
          <w:u w:val="none"/>
          <w:shd w:val="clear" w:color="auto" w:fill="FFFFFF"/>
          <w:lang w:val="en-US" w:eastAsia="zh-CN"/>
        </w:rPr>
        <w:t>2020年-2022年度主城区标线、标志、标牌、电子警察监控系统大项目中的一个子项目。《广安市财政局关于广安主城区电子警察监控系统建设项目预算控制价评审结果的通知》（广市财建【2020】1049号文件）预算控制价为319.5863万元。经过政府采购招标，中标价为312.839395万元，加上后期签订补充协议2.429935万元。资金计划315.26933万元。</w:t>
      </w:r>
    </w:p>
    <w:p w14:paraId="18AD341A">
      <w:pPr>
        <w:keepNext w:val="0"/>
        <w:keepLines w:val="0"/>
        <w:pageBreakBefore w:val="0"/>
        <w:widowControl/>
        <w:numPr>
          <w:ilvl w:val="0"/>
          <w:numId w:val="12"/>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资金到位。</w:t>
      </w:r>
    </w:p>
    <w:p w14:paraId="6B36DAE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到</w:t>
      </w:r>
      <w:r>
        <w:rPr>
          <w:rFonts w:hint="eastAsia" w:ascii="仿宋" w:hAnsi="仿宋" w:eastAsia="仿宋" w:cs="仿宋"/>
          <w:color w:val="auto"/>
          <w:kern w:val="0"/>
          <w:sz w:val="32"/>
          <w:szCs w:val="32"/>
          <w:highlight w:val="none"/>
          <w:u w:val="none"/>
          <w:shd w:val="clear" w:color="auto" w:fill="FFFFFF"/>
          <w:lang w:val="en-US" w:eastAsia="zh-CN"/>
        </w:rPr>
        <w:t>2022年为止，资金到位315.26933万元。</w:t>
      </w:r>
    </w:p>
    <w:p w14:paraId="63325CF2">
      <w:pPr>
        <w:keepNext w:val="0"/>
        <w:keepLines w:val="0"/>
        <w:pageBreakBefore w:val="0"/>
        <w:widowControl/>
        <w:numPr>
          <w:ilvl w:val="0"/>
          <w:numId w:val="12"/>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资金使用。本项目资金按照合同规定，</w:t>
      </w:r>
      <w:r>
        <w:rPr>
          <w:rFonts w:hint="eastAsia" w:ascii="仿宋" w:hAnsi="仿宋" w:eastAsia="仿宋" w:cs="仿宋"/>
          <w:color w:val="auto"/>
          <w:kern w:val="0"/>
          <w:sz w:val="32"/>
          <w:szCs w:val="32"/>
          <w:highlight w:val="none"/>
          <w:u w:val="none"/>
          <w:shd w:val="clear" w:color="auto" w:fill="FFFFFF"/>
          <w:lang w:val="en-US" w:eastAsia="zh-CN"/>
        </w:rPr>
        <w:t>2022年1月支付合同总价款的30%，即80万元。2022年6月支付本项目剩余款项235.26933万元。要支付本项目资金，首先由中标供应商重庆西控交通设施有限公司收集本项目的资金支付申请书、本项目政府采购中标通知书、采购合同、验收报告等交付市财政局相关科室；其次，市财政局相关科室在审核通过各项资料的基础上，拨付款项到市交警支队；3市交警支队根据本项目的资金支付申请书、本项目政府采购中标通知书、采购合同、验收报告、党总支的集体研究书面记录等直接拨付到重庆西控交通设施有限公司账户，有效保证了</w:t>
      </w:r>
      <w:r>
        <w:rPr>
          <w:rFonts w:hint="eastAsia" w:ascii="仿宋" w:hAnsi="仿宋" w:eastAsia="仿宋" w:cs="仿宋"/>
          <w:color w:val="auto"/>
          <w:kern w:val="0"/>
          <w:sz w:val="32"/>
          <w:szCs w:val="32"/>
          <w:highlight w:val="none"/>
          <w:u w:val="none"/>
          <w:shd w:val="clear" w:color="auto" w:fill="FFFFFF"/>
          <w:lang w:val="zh-CN"/>
        </w:rPr>
        <w:t>资金使用的安全性、规范性、有效性。本项目所有资金的支付范围、支付标准、支付进度、支付依据等合规合法，与预算相符。</w:t>
      </w:r>
    </w:p>
    <w:p w14:paraId="60A1B1F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（三）项目财务管理情况。</w:t>
      </w:r>
    </w:p>
    <w:p w14:paraId="4EA3241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本项目实施单位市交警支队财务管理制度健全，严格执行财务管理制度，在资金支付时，严格按照“三重一大”制度经部门党总支研究后支付，账务处理及时，会计核算规范。</w:t>
      </w:r>
    </w:p>
    <w:p w14:paraId="722F4B9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三、项目实施及管理情况</w:t>
      </w:r>
    </w:p>
    <w:p w14:paraId="361ACE6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（一）项目组织架构及实施流程。</w:t>
      </w:r>
    </w:p>
    <w:p w14:paraId="0BD51E1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市交警支队作为项目的建设单位，将该项目交由交警一大队具体组织实施。交警一大队派专人联合支队采购委员会，对接市财政局相关科室，组织该项目前期市场调研、需求论证；然后委托广安市政府采购中心进行公开招标，确立项目施工</w:t>
      </w:r>
      <w:r>
        <w:rPr>
          <w:rFonts w:hint="eastAsia" w:ascii="仿宋" w:hAnsi="仿宋" w:eastAsia="仿宋" w:cs="仿宋"/>
          <w:color w:val="auto"/>
          <w:kern w:val="0"/>
          <w:sz w:val="32"/>
          <w:szCs w:val="32"/>
          <w:highlight w:val="none"/>
          <w:u w:val="none"/>
          <w:shd w:val="clear" w:color="auto" w:fill="FFFFFF"/>
          <w:lang w:val="zh-CN" w:eastAsia="zh-CN"/>
        </w:rPr>
        <w:t>企业</w:t>
      </w:r>
      <w:r>
        <w:rPr>
          <w:rFonts w:hint="eastAsia" w:ascii="仿宋" w:hAnsi="仿宋" w:eastAsia="仿宋" w:cs="仿宋"/>
          <w:color w:val="auto"/>
          <w:kern w:val="0"/>
          <w:sz w:val="32"/>
          <w:szCs w:val="32"/>
          <w:highlight w:val="none"/>
          <w:u w:val="none"/>
          <w:shd w:val="clear" w:color="auto" w:fill="FFFFFF"/>
          <w:lang w:val="zh-CN"/>
        </w:rPr>
        <w:t>；项目施工完毕后，交警一大队组织相关专家进行验收；最后根据采购合同申请市财政局拨款支付工程款。</w:t>
      </w:r>
    </w:p>
    <w:p w14:paraId="4A3402C2">
      <w:pPr>
        <w:keepNext w:val="0"/>
        <w:keepLines w:val="0"/>
        <w:pageBreakBefore w:val="0"/>
        <w:numPr>
          <w:ilvl w:val="0"/>
          <w:numId w:val="13"/>
        </w:numPr>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项目管理情况。</w:t>
      </w:r>
    </w:p>
    <w:p w14:paraId="0F203867">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本项目严格按照相关法律法规管理项目，严格遵守《中华人民共和国预算法》《中华人民共和国政府采购法》《财政投资评审管理规定》等一系列法律法规的规定。</w:t>
      </w:r>
    </w:p>
    <w:p w14:paraId="5AD053B9">
      <w:pPr>
        <w:keepNext w:val="0"/>
        <w:keepLines w:val="0"/>
        <w:pageBreakBefore w:val="0"/>
        <w:numPr>
          <w:ilvl w:val="0"/>
          <w:numId w:val="13"/>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b/>
          <w:color w:val="auto"/>
          <w:sz w:val="32"/>
          <w:szCs w:val="32"/>
          <w:highlight w:val="none"/>
          <w:u w:val="none"/>
          <w:lang w:val="zh-CN"/>
        </w:rPr>
        <w:t>项目监管情况。</w:t>
      </w:r>
    </w:p>
    <w:p w14:paraId="36B741DF">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市交警支队作为项目主管部门，在项目实施的各个环节、各个阶段都开展了监管。在项目需求论证阶段，市交警支队聘请专家对项目需求论证进行了论证；在项目预算造价阶段，支队将该项目的工程量清单送交市财政局相关科室进行预算控制价评审监督；在项目进入政府采购开评标阶段，市交警支队派员现场进行监督，保证政府采购开评标公平公正；在采购合同订立阶段，支队组织相关科室人员及支队法律顾问对采购合同进行审签；在项目实施阶段，支队派员现场监督施工；在项目验收阶段，支队组织相关专家进行验收监督；在工程款支付阶段，支队召开党总支会议集体研究进行监督。</w:t>
      </w:r>
    </w:p>
    <w:p w14:paraId="61282B1B">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lang w:val="zh-CN"/>
        </w:rPr>
      </w:pPr>
      <w:r>
        <w:rPr>
          <w:rFonts w:hint="eastAsia" w:ascii="仿宋" w:hAnsi="仿宋" w:eastAsia="仿宋" w:cs="仿宋"/>
          <w:color w:val="auto"/>
          <w:sz w:val="32"/>
          <w:szCs w:val="32"/>
          <w:highlight w:val="none"/>
          <w:u w:val="none"/>
        </w:rPr>
        <w:t>四、项目绩效情况</w:t>
      </w:r>
      <w:r>
        <w:rPr>
          <w:rFonts w:hint="eastAsia" w:ascii="仿宋" w:hAnsi="仿宋" w:eastAsia="仿宋" w:cs="仿宋"/>
          <w:color w:val="auto"/>
          <w:sz w:val="32"/>
          <w:szCs w:val="32"/>
          <w:highlight w:val="none"/>
          <w:u w:val="none"/>
          <w:lang w:val="zh-CN"/>
        </w:rPr>
        <w:tab/>
      </w:r>
    </w:p>
    <w:p w14:paraId="1FE2E51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（一）项目完成情况。</w:t>
      </w:r>
    </w:p>
    <w:p w14:paraId="44946F1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b w:val="0"/>
          <w:bCs/>
          <w:sz w:val="32"/>
          <w:szCs w:val="32"/>
          <w:lang w:val="en-US"/>
        </w:rPr>
      </w:pPr>
      <w:r>
        <w:rPr>
          <w:rFonts w:hint="eastAsia" w:ascii="仿宋" w:hAnsi="仿宋" w:eastAsia="仿宋" w:cs="仿宋"/>
          <w:color w:val="auto"/>
          <w:kern w:val="0"/>
          <w:sz w:val="32"/>
          <w:szCs w:val="32"/>
          <w:highlight w:val="none"/>
          <w:u w:val="none"/>
          <w:shd w:val="clear" w:color="auto" w:fill="FFFFFF"/>
          <w:lang w:val="zh-CN"/>
        </w:rPr>
        <w:t>本项目作为市政府投资项目，严格按照规定完成该项目，达到了项目预算时确定的绩效目标：</w:t>
      </w:r>
      <w:r>
        <w:rPr>
          <w:rFonts w:hint="eastAsia" w:ascii="仿宋" w:hAnsi="仿宋" w:eastAsia="仿宋" w:cs="仿宋"/>
          <w:color w:val="auto"/>
          <w:kern w:val="0"/>
          <w:sz w:val="32"/>
          <w:szCs w:val="32"/>
          <w:highlight w:val="none"/>
          <w:u w:val="none"/>
          <w:shd w:val="clear" w:color="auto" w:fill="FFFFFF"/>
          <w:lang w:val="en-US" w:eastAsia="zh-CN"/>
        </w:rPr>
        <w:t>通过交通控制与管理信息化，“向科技要警力”，提高现有道路通行能力，解决交通安全与快捷通行之间的矛盾，进而保障人民财产与生命安全。完成了项目的数量指标：主城区新增红绿灯及闯红灯抓拍系统三级指标中，共采购交通信号设备类16种，违反信号抓拍设备类33种；主城区新增闯红灯抓拍系统三级指标中，共采购违反信号灯抓拍设备类21种，市政施工类5种；主城区交通信号灯待行屏控制系统共采购货物11种；主城区电子警察监控系统、红绿灯备用件共采购货物23种。质量指标：所有采购货物验收合格，整个项目工程完毕后验收合格。所有产品按照要求提供检测报告的，已提供检测报告；按照要求属于《节能产品政府采购品目清单》范围内的，已提供强制节能产品在有效期内的节能产品认证证书；按照要求属于《信息安全产品强制认证目录》中的产品，已按要求提供中国信息安全认证中心按国家标准认证颁发的有效认证证书。时效指标：该工程在2021年3月30日安装完毕，市交警支队2021年7月26日组织验收，严格按照合同施工进度完工。成本指标：财政评审预算控制价为319.5863万元，最终合同价315.26933万元，达到成本控制目标。项目资金结余在市财政局，市交警支队无项目资金结余。无违纪违规记录。</w:t>
      </w:r>
    </w:p>
    <w:p w14:paraId="64F8E43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（二）项目效益情况。</w:t>
      </w:r>
    </w:p>
    <w:p w14:paraId="35E2DB8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本项目通过实施，产生了巨大社会效益：</w:t>
      </w:r>
      <w:r>
        <w:rPr>
          <w:rFonts w:hint="eastAsia" w:ascii="仿宋" w:hAnsi="仿宋" w:eastAsia="仿宋" w:cs="仿宋"/>
          <w:color w:val="auto"/>
          <w:kern w:val="0"/>
          <w:sz w:val="32"/>
          <w:szCs w:val="32"/>
          <w:highlight w:val="none"/>
          <w:u w:val="none"/>
          <w:shd w:val="clear" w:color="auto" w:fill="FFFFFF"/>
          <w:lang w:val="en-US" w:eastAsia="zh-CN"/>
        </w:rPr>
        <w:t>1.“向科技要警力”，通过系统自动控制，节省了警力，提高了科技含量；2.提高了路面通行速度，经过测算，项目实施后的通行能力比项目实施前提高了近30%。由于该项目的实施，提高现有道路通行能力，解决交通安全与快捷通行之间的矛盾，进而保障人民财产与生命安全，交通参与者满意度大幅上升，经调查满意度测评，满意度达到95.41%。</w:t>
      </w:r>
    </w:p>
    <w:p w14:paraId="200C2B0D">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五、评价结论及建议</w:t>
      </w:r>
    </w:p>
    <w:p w14:paraId="109776DC">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（一）评价结论。</w:t>
      </w:r>
    </w:p>
    <w:p w14:paraId="7874B00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结合项目本身特点，本项目实施具有可行性和必要性，实施后产生了巨大效益，完成了项目的绩效目标，达到了预期目的。</w:t>
      </w:r>
    </w:p>
    <w:p w14:paraId="20484E48">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（二）存在的问题。</w:t>
      </w:r>
    </w:p>
    <w:p w14:paraId="59DB8D81">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en-US" w:eastAsia="zh-CN"/>
        </w:rPr>
      </w:pPr>
      <w:r>
        <w:rPr>
          <w:rFonts w:hint="eastAsia" w:ascii="仿宋" w:hAnsi="仿宋" w:eastAsia="仿宋" w:cs="仿宋"/>
          <w:color w:val="auto"/>
          <w:kern w:val="0"/>
          <w:sz w:val="32"/>
          <w:szCs w:val="32"/>
          <w:highlight w:val="none"/>
          <w:u w:val="none"/>
          <w:shd w:val="clear" w:color="auto" w:fill="FFFFFF"/>
          <w:lang w:val="zh-CN"/>
        </w:rPr>
        <w:t>无</w:t>
      </w:r>
    </w:p>
    <w:p w14:paraId="53EC038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 w:hAnsi="仿宋" w:eastAsia="仿宋" w:cs="仿宋"/>
          <w:b/>
          <w:color w:val="auto"/>
          <w:sz w:val="32"/>
          <w:szCs w:val="32"/>
          <w:highlight w:val="none"/>
          <w:u w:val="none"/>
          <w:lang w:val="zh-CN"/>
        </w:rPr>
      </w:pPr>
      <w:r>
        <w:rPr>
          <w:rFonts w:hint="eastAsia" w:ascii="仿宋" w:hAnsi="仿宋" w:eastAsia="仿宋" w:cs="仿宋"/>
          <w:b/>
          <w:color w:val="auto"/>
          <w:sz w:val="32"/>
          <w:szCs w:val="32"/>
          <w:highlight w:val="none"/>
          <w:u w:val="none"/>
          <w:lang w:val="zh-CN"/>
        </w:rPr>
        <w:t>（三）相关建议。</w:t>
      </w:r>
    </w:p>
    <w:p w14:paraId="788894F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 w:hAnsi="仿宋" w:eastAsia="仿宋" w:cs="仿宋"/>
          <w:color w:val="auto"/>
          <w:kern w:val="0"/>
          <w:sz w:val="32"/>
          <w:szCs w:val="32"/>
          <w:highlight w:val="none"/>
          <w:u w:val="none"/>
          <w:shd w:val="clear" w:color="auto" w:fill="FFFFFF"/>
          <w:lang w:val="zh-CN"/>
        </w:rPr>
      </w:pPr>
      <w:r>
        <w:rPr>
          <w:rFonts w:hint="eastAsia" w:ascii="仿宋" w:hAnsi="仿宋" w:eastAsia="仿宋" w:cs="仿宋"/>
          <w:color w:val="auto"/>
          <w:kern w:val="0"/>
          <w:sz w:val="32"/>
          <w:szCs w:val="32"/>
          <w:highlight w:val="none"/>
          <w:u w:val="none"/>
          <w:shd w:val="clear" w:color="auto" w:fill="FFFFFF"/>
          <w:lang w:val="zh-CN"/>
        </w:rPr>
        <w:t>大力实施类似项目，</w:t>
      </w:r>
      <w:r>
        <w:rPr>
          <w:rFonts w:hint="eastAsia" w:ascii="仿宋" w:hAnsi="仿宋" w:eastAsia="仿宋" w:cs="仿宋"/>
          <w:color w:val="auto"/>
          <w:kern w:val="0"/>
          <w:sz w:val="32"/>
          <w:szCs w:val="32"/>
          <w:highlight w:val="none"/>
          <w:u w:val="none"/>
          <w:shd w:val="clear" w:color="auto" w:fill="FFFFFF"/>
          <w:lang w:val="en-US" w:eastAsia="zh-CN"/>
        </w:rPr>
        <w:t>“向科技要警力”，用科技管控交通，用智能引导交通</w:t>
      </w:r>
      <w:r>
        <w:rPr>
          <w:rFonts w:hint="eastAsia" w:ascii="仿宋" w:hAnsi="仿宋" w:eastAsia="仿宋" w:cs="仿宋"/>
          <w:color w:val="auto"/>
          <w:kern w:val="0"/>
          <w:sz w:val="32"/>
          <w:szCs w:val="32"/>
          <w:highlight w:val="none"/>
          <w:u w:val="none"/>
          <w:shd w:val="clear" w:color="auto" w:fill="FFFFFF"/>
          <w:lang w:val="zh-CN"/>
        </w:rPr>
        <w:t>。</w:t>
      </w:r>
    </w:p>
    <w:p w14:paraId="194ADB92">
      <w:pPr>
        <w:keepNext w:val="0"/>
        <w:keepLines w:val="0"/>
        <w:pageBreakBefore w:val="0"/>
        <w:kinsoku/>
        <w:wordWrap/>
        <w:overflowPunct/>
        <w:topLinePunct w:val="0"/>
        <w:autoSpaceDE/>
        <w:autoSpaceDN/>
        <w:bidi w:val="0"/>
        <w:adjustRightInd w:val="0"/>
        <w:snapToGrid w:val="0"/>
        <w:spacing w:line="600" w:lineRule="exact"/>
        <w:ind w:firstLine="643" w:firstLineChars="200"/>
        <w:jc w:val="center"/>
        <w:textAlignment w:val="auto"/>
        <w:rPr>
          <w:rFonts w:hint="default" w:ascii="仿宋" w:hAnsi="仿宋" w:eastAsia="仿宋" w:cs="仿宋"/>
          <w:b/>
          <w:bCs/>
          <w:sz w:val="32"/>
          <w:szCs w:val="32"/>
          <w:lang w:val="en-US" w:eastAsia="zh-CN"/>
        </w:rPr>
      </w:pPr>
    </w:p>
    <w:p w14:paraId="7B6241F7">
      <w:pPr>
        <w:spacing w:line="600" w:lineRule="exact"/>
        <w:jc w:val="center"/>
        <w:outlineLvl w:val="0"/>
        <w:rPr>
          <w:rStyle w:val="27"/>
          <w:rFonts w:hint="eastAsia" w:ascii="仿宋" w:hAnsi="仿宋" w:eastAsia="仿宋" w:cs="仿宋"/>
          <w:b w:val="0"/>
          <w:sz w:val="30"/>
          <w:szCs w:val="30"/>
        </w:rPr>
      </w:pPr>
      <w:r>
        <w:rPr>
          <w:rFonts w:hint="eastAsia" w:ascii="黑体" w:hAnsi="黑体" w:eastAsia="黑体" w:cs="黑体"/>
          <w:color w:val="000000"/>
          <w:sz w:val="52"/>
          <w:szCs w:val="52"/>
        </w:rPr>
        <w:t>第</w:t>
      </w:r>
      <w:r>
        <w:rPr>
          <w:rStyle w:val="27"/>
          <w:rFonts w:hint="eastAsia" w:ascii="黑体" w:hAnsi="黑体" w:eastAsia="黑体" w:cs="黑体"/>
          <w:b w:val="0"/>
          <w:sz w:val="52"/>
          <w:szCs w:val="52"/>
        </w:rPr>
        <w:t>五部分 附表</w:t>
      </w:r>
      <w:bookmarkEnd w:id="57"/>
      <w:bookmarkEnd w:id="58"/>
      <w:bookmarkStart w:id="59" w:name="_Toc15396619"/>
    </w:p>
    <w:p w14:paraId="18A7311B">
      <w:pPr>
        <w:spacing w:line="600" w:lineRule="exact"/>
        <w:jc w:val="left"/>
        <w:outlineLvl w:val="0"/>
        <w:rPr>
          <w:rStyle w:val="28"/>
          <w:rFonts w:hint="eastAsia" w:ascii="仿宋" w:hAnsi="仿宋" w:eastAsia="仿宋" w:cs="仿宋"/>
          <w:b w:val="0"/>
          <w:bCs w:val="0"/>
          <w:sz w:val="30"/>
          <w:szCs w:val="30"/>
        </w:rPr>
      </w:pPr>
      <w:r>
        <w:rPr>
          <w:rFonts w:hint="eastAsia" w:ascii="仿宋" w:hAnsi="仿宋" w:eastAsia="仿宋" w:cs="仿宋"/>
          <w:b w:val="0"/>
          <w:color w:val="000000"/>
          <w:sz w:val="30"/>
          <w:szCs w:val="30"/>
        </w:rPr>
        <w:t>一、收</w:t>
      </w:r>
      <w:r>
        <w:rPr>
          <w:rStyle w:val="28"/>
          <w:rFonts w:hint="eastAsia" w:ascii="仿宋" w:hAnsi="仿宋" w:eastAsia="仿宋" w:cs="仿宋"/>
          <w:b w:val="0"/>
          <w:bCs w:val="0"/>
          <w:sz w:val="30"/>
          <w:szCs w:val="30"/>
        </w:rPr>
        <w:t>入支出决算总表</w:t>
      </w:r>
      <w:bookmarkEnd w:id="59"/>
      <w:bookmarkStart w:id="60" w:name="_Toc15396620"/>
    </w:p>
    <w:p w14:paraId="160B3CD7">
      <w:pPr>
        <w:spacing w:line="600" w:lineRule="exact"/>
        <w:jc w:val="left"/>
        <w:outlineLvl w:val="0"/>
        <w:rPr>
          <w:rStyle w:val="28"/>
          <w:rFonts w:hint="eastAsia" w:ascii="仿宋" w:hAnsi="仿宋" w:eastAsia="仿宋" w:cs="仿宋"/>
          <w:b w:val="0"/>
          <w:bCs w:val="0"/>
          <w:sz w:val="30"/>
          <w:szCs w:val="30"/>
        </w:rPr>
      </w:pPr>
      <w:r>
        <w:rPr>
          <w:rFonts w:hint="eastAsia" w:ascii="仿宋" w:hAnsi="仿宋" w:eastAsia="仿宋" w:cs="仿宋"/>
          <w:b w:val="0"/>
          <w:color w:val="000000"/>
          <w:sz w:val="30"/>
          <w:szCs w:val="30"/>
        </w:rPr>
        <w:t>二、收</w:t>
      </w:r>
      <w:r>
        <w:rPr>
          <w:rStyle w:val="28"/>
          <w:rFonts w:hint="eastAsia" w:ascii="仿宋" w:hAnsi="仿宋" w:eastAsia="仿宋" w:cs="仿宋"/>
          <w:b w:val="0"/>
          <w:bCs w:val="0"/>
          <w:sz w:val="30"/>
          <w:szCs w:val="30"/>
        </w:rPr>
        <w:t>入</w:t>
      </w:r>
      <w:r>
        <w:rPr>
          <w:rStyle w:val="28"/>
          <w:rFonts w:hint="eastAsia" w:ascii="仿宋" w:hAnsi="仿宋" w:eastAsia="仿宋" w:cs="仿宋"/>
          <w:b w:val="0"/>
          <w:bCs w:val="0"/>
          <w:sz w:val="30"/>
          <w:szCs w:val="30"/>
          <w:lang w:eastAsia="zh-CN"/>
        </w:rPr>
        <w:t>决算</w:t>
      </w:r>
      <w:r>
        <w:rPr>
          <w:rStyle w:val="28"/>
          <w:rFonts w:hint="eastAsia" w:ascii="仿宋" w:hAnsi="仿宋" w:eastAsia="仿宋" w:cs="仿宋"/>
          <w:b w:val="0"/>
          <w:bCs w:val="0"/>
          <w:sz w:val="30"/>
          <w:szCs w:val="30"/>
        </w:rPr>
        <w:t>表</w:t>
      </w:r>
      <w:bookmarkEnd w:id="60"/>
      <w:bookmarkStart w:id="61" w:name="_Toc15396621"/>
    </w:p>
    <w:p w14:paraId="4840EB5B">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三、</w:t>
      </w:r>
      <w:r>
        <w:rPr>
          <w:rFonts w:hint="eastAsia" w:ascii="仿宋" w:hAnsi="仿宋" w:eastAsia="仿宋" w:cs="仿宋"/>
          <w:b w:val="0"/>
          <w:color w:val="000000"/>
          <w:sz w:val="30"/>
          <w:szCs w:val="30"/>
        </w:rPr>
        <w:t>支</w:t>
      </w:r>
      <w:r>
        <w:rPr>
          <w:rStyle w:val="28"/>
          <w:rFonts w:hint="eastAsia" w:ascii="仿宋" w:hAnsi="仿宋" w:eastAsia="仿宋" w:cs="仿宋"/>
          <w:b w:val="0"/>
          <w:bCs w:val="0"/>
          <w:sz w:val="30"/>
          <w:szCs w:val="30"/>
        </w:rPr>
        <w:t>出</w:t>
      </w:r>
      <w:r>
        <w:rPr>
          <w:rStyle w:val="28"/>
          <w:rFonts w:hint="eastAsia" w:ascii="仿宋" w:hAnsi="仿宋" w:eastAsia="仿宋" w:cs="仿宋"/>
          <w:b w:val="0"/>
          <w:bCs w:val="0"/>
          <w:sz w:val="30"/>
          <w:szCs w:val="30"/>
          <w:lang w:eastAsia="zh-CN"/>
        </w:rPr>
        <w:t>决算</w:t>
      </w:r>
      <w:r>
        <w:rPr>
          <w:rStyle w:val="28"/>
          <w:rFonts w:hint="eastAsia" w:ascii="仿宋" w:hAnsi="仿宋" w:eastAsia="仿宋" w:cs="仿宋"/>
          <w:b w:val="0"/>
          <w:bCs w:val="0"/>
          <w:sz w:val="30"/>
          <w:szCs w:val="30"/>
        </w:rPr>
        <w:t>表</w:t>
      </w:r>
      <w:bookmarkEnd w:id="61"/>
      <w:bookmarkStart w:id="62" w:name="_Toc15396622"/>
    </w:p>
    <w:p w14:paraId="5780190E">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四、</w:t>
      </w:r>
      <w:r>
        <w:rPr>
          <w:rFonts w:hint="eastAsia" w:ascii="仿宋" w:hAnsi="仿宋" w:eastAsia="仿宋" w:cs="仿宋"/>
          <w:b w:val="0"/>
          <w:color w:val="000000"/>
          <w:sz w:val="30"/>
          <w:szCs w:val="30"/>
        </w:rPr>
        <w:t>财</w:t>
      </w:r>
      <w:r>
        <w:rPr>
          <w:rStyle w:val="28"/>
          <w:rFonts w:hint="eastAsia" w:ascii="仿宋" w:hAnsi="仿宋" w:eastAsia="仿宋" w:cs="仿宋"/>
          <w:b w:val="0"/>
          <w:bCs w:val="0"/>
          <w:sz w:val="30"/>
          <w:szCs w:val="30"/>
        </w:rPr>
        <w:t>政拨款收入支出决算总表</w:t>
      </w:r>
      <w:bookmarkEnd w:id="62"/>
      <w:bookmarkStart w:id="63" w:name="_Toc15396623"/>
    </w:p>
    <w:p w14:paraId="42A23E8B">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五、</w:t>
      </w:r>
      <w:r>
        <w:rPr>
          <w:rFonts w:hint="eastAsia" w:ascii="仿宋" w:hAnsi="仿宋" w:eastAsia="仿宋" w:cs="仿宋"/>
          <w:b w:val="0"/>
          <w:color w:val="000000"/>
          <w:sz w:val="30"/>
          <w:szCs w:val="30"/>
        </w:rPr>
        <w:t>财</w:t>
      </w:r>
      <w:r>
        <w:rPr>
          <w:rStyle w:val="28"/>
          <w:rFonts w:hint="eastAsia" w:ascii="仿宋" w:hAnsi="仿宋" w:eastAsia="仿宋" w:cs="仿宋"/>
          <w:b w:val="0"/>
          <w:bCs w:val="0"/>
          <w:sz w:val="30"/>
          <w:szCs w:val="30"/>
        </w:rPr>
        <w:t>政拨款支出决算明细表</w:t>
      </w:r>
      <w:bookmarkEnd w:id="63"/>
      <w:bookmarkStart w:id="64" w:name="_Toc15396624"/>
    </w:p>
    <w:p w14:paraId="75857993">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六、</w:t>
      </w:r>
      <w:r>
        <w:rPr>
          <w:rFonts w:hint="eastAsia" w:ascii="仿宋" w:hAnsi="仿宋" w:eastAsia="仿宋" w:cs="仿宋"/>
          <w:b w:val="0"/>
          <w:color w:val="000000"/>
          <w:sz w:val="30"/>
          <w:szCs w:val="30"/>
        </w:rPr>
        <w:t>一</w:t>
      </w:r>
      <w:r>
        <w:rPr>
          <w:rStyle w:val="28"/>
          <w:rFonts w:hint="eastAsia" w:ascii="仿宋" w:hAnsi="仿宋" w:eastAsia="仿宋" w:cs="仿宋"/>
          <w:b w:val="0"/>
          <w:bCs w:val="0"/>
          <w:sz w:val="30"/>
          <w:szCs w:val="30"/>
        </w:rPr>
        <w:t>般公共预算财政拨款支出决算表</w:t>
      </w:r>
      <w:bookmarkEnd w:id="64"/>
      <w:bookmarkStart w:id="65" w:name="_Toc15396625"/>
    </w:p>
    <w:p w14:paraId="52DEFB08">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七、</w:t>
      </w:r>
      <w:r>
        <w:rPr>
          <w:rFonts w:hint="eastAsia" w:ascii="仿宋" w:hAnsi="仿宋" w:eastAsia="仿宋" w:cs="仿宋"/>
          <w:b w:val="0"/>
          <w:color w:val="000000"/>
          <w:sz w:val="30"/>
          <w:szCs w:val="30"/>
        </w:rPr>
        <w:t>一</w:t>
      </w:r>
      <w:r>
        <w:rPr>
          <w:rStyle w:val="28"/>
          <w:rFonts w:hint="eastAsia" w:ascii="仿宋" w:hAnsi="仿宋" w:eastAsia="仿宋" w:cs="仿宋"/>
          <w:b w:val="0"/>
          <w:bCs w:val="0"/>
          <w:sz w:val="30"/>
          <w:szCs w:val="30"/>
        </w:rPr>
        <w:t>般公共预算财政拨款支出决算明细表</w:t>
      </w:r>
      <w:bookmarkEnd w:id="65"/>
      <w:bookmarkStart w:id="66" w:name="_Toc15396626"/>
    </w:p>
    <w:p w14:paraId="4F1BEB34">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八、</w:t>
      </w:r>
      <w:r>
        <w:rPr>
          <w:rFonts w:hint="eastAsia" w:ascii="仿宋" w:hAnsi="仿宋" w:eastAsia="仿宋" w:cs="仿宋"/>
          <w:b w:val="0"/>
          <w:color w:val="000000"/>
          <w:sz w:val="30"/>
          <w:szCs w:val="30"/>
        </w:rPr>
        <w:t>一</w:t>
      </w:r>
      <w:r>
        <w:rPr>
          <w:rStyle w:val="28"/>
          <w:rFonts w:hint="eastAsia" w:ascii="仿宋" w:hAnsi="仿宋" w:eastAsia="仿宋" w:cs="仿宋"/>
          <w:b w:val="0"/>
          <w:bCs w:val="0"/>
          <w:sz w:val="30"/>
          <w:szCs w:val="30"/>
        </w:rPr>
        <w:t>般公共预算财政拨款基本支出决算</w:t>
      </w:r>
      <w:r>
        <w:rPr>
          <w:rStyle w:val="28"/>
          <w:rFonts w:hint="eastAsia" w:ascii="仿宋" w:hAnsi="仿宋" w:eastAsia="仿宋" w:cs="仿宋"/>
          <w:b w:val="0"/>
          <w:bCs w:val="0"/>
          <w:sz w:val="30"/>
          <w:szCs w:val="30"/>
          <w:lang w:eastAsia="zh-CN"/>
        </w:rPr>
        <w:t>明细</w:t>
      </w:r>
      <w:r>
        <w:rPr>
          <w:rStyle w:val="28"/>
          <w:rFonts w:hint="eastAsia" w:ascii="仿宋" w:hAnsi="仿宋" w:eastAsia="仿宋" w:cs="仿宋"/>
          <w:b w:val="0"/>
          <w:bCs w:val="0"/>
          <w:sz w:val="30"/>
          <w:szCs w:val="30"/>
        </w:rPr>
        <w:t>表</w:t>
      </w:r>
      <w:bookmarkEnd w:id="66"/>
      <w:bookmarkStart w:id="67" w:name="_Toc15396627"/>
    </w:p>
    <w:p w14:paraId="472CFBE4">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九、</w:t>
      </w:r>
      <w:r>
        <w:rPr>
          <w:rFonts w:hint="eastAsia" w:ascii="仿宋" w:hAnsi="仿宋" w:eastAsia="仿宋" w:cs="仿宋"/>
          <w:b w:val="0"/>
          <w:color w:val="000000"/>
          <w:sz w:val="30"/>
          <w:szCs w:val="30"/>
        </w:rPr>
        <w:t>一</w:t>
      </w:r>
      <w:r>
        <w:rPr>
          <w:rStyle w:val="28"/>
          <w:rFonts w:hint="eastAsia" w:ascii="仿宋" w:hAnsi="仿宋" w:eastAsia="仿宋" w:cs="仿宋"/>
          <w:b w:val="0"/>
          <w:bCs w:val="0"/>
          <w:sz w:val="30"/>
          <w:szCs w:val="30"/>
        </w:rPr>
        <w:t>般公共预算财政拨款项目支出决算表</w:t>
      </w:r>
      <w:bookmarkEnd w:id="67"/>
      <w:bookmarkStart w:id="68" w:name="_Toc15396628"/>
    </w:p>
    <w:p w14:paraId="62A5C92F">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十、</w:t>
      </w:r>
      <w:bookmarkEnd w:id="68"/>
      <w:bookmarkStart w:id="69" w:name="_Toc15396629"/>
      <w:r>
        <w:rPr>
          <w:rFonts w:hint="eastAsia" w:ascii="仿宋" w:hAnsi="仿宋" w:eastAsia="仿宋" w:cs="仿宋"/>
          <w:b w:val="0"/>
          <w:color w:val="000000"/>
          <w:sz w:val="30"/>
          <w:szCs w:val="30"/>
        </w:rPr>
        <w:t>政</w:t>
      </w:r>
      <w:r>
        <w:rPr>
          <w:rStyle w:val="28"/>
          <w:rFonts w:hint="eastAsia" w:ascii="仿宋" w:hAnsi="仿宋" w:eastAsia="仿宋" w:cs="仿宋"/>
          <w:b w:val="0"/>
          <w:bCs w:val="0"/>
          <w:sz w:val="30"/>
          <w:szCs w:val="30"/>
        </w:rPr>
        <w:t>府性基金预算财政拨款收入支出决算表</w:t>
      </w:r>
      <w:bookmarkEnd w:id="69"/>
      <w:bookmarkStart w:id="70" w:name="_Toc15396631"/>
    </w:p>
    <w:p w14:paraId="4D89D9EA">
      <w:pPr>
        <w:spacing w:line="600" w:lineRule="exact"/>
        <w:jc w:val="left"/>
        <w:outlineLvl w:val="0"/>
        <w:rPr>
          <w:rStyle w:val="28"/>
          <w:rFonts w:hint="eastAsia" w:ascii="仿宋" w:hAnsi="仿宋" w:eastAsia="仿宋" w:cs="仿宋"/>
          <w:b w:val="0"/>
          <w:bCs w:val="0"/>
          <w:sz w:val="30"/>
          <w:szCs w:val="30"/>
        </w:rPr>
      </w:pPr>
      <w:r>
        <w:rPr>
          <w:rStyle w:val="28"/>
          <w:rFonts w:hint="eastAsia" w:ascii="仿宋" w:hAnsi="仿宋" w:eastAsia="仿宋" w:cs="仿宋"/>
          <w:b w:val="0"/>
          <w:bCs w:val="0"/>
          <w:sz w:val="30"/>
          <w:szCs w:val="30"/>
        </w:rPr>
        <w:t>十</w:t>
      </w:r>
      <w:r>
        <w:rPr>
          <w:rStyle w:val="28"/>
          <w:rFonts w:hint="eastAsia" w:ascii="仿宋" w:hAnsi="仿宋" w:eastAsia="仿宋" w:cs="仿宋"/>
          <w:b w:val="0"/>
          <w:bCs w:val="0"/>
          <w:sz w:val="30"/>
          <w:szCs w:val="30"/>
          <w:lang w:eastAsia="zh-CN"/>
        </w:rPr>
        <w:t>一</w:t>
      </w:r>
      <w:r>
        <w:rPr>
          <w:rStyle w:val="28"/>
          <w:rFonts w:hint="eastAsia" w:ascii="仿宋" w:hAnsi="仿宋" w:eastAsia="仿宋" w:cs="仿宋"/>
          <w:b w:val="0"/>
          <w:bCs w:val="0"/>
          <w:sz w:val="30"/>
          <w:szCs w:val="30"/>
        </w:rPr>
        <w:t>、</w:t>
      </w:r>
      <w:r>
        <w:rPr>
          <w:rFonts w:hint="eastAsia" w:ascii="仿宋" w:hAnsi="仿宋" w:eastAsia="仿宋" w:cs="仿宋"/>
          <w:b w:val="0"/>
          <w:color w:val="000000"/>
          <w:sz w:val="30"/>
          <w:szCs w:val="30"/>
        </w:rPr>
        <w:t>国</w:t>
      </w:r>
      <w:r>
        <w:rPr>
          <w:rStyle w:val="28"/>
          <w:rFonts w:hint="eastAsia" w:ascii="仿宋" w:hAnsi="仿宋" w:eastAsia="仿宋" w:cs="仿宋"/>
          <w:b w:val="0"/>
          <w:bCs w:val="0"/>
          <w:sz w:val="30"/>
          <w:szCs w:val="30"/>
        </w:rPr>
        <w:t>有资本经营预算</w:t>
      </w:r>
      <w:r>
        <w:rPr>
          <w:rStyle w:val="28"/>
          <w:rFonts w:hint="eastAsia" w:ascii="仿宋" w:hAnsi="仿宋" w:eastAsia="仿宋" w:cs="仿宋"/>
          <w:b w:val="0"/>
          <w:bCs w:val="0"/>
          <w:sz w:val="30"/>
          <w:szCs w:val="30"/>
          <w:lang w:eastAsia="zh-CN"/>
        </w:rPr>
        <w:t>财政拨款收入</w:t>
      </w:r>
      <w:r>
        <w:rPr>
          <w:rStyle w:val="28"/>
          <w:rFonts w:hint="eastAsia" w:ascii="仿宋" w:hAnsi="仿宋" w:eastAsia="仿宋" w:cs="仿宋"/>
          <w:b w:val="0"/>
          <w:bCs w:val="0"/>
          <w:sz w:val="30"/>
          <w:szCs w:val="30"/>
        </w:rPr>
        <w:t>支出决算表</w:t>
      </w:r>
      <w:bookmarkEnd w:id="70"/>
    </w:p>
    <w:p w14:paraId="51CECB6A">
      <w:pPr>
        <w:jc w:val="left"/>
        <w:rPr>
          <w:rStyle w:val="28"/>
          <w:rFonts w:hint="eastAsia" w:ascii="仿宋" w:hAnsi="仿宋" w:eastAsia="仿宋" w:cs="仿宋"/>
          <w:b w:val="0"/>
          <w:bCs w:val="0"/>
          <w:sz w:val="30"/>
          <w:szCs w:val="30"/>
          <w:lang w:eastAsia="zh-CN"/>
        </w:rPr>
      </w:pPr>
      <w:r>
        <w:rPr>
          <w:rStyle w:val="28"/>
          <w:rFonts w:hint="eastAsia" w:ascii="仿宋" w:hAnsi="仿宋" w:eastAsia="仿宋" w:cs="仿宋"/>
          <w:b w:val="0"/>
          <w:bCs w:val="0"/>
          <w:sz w:val="30"/>
          <w:szCs w:val="30"/>
          <w:lang w:eastAsia="zh-CN"/>
        </w:rPr>
        <w:t>十二、国有资本经营预算财政拨款支出决算表</w:t>
      </w:r>
    </w:p>
    <w:p w14:paraId="0E478AC1">
      <w:pPr>
        <w:jc w:val="left"/>
        <w:rPr>
          <w:rFonts w:hint="eastAsia"/>
          <w:lang w:eastAsia="zh-CN"/>
        </w:rPr>
      </w:pPr>
      <w:r>
        <w:rPr>
          <w:rStyle w:val="28"/>
          <w:rFonts w:hint="eastAsia" w:ascii="仿宋" w:hAnsi="仿宋" w:eastAsia="仿宋" w:cs="仿宋"/>
          <w:b w:val="0"/>
          <w:bCs w:val="0"/>
          <w:sz w:val="30"/>
          <w:szCs w:val="30"/>
          <w:lang w:eastAsia="zh-CN"/>
        </w:rPr>
        <w:t>十三、财政拨款“三公”经费支出决算表</w:t>
      </w:r>
    </w:p>
    <w:sectPr>
      <w:headerReference r:id="rId3" w:type="default"/>
      <w:footerReference r:id="rId4" w:type="default"/>
      <w:pgSz w:w="11906" w:h="16838"/>
      <w:pgMar w:top="1440" w:right="1800" w:bottom="1440" w:left="118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4B760278">
        <w:pPr>
          <w:pStyle w:val="10"/>
          <w:jc w:val="center"/>
        </w:pPr>
        <w:r>
          <w:fldChar w:fldCharType="begin"/>
        </w:r>
        <w:r>
          <w:instrText xml:space="preserve">PAGE   \* MERGEFORMAT</w:instrText>
        </w:r>
        <w:r>
          <w:fldChar w:fldCharType="separate"/>
        </w:r>
        <w:r>
          <w:rPr>
            <w:lang w:val="zh-CN"/>
          </w:rPr>
          <w:t>3</w:t>
        </w:r>
        <w:r>
          <w:rPr>
            <w:lang w:val="zh-CN"/>
          </w:rPr>
          <w:fldChar w:fldCharType="end"/>
        </w:r>
      </w:p>
    </w:sdtContent>
  </w:sdt>
  <w:p w14:paraId="490697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B0A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9A7027FA"/>
    <w:multiLevelType w:val="singleLevel"/>
    <w:tmpl w:val="9A7027FA"/>
    <w:lvl w:ilvl="0" w:tentative="0">
      <w:start w:val="2"/>
      <w:numFmt w:val="decimal"/>
      <w:suff w:val="nothing"/>
      <w:lvlText w:val="%1．"/>
      <w:lvlJc w:val="left"/>
    </w:lvl>
  </w:abstractNum>
  <w:abstractNum w:abstractNumId="2">
    <w:nsid w:val="A862F95A"/>
    <w:multiLevelType w:val="singleLevel"/>
    <w:tmpl w:val="A862F95A"/>
    <w:lvl w:ilvl="0" w:tentative="0">
      <w:start w:val="4"/>
      <w:numFmt w:val="chineseCounting"/>
      <w:suff w:val="nothing"/>
      <w:lvlText w:val="（%1）"/>
      <w:lvlJc w:val="left"/>
      <w:rPr>
        <w:rFonts w:hint="eastAsia"/>
      </w:rPr>
    </w:lvl>
  </w:abstractNum>
  <w:abstractNum w:abstractNumId="3">
    <w:nsid w:val="D0CF6EB9"/>
    <w:multiLevelType w:val="singleLevel"/>
    <w:tmpl w:val="D0CF6EB9"/>
    <w:lvl w:ilvl="0" w:tentative="0">
      <w:start w:val="3"/>
      <w:numFmt w:val="decimal"/>
      <w:suff w:val="nothing"/>
      <w:lvlText w:val="%1．"/>
      <w:lvlJc w:val="left"/>
    </w:lvl>
  </w:abstractNum>
  <w:abstractNum w:abstractNumId="4">
    <w:nsid w:val="DEBEF323"/>
    <w:multiLevelType w:val="singleLevel"/>
    <w:tmpl w:val="DEBEF323"/>
    <w:lvl w:ilvl="0" w:tentative="0">
      <w:start w:val="4"/>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FFF674BC"/>
    <w:multiLevelType w:val="singleLevel"/>
    <w:tmpl w:val="FFF674BC"/>
    <w:lvl w:ilvl="0" w:tentative="0">
      <w:start w:val="1"/>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5652553"/>
    <w:multiLevelType w:val="singleLevel"/>
    <w:tmpl w:val="25652553"/>
    <w:lvl w:ilvl="0" w:tentative="0">
      <w:start w:val="1"/>
      <w:numFmt w:val="decimal"/>
      <w:lvlText w:val="%1."/>
      <w:lvlJc w:val="left"/>
      <w:pPr>
        <w:tabs>
          <w:tab w:val="left" w:pos="312"/>
        </w:tabs>
      </w:pPr>
    </w:lvl>
  </w:abstractNum>
  <w:abstractNum w:abstractNumId="9">
    <w:nsid w:val="2CC20447"/>
    <w:multiLevelType w:val="singleLevel"/>
    <w:tmpl w:val="2CC20447"/>
    <w:lvl w:ilvl="0" w:tentative="0">
      <w:start w:val="2"/>
      <w:numFmt w:val="chineseCounting"/>
      <w:suff w:val="nothing"/>
      <w:lvlText w:val="（%1）"/>
      <w:lvlJc w:val="left"/>
      <w:rPr>
        <w:rFonts w:hint="eastAsia"/>
      </w:rPr>
    </w:lvl>
  </w:abstractNum>
  <w:abstractNum w:abstractNumId="10">
    <w:nsid w:val="494C32CF"/>
    <w:multiLevelType w:val="singleLevel"/>
    <w:tmpl w:val="494C32CF"/>
    <w:lvl w:ilvl="0" w:tentative="0">
      <w:start w:val="1"/>
      <w:numFmt w:val="chineseCounting"/>
      <w:suff w:val="nothing"/>
      <w:lvlText w:val="（%1）"/>
      <w:lvlJc w:val="left"/>
      <w:rPr>
        <w:rFonts w:hint="eastAsia"/>
      </w:rPr>
    </w:lvl>
  </w:abstractNum>
  <w:abstractNum w:abstractNumId="11">
    <w:nsid w:val="5BCE1132"/>
    <w:multiLevelType w:val="singleLevel"/>
    <w:tmpl w:val="5BCE1132"/>
    <w:lvl w:ilvl="0" w:tentative="0">
      <w:start w:val="4"/>
      <w:numFmt w:val="decimal"/>
      <w:suff w:val="nothing"/>
      <w:lvlText w:val="%1．"/>
      <w:lvlJc w:val="left"/>
    </w:lvl>
  </w:abstractNum>
  <w:abstractNum w:abstractNumId="12">
    <w:nsid w:val="7F467602"/>
    <w:multiLevelType w:val="singleLevel"/>
    <w:tmpl w:val="7F467602"/>
    <w:lvl w:ilvl="0" w:tentative="0">
      <w:start w:val="4"/>
      <w:numFmt w:val="decimal"/>
      <w:suff w:val="nothing"/>
      <w:lvlText w:val="%1．"/>
      <w:lvlJc w:val="left"/>
    </w:lvl>
  </w:abstractNum>
  <w:num w:numId="1">
    <w:abstractNumId w:val="7"/>
  </w:num>
  <w:num w:numId="2">
    <w:abstractNumId w:val="0"/>
  </w:num>
  <w:num w:numId="3">
    <w:abstractNumId w:val="8"/>
  </w:num>
  <w:num w:numId="4">
    <w:abstractNumId w:val="2"/>
  </w:num>
  <w:num w:numId="5">
    <w:abstractNumId w:val="5"/>
  </w:num>
  <w:num w:numId="6">
    <w:abstractNumId w:val="6"/>
  </w:num>
  <w:num w:numId="7">
    <w:abstractNumId w:val="10"/>
  </w:num>
  <w:num w:numId="8">
    <w:abstractNumId w:val="4"/>
  </w:num>
  <w:num w:numId="9">
    <w:abstractNumId w:val="11"/>
  </w:num>
  <w:num w:numId="10">
    <w:abstractNumId w:val="1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YmJiZDg2NDNlZmIyZGRlNDYxYzBjMWYxMDk2YWEifQ=="/>
  </w:docVars>
  <w:rsids>
    <w:rsidRoot w:val="00F1361C"/>
    <w:rsid w:val="00007E1C"/>
    <w:rsid w:val="00014B16"/>
    <w:rsid w:val="00015D91"/>
    <w:rsid w:val="00021296"/>
    <w:rsid w:val="000222C6"/>
    <w:rsid w:val="00025322"/>
    <w:rsid w:val="0002549F"/>
    <w:rsid w:val="0002689C"/>
    <w:rsid w:val="00032B6D"/>
    <w:rsid w:val="00044DA4"/>
    <w:rsid w:val="0006487A"/>
    <w:rsid w:val="00065F8F"/>
    <w:rsid w:val="0007634A"/>
    <w:rsid w:val="000768F2"/>
    <w:rsid w:val="00086158"/>
    <w:rsid w:val="0009184B"/>
    <w:rsid w:val="0009593C"/>
    <w:rsid w:val="000A33A5"/>
    <w:rsid w:val="000A4B7E"/>
    <w:rsid w:val="000B047F"/>
    <w:rsid w:val="000B16B4"/>
    <w:rsid w:val="000B5923"/>
    <w:rsid w:val="000B5A48"/>
    <w:rsid w:val="000B6FF3"/>
    <w:rsid w:val="000C3467"/>
    <w:rsid w:val="000C3CA6"/>
    <w:rsid w:val="000D1267"/>
    <w:rsid w:val="000D1D50"/>
    <w:rsid w:val="000D5782"/>
    <w:rsid w:val="000E6613"/>
    <w:rsid w:val="000E7119"/>
    <w:rsid w:val="000F1CB5"/>
    <w:rsid w:val="00101BDD"/>
    <w:rsid w:val="00114E9B"/>
    <w:rsid w:val="00117F1B"/>
    <w:rsid w:val="00130E7D"/>
    <w:rsid w:val="0014729F"/>
    <w:rsid w:val="00157BAB"/>
    <w:rsid w:val="001654D1"/>
    <w:rsid w:val="00166360"/>
    <w:rsid w:val="0018106D"/>
    <w:rsid w:val="001877A7"/>
    <w:rsid w:val="00191536"/>
    <w:rsid w:val="00191B69"/>
    <w:rsid w:val="00196687"/>
    <w:rsid w:val="001C0962"/>
    <w:rsid w:val="001D0AFE"/>
    <w:rsid w:val="001D1651"/>
    <w:rsid w:val="001D7531"/>
    <w:rsid w:val="001E52B1"/>
    <w:rsid w:val="001E737D"/>
    <w:rsid w:val="001F0592"/>
    <w:rsid w:val="001F4541"/>
    <w:rsid w:val="001F7506"/>
    <w:rsid w:val="002006CD"/>
    <w:rsid w:val="00202B36"/>
    <w:rsid w:val="00204B7A"/>
    <w:rsid w:val="0021101A"/>
    <w:rsid w:val="00214C73"/>
    <w:rsid w:val="00214DE0"/>
    <w:rsid w:val="00220536"/>
    <w:rsid w:val="00235629"/>
    <w:rsid w:val="00247AFC"/>
    <w:rsid w:val="00253024"/>
    <w:rsid w:val="00260C38"/>
    <w:rsid w:val="002616C0"/>
    <w:rsid w:val="00262DB9"/>
    <w:rsid w:val="00264252"/>
    <w:rsid w:val="002662AA"/>
    <w:rsid w:val="00280496"/>
    <w:rsid w:val="00284098"/>
    <w:rsid w:val="00295495"/>
    <w:rsid w:val="002A0147"/>
    <w:rsid w:val="002B1286"/>
    <w:rsid w:val="002B2613"/>
    <w:rsid w:val="002F1818"/>
    <w:rsid w:val="002F567B"/>
    <w:rsid w:val="003216A9"/>
    <w:rsid w:val="003224FC"/>
    <w:rsid w:val="0035668C"/>
    <w:rsid w:val="00364EF0"/>
    <w:rsid w:val="003672AD"/>
    <w:rsid w:val="0037013F"/>
    <w:rsid w:val="00380C92"/>
    <w:rsid w:val="003A484F"/>
    <w:rsid w:val="003A5D5C"/>
    <w:rsid w:val="003B0BE0"/>
    <w:rsid w:val="003B0C1B"/>
    <w:rsid w:val="003B688C"/>
    <w:rsid w:val="003C0291"/>
    <w:rsid w:val="003C39AE"/>
    <w:rsid w:val="003C7B60"/>
    <w:rsid w:val="003D1FB2"/>
    <w:rsid w:val="003D66DA"/>
    <w:rsid w:val="003E1310"/>
    <w:rsid w:val="003E6F55"/>
    <w:rsid w:val="00403868"/>
    <w:rsid w:val="00406254"/>
    <w:rsid w:val="0041278E"/>
    <w:rsid w:val="004223DE"/>
    <w:rsid w:val="00424115"/>
    <w:rsid w:val="00434489"/>
    <w:rsid w:val="00436B84"/>
    <w:rsid w:val="00437085"/>
    <w:rsid w:val="00442DD1"/>
    <w:rsid w:val="00443880"/>
    <w:rsid w:val="004464F4"/>
    <w:rsid w:val="0046018B"/>
    <w:rsid w:val="00471401"/>
    <w:rsid w:val="0047351A"/>
    <w:rsid w:val="00473F31"/>
    <w:rsid w:val="0048263A"/>
    <w:rsid w:val="00487E5D"/>
    <w:rsid w:val="0049698A"/>
    <w:rsid w:val="004A711F"/>
    <w:rsid w:val="004B199D"/>
    <w:rsid w:val="004B4690"/>
    <w:rsid w:val="004B72C4"/>
    <w:rsid w:val="004E0A2D"/>
    <w:rsid w:val="004E206B"/>
    <w:rsid w:val="004E6DF7"/>
    <w:rsid w:val="004F0FBD"/>
    <w:rsid w:val="005043B7"/>
    <w:rsid w:val="00505A47"/>
    <w:rsid w:val="00512FDA"/>
    <w:rsid w:val="00520DA0"/>
    <w:rsid w:val="005664BB"/>
    <w:rsid w:val="0057481D"/>
    <w:rsid w:val="0058486E"/>
    <w:rsid w:val="005916CC"/>
    <w:rsid w:val="005967A7"/>
    <w:rsid w:val="005A2562"/>
    <w:rsid w:val="005B05ED"/>
    <w:rsid w:val="005B526B"/>
    <w:rsid w:val="005D1C8B"/>
    <w:rsid w:val="005D5CED"/>
    <w:rsid w:val="005E0D72"/>
    <w:rsid w:val="005F1A4C"/>
    <w:rsid w:val="00601236"/>
    <w:rsid w:val="00605688"/>
    <w:rsid w:val="006070AF"/>
    <w:rsid w:val="00607E6C"/>
    <w:rsid w:val="006101B1"/>
    <w:rsid w:val="00612B98"/>
    <w:rsid w:val="00614E44"/>
    <w:rsid w:val="00622830"/>
    <w:rsid w:val="00630AEF"/>
    <w:rsid w:val="006325F8"/>
    <w:rsid w:val="00634C9A"/>
    <w:rsid w:val="00636BD5"/>
    <w:rsid w:val="006440E4"/>
    <w:rsid w:val="0066343B"/>
    <w:rsid w:val="00664777"/>
    <w:rsid w:val="006748A4"/>
    <w:rsid w:val="00683E73"/>
    <w:rsid w:val="00692696"/>
    <w:rsid w:val="006A3141"/>
    <w:rsid w:val="006A5E34"/>
    <w:rsid w:val="006B2422"/>
    <w:rsid w:val="006B2B9A"/>
    <w:rsid w:val="006C1937"/>
    <w:rsid w:val="006D227A"/>
    <w:rsid w:val="006E7B21"/>
    <w:rsid w:val="006F020C"/>
    <w:rsid w:val="006F2A11"/>
    <w:rsid w:val="007127B7"/>
    <w:rsid w:val="007416B6"/>
    <w:rsid w:val="00746F48"/>
    <w:rsid w:val="0075404D"/>
    <w:rsid w:val="0076182A"/>
    <w:rsid w:val="00765768"/>
    <w:rsid w:val="00767B7E"/>
    <w:rsid w:val="007770C3"/>
    <w:rsid w:val="00782972"/>
    <w:rsid w:val="00784D24"/>
    <w:rsid w:val="00785FBA"/>
    <w:rsid w:val="00786E4A"/>
    <w:rsid w:val="007875EB"/>
    <w:rsid w:val="0079426B"/>
    <w:rsid w:val="007B685D"/>
    <w:rsid w:val="007C5805"/>
    <w:rsid w:val="007D312A"/>
    <w:rsid w:val="007D3F19"/>
    <w:rsid w:val="007E23B0"/>
    <w:rsid w:val="007F1991"/>
    <w:rsid w:val="007F2C2F"/>
    <w:rsid w:val="007F55FC"/>
    <w:rsid w:val="007F5665"/>
    <w:rsid w:val="007F5F07"/>
    <w:rsid w:val="00800112"/>
    <w:rsid w:val="008253BB"/>
    <w:rsid w:val="0083441B"/>
    <w:rsid w:val="0083706E"/>
    <w:rsid w:val="008423A5"/>
    <w:rsid w:val="0084313E"/>
    <w:rsid w:val="008503BE"/>
    <w:rsid w:val="00850625"/>
    <w:rsid w:val="00853718"/>
    <w:rsid w:val="00855221"/>
    <w:rsid w:val="00860645"/>
    <w:rsid w:val="00863133"/>
    <w:rsid w:val="00871F71"/>
    <w:rsid w:val="00885AF4"/>
    <w:rsid w:val="008939CD"/>
    <w:rsid w:val="00895675"/>
    <w:rsid w:val="008B768C"/>
    <w:rsid w:val="008C4DB1"/>
    <w:rsid w:val="008C4EAF"/>
    <w:rsid w:val="008C5176"/>
    <w:rsid w:val="008C7FD0"/>
    <w:rsid w:val="008D2E07"/>
    <w:rsid w:val="008E1DE7"/>
    <w:rsid w:val="008E707C"/>
    <w:rsid w:val="00900B08"/>
    <w:rsid w:val="00902155"/>
    <w:rsid w:val="00902FA3"/>
    <w:rsid w:val="00916F1E"/>
    <w:rsid w:val="00923564"/>
    <w:rsid w:val="0092392E"/>
    <w:rsid w:val="009315F9"/>
    <w:rsid w:val="009421B1"/>
    <w:rsid w:val="00946945"/>
    <w:rsid w:val="00951248"/>
    <w:rsid w:val="0095152F"/>
    <w:rsid w:val="00954C49"/>
    <w:rsid w:val="0097099F"/>
    <w:rsid w:val="00971997"/>
    <w:rsid w:val="00971FFC"/>
    <w:rsid w:val="0098660A"/>
    <w:rsid w:val="009931C3"/>
    <w:rsid w:val="009B2C43"/>
    <w:rsid w:val="009B4AC8"/>
    <w:rsid w:val="009B4EAE"/>
    <w:rsid w:val="009B7573"/>
    <w:rsid w:val="009C22F4"/>
    <w:rsid w:val="009C2E98"/>
    <w:rsid w:val="009C579D"/>
    <w:rsid w:val="009D18FF"/>
    <w:rsid w:val="009D3447"/>
    <w:rsid w:val="009D4711"/>
    <w:rsid w:val="009E7F55"/>
    <w:rsid w:val="009F1185"/>
    <w:rsid w:val="009F18CD"/>
    <w:rsid w:val="009F2A13"/>
    <w:rsid w:val="00A04EB0"/>
    <w:rsid w:val="00A0795D"/>
    <w:rsid w:val="00A13CC1"/>
    <w:rsid w:val="00A16847"/>
    <w:rsid w:val="00A2164B"/>
    <w:rsid w:val="00A237D8"/>
    <w:rsid w:val="00A268C4"/>
    <w:rsid w:val="00A307CD"/>
    <w:rsid w:val="00A40A00"/>
    <w:rsid w:val="00A4142F"/>
    <w:rsid w:val="00A432EA"/>
    <w:rsid w:val="00A4592A"/>
    <w:rsid w:val="00A56091"/>
    <w:rsid w:val="00A56DF2"/>
    <w:rsid w:val="00A67AB5"/>
    <w:rsid w:val="00A91760"/>
    <w:rsid w:val="00A93B00"/>
    <w:rsid w:val="00A93C21"/>
    <w:rsid w:val="00A9669C"/>
    <w:rsid w:val="00AB0936"/>
    <w:rsid w:val="00AC186F"/>
    <w:rsid w:val="00AC3C6A"/>
    <w:rsid w:val="00AD5268"/>
    <w:rsid w:val="00AD5620"/>
    <w:rsid w:val="00AD7C1B"/>
    <w:rsid w:val="00AE16BA"/>
    <w:rsid w:val="00AE1EBE"/>
    <w:rsid w:val="00B03C9D"/>
    <w:rsid w:val="00B060AE"/>
    <w:rsid w:val="00B10155"/>
    <w:rsid w:val="00B10517"/>
    <w:rsid w:val="00B12094"/>
    <w:rsid w:val="00B1465B"/>
    <w:rsid w:val="00B14788"/>
    <w:rsid w:val="00B14E76"/>
    <w:rsid w:val="00B161B8"/>
    <w:rsid w:val="00B2048C"/>
    <w:rsid w:val="00B310B9"/>
    <w:rsid w:val="00B35F3F"/>
    <w:rsid w:val="00B36CBB"/>
    <w:rsid w:val="00B425E0"/>
    <w:rsid w:val="00B440AA"/>
    <w:rsid w:val="00B44B70"/>
    <w:rsid w:val="00B53C56"/>
    <w:rsid w:val="00B72A50"/>
    <w:rsid w:val="00B7307B"/>
    <w:rsid w:val="00B77EA6"/>
    <w:rsid w:val="00B81598"/>
    <w:rsid w:val="00B829AD"/>
    <w:rsid w:val="00B841F1"/>
    <w:rsid w:val="00B944D6"/>
    <w:rsid w:val="00B94811"/>
    <w:rsid w:val="00BA73EF"/>
    <w:rsid w:val="00BB4DF0"/>
    <w:rsid w:val="00BB6545"/>
    <w:rsid w:val="00BC01F5"/>
    <w:rsid w:val="00BC289F"/>
    <w:rsid w:val="00BC5361"/>
    <w:rsid w:val="00BC5460"/>
    <w:rsid w:val="00BC6211"/>
    <w:rsid w:val="00BC6B50"/>
    <w:rsid w:val="00BD0E25"/>
    <w:rsid w:val="00BF5BD6"/>
    <w:rsid w:val="00C03E31"/>
    <w:rsid w:val="00C33E72"/>
    <w:rsid w:val="00C354B2"/>
    <w:rsid w:val="00C35554"/>
    <w:rsid w:val="00C42709"/>
    <w:rsid w:val="00C533CC"/>
    <w:rsid w:val="00C5751C"/>
    <w:rsid w:val="00C61BFC"/>
    <w:rsid w:val="00C62B85"/>
    <w:rsid w:val="00C65438"/>
    <w:rsid w:val="00C66A3A"/>
    <w:rsid w:val="00C74737"/>
    <w:rsid w:val="00C91CBB"/>
    <w:rsid w:val="00CA1BF1"/>
    <w:rsid w:val="00CA5237"/>
    <w:rsid w:val="00CC09B6"/>
    <w:rsid w:val="00CC666F"/>
    <w:rsid w:val="00CD1E3F"/>
    <w:rsid w:val="00CD6C71"/>
    <w:rsid w:val="00CE44F6"/>
    <w:rsid w:val="00CE49DA"/>
    <w:rsid w:val="00CE7B61"/>
    <w:rsid w:val="00D00095"/>
    <w:rsid w:val="00D10089"/>
    <w:rsid w:val="00D20620"/>
    <w:rsid w:val="00D26091"/>
    <w:rsid w:val="00D26B3B"/>
    <w:rsid w:val="00D30CBB"/>
    <w:rsid w:val="00D34E7C"/>
    <w:rsid w:val="00D3526E"/>
    <w:rsid w:val="00D35489"/>
    <w:rsid w:val="00D51276"/>
    <w:rsid w:val="00D53524"/>
    <w:rsid w:val="00D54161"/>
    <w:rsid w:val="00D65E5E"/>
    <w:rsid w:val="00D7035F"/>
    <w:rsid w:val="00DA2959"/>
    <w:rsid w:val="00DA316C"/>
    <w:rsid w:val="00DA65AC"/>
    <w:rsid w:val="00DB1913"/>
    <w:rsid w:val="00DC30CA"/>
    <w:rsid w:val="00DC410D"/>
    <w:rsid w:val="00DC4831"/>
    <w:rsid w:val="00DC68CA"/>
    <w:rsid w:val="00DC7CBA"/>
    <w:rsid w:val="00DD032F"/>
    <w:rsid w:val="00DD6EEA"/>
    <w:rsid w:val="00DD73B7"/>
    <w:rsid w:val="00DE2A31"/>
    <w:rsid w:val="00DF28BC"/>
    <w:rsid w:val="00DF34B9"/>
    <w:rsid w:val="00E01053"/>
    <w:rsid w:val="00E07ACF"/>
    <w:rsid w:val="00E16003"/>
    <w:rsid w:val="00E331A1"/>
    <w:rsid w:val="00E33202"/>
    <w:rsid w:val="00E336A9"/>
    <w:rsid w:val="00E50624"/>
    <w:rsid w:val="00E568DF"/>
    <w:rsid w:val="00E63B65"/>
    <w:rsid w:val="00E64269"/>
    <w:rsid w:val="00E8076B"/>
    <w:rsid w:val="00E82267"/>
    <w:rsid w:val="00EA010F"/>
    <w:rsid w:val="00EB5E53"/>
    <w:rsid w:val="00EC27D9"/>
    <w:rsid w:val="00ED1B63"/>
    <w:rsid w:val="00ED3C1F"/>
    <w:rsid w:val="00ED4085"/>
    <w:rsid w:val="00ED420E"/>
    <w:rsid w:val="00EE0195"/>
    <w:rsid w:val="00EE2F57"/>
    <w:rsid w:val="00EF4C34"/>
    <w:rsid w:val="00EF77C6"/>
    <w:rsid w:val="00F05438"/>
    <w:rsid w:val="00F1361C"/>
    <w:rsid w:val="00F160C7"/>
    <w:rsid w:val="00F21E0F"/>
    <w:rsid w:val="00F21F83"/>
    <w:rsid w:val="00F36D8F"/>
    <w:rsid w:val="00F417B1"/>
    <w:rsid w:val="00F55F2A"/>
    <w:rsid w:val="00F602DF"/>
    <w:rsid w:val="00F81FD9"/>
    <w:rsid w:val="00F841AA"/>
    <w:rsid w:val="00F865D0"/>
    <w:rsid w:val="00FA23E8"/>
    <w:rsid w:val="00FB1418"/>
    <w:rsid w:val="00FC227F"/>
    <w:rsid w:val="00FD3380"/>
    <w:rsid w:val="00FD3CC1"/>
    <w:rsid w:val="00FD609B"/>
    <w:rsid w:val="00FF06E9"/>
    <w:rsid w:val="00FF1E02"/>
    <w:rsid w:val="00FF30B4"/>
    <w:rsid w:val="01846D43"/>
    <w:rsid w:val="02733F16"/>
    <w:rsid w:val="04C3515C"/>
    <w:rsid w:val="053A60B3"/>
    <w:rsid w:val="05A025B9"/>
    <w:rsid w:val="063D2F0C"/>
    <w:rsid w:val="06AF16E5"/>
    <w:rsid w:val="083227FD"/>
    <w:rsid w:val="093F6F35"/>
    <w:rsid w:val="0A1B784B"/>
    <w:rsid w:val="0BCC6C78"/>
    <w:rsid w:val="0D150CCC"/>
    <w:rsid w:val="0DAB3406"/>
    <w:rsid w:val="0FF0476E"/>
    <w:rsid w:val="10C055FF"/>
    <w:rsid w:val="115E44F7"/>
    <w:rsid w:val="119218A0"/>
    <w:rsid w:val="14395E51"/>
    <w:rsid w:val="16101501"/>
    <w:rsid w:val="1627648D"/>
    <w:rsid w:val="16BB723D"/>
    <w:rsid w:val="17E71F7A"/>
    <w:rsid w:val="18FC1E74"/>
    <w:rsid w:val="1A7744EE"/>
    <w:rsid w:val="1C44390B"/>
    <w:rsid w:val="1D954863"/>
    <w:rsid w:val="21147589"/>
    <w:rsid w:val="21B16CCC"/>
    <w:rsid w:val="22213B26"/>
    <w:rsid w:val="227E5FFD"/>
    <w:rsid w:val="22D63C03"/>
    <w:rsid w:val="240371BF"/>
    <w:rsid w:val="24EC48D0"/>
    <w:rsid w:val="25B34CED"/>
    <w:rsid w:val="28A60390"/>
    <w:rsid w:val="29485954"/>
    <w:rsid w:val="29FD04D3"/>
    <w:rsid w:val="2AD50500"/>
    <w:rsid w:val="2B764958"/>
    <w:rsid w:val="2E134165"/>
    <w:rsid w:val="2E1B119D"/>
    <w:rsid w:val="30BE021D"/>
    <w:rsid w:val="319F7F4E"/>
    <w:rsid w:val="34A340F6"/>
    <w:rsid w:val="34EB57EA"/>
    <w:rsid w:val="37BB0B63"/>
    <w:rsid w:val="38661362"/>
    <w:rsid w:val="38BD7DCB"/>
    <w:rsid w:val="39703F37"/>
    <w:rsid w:val="3B6C5A90"/>
    <w:rsid w:val="3B9671CB"/>
    <w:rsid w:val="3BD54047"/>
    <w:rsid w:val="403434D1"/>
    <w:rsid w:val="407D042E"/>
    <w:rsid w:val="418B010B"/>
    <w:rsid w:val="428250A4"/>
    <w:rsid w:val="43EA6C6B"/>
    <w:rsid w:val="458640CF"/>
    <w:rsid w:val="45E4721D"/>
    <w:rsid w:val="48315DFC"/>
    <w:rsid w:val="4932124D"/>
    <w:rsid w:val="4A122CAA"/>
    <w:rsid w:val="4A75295C"/>
    <w:rsid w:val="4DEC2D08"/>
    <w:rsid w:val="4E7D4E04"/>
    <w:rsid w:val="4EB5561D"/>
    <w:rsid w:val="4F254E37"/>
    <w:rsid w:val="50004879"/>
    <w:rsid w:val="50C5366F"/>
    <w:rsid w:val="50C73A63"/>
    <w:rsid w:val="50D508A1"/>
    <w:rsid w:val="51281519"/>
    <w:rsid w:val="52FB0EAA"/>
    <w:rsid w:val="53D46503"/>
    <w:rsid w:val="53F76E6B"/>
    <w:rsid w:val="56050D43"/>
    <w:rsid w:val="56553825"/>
    <w:rsid w:val="58A87D19"/>
    <w:rsid w:val="5D343A69"/>
    <w:rsid w:val="5E833A8F"/>
    <w:rsid w:val="60693662"/>
    <w:rsid w:val="623A7DD6"/>
    <w:rsid w:val="62D85B3E"/>
    <w:rsid w:val="65A16262"/>
    <w:rsid w:val="6601595A"/>
    <w:rsid w:val="6618355A"/>
    <w:rsid w:val="66FA63E6"/>
    <w:rsid w:val="674B13CE"/>
    <w:rsid w:val="67E03AF6"/>
    <w:rsid w:val="68E37B56"/>
    <w:rsid w:val="6A3A3F29"/>
    <w:rsid w:val="6BA976C7"/>
    <w:rsid w:val="6C16451C"/>
    <w:rsid w:val="6C9339D0"/>
    <w:rsid w:val="6DA04EC6"/>
    <w:rsid w:val="6FAC1607"/>
    <w:rsid w:val="6FB9028A"/>
    <w:rsid w:val="722078DB"/>
    <w:rsid w:val="72ED2799"/>
    <w:rsid w:val="757556C2"/>
    <w:rsid w:val="78765D7C"/>
    <w:rsid w:val="7AEF7C5B"/>
    <w:rsid w:val="7D84301C"/>
    <w:rsid w:val="7F8255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rPr>
      <w:rFonts w:ascii="仿宋" w:hAnsi="仿宋" w:eastAsia="仿宋" w:cstheme="majorBidi"/>
      <w:bCs/>
      <w:sz w:val="28"/>
      <w:szCs w:val="28"/>
    </w:r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3">
    <w:name w:val="正文（绿盟科技）"/>
    <w:qFormat/>
    <w:uiPriority w:val="0"/>
    <w:pPr>
      <w:spacing w:line="300" w:lineRule="auto"/>
    </w:pPr>
    <w:rPr>
      <w:rFonts w:ascii="Arial" w:hAnsi="Arial" w:eastAsia="Calibri"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2022年</c:v>
                </c:pt>
                <c:pt idx="1">
                  <c:v>2021年</c:v>
                </c:pt>
              </c:strCache>
            </c:strRef>
          </c:cat>
          <c:val>
            <c:numRef>
              <c:f>Sheet1!$B$2:$B$3</c:f>
              <c:numCache>
                <c:formatCode>General</c:formatCode>
                <c:ptCount val="2"/>
                <c:pt idx="0">
                  <c:v>11235.53</c:v>
                </c:pt>
                <c:pt idx="1">
                  <c:v>9290.28</c:v>
                </c:pt>
              </c:numCache>
            </c:numRef>
          </c:val>
        </c:ser>
        <c:ser>
          <c:idx val="1"/>
          <c:order val="1"/>
          <c:tx>
            <c:strRef>
              <c:f>Sheet1!$C$1</c:f>
              <c:strCache>
                <c:ptCount val="1"/>
                <c:pt idx="0">
                  <c:v>支出</c:v>
                </c:pt>
              </c:strCache>
            </c:strRef>
          </c:tx>
          <c:invertIfNegative val="0"/>
          <c:dLbls>
            <c:delete val="1"/>
          </c:dLbls>
          <c:cat>
            <c:strRef>
              <c:f>Sheet1!$A$2:$A$3</c:f>
              <c:strCache>
                <c:ptCount val="2"/>
                <c:pt idx="0">
                  <c:v>2022年</c:v>
                </c:pt>
                <c:pt idx="1">
                  <c:v>2021年</c:v>
                </c:pt>
              </c:strCache>
            </c:strRef>
          </c:cat>
          <c:val>
            <c:numRef>
              <c:f>Sheet1!$C$2:$C$3</c:f>
              <c:numCache>
                <c:formatCode>General</c:formatCode>
                <c:ptCount val="2"/>
                <c:pt idx="0">
                  <c:v>11235.53</c:v>
                </c:pt>
                <c:pt idx="1">
                  <c:v>11965.58</c:v>
                </c:pt>
              </c:numCache>
            </c:numRef>
          </c:val>
        </c:ser>
        <c:dLbls>
          <c:showLegendKey val="0"/>
          <c:showVal val="0"/>
          <c:showCatName val="0"/>
          <c:showSerName val="0"/>
          <c:showPercent val="0"/>
          <c:showBubbleSize val="0"/>
        </c:dLbls>
        <c:gapWidth val="150"/>
        <c:axId val="49602560"/>
        <c:axId val="49605248"/>
      </c:barChart>
      <c:catAx>
        <c:axId val="49602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605248"/>
        <c:crosses val="autoZero"/>
        <c:auto val="1"/>
        <c:lblAlgn val="ctr"/>
        <c:lblOffset val="100"/>
        <c:noMultiLvlLbl val="0"/>
      </c:catAx>
      <c:valAx>
        <c:axId val="49605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602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2</a:t>
            </a: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图1：收入决算结构图</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92.15</c:v>
                </c:pt>
                <c:pt idx="1">
                  <c:v>7.85</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manualLayout>
          <c:xMode val="edge"/>
          <c:yMode val="edge"/>
          <c:x val="0.720721193862325"/>
          <c:y val="0.380087597409458"/>
          <c:w val="0.264831418706902"/>
          <c:h val="0.36531467622274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3</a:t>
            </a:r>
            <a:r>
              <a:rPr lang="zh-CN" altLang="en-US"/>
              <a:t>：支出决算结构图</a:t>
            </a:r>
            <a:endParaRPr lang="zh-CN" altLang="en-US"/>
          </a:p>
        </c:rich>
      </c:tx>
      <c:layout/>
      <c:overlay val="0"/>
    </c:title>
    <c:autoTitleDeleted val="0"/>
    <c:plotArea>
      <c:layout/>
      <c:pieChart>
        <c:varyColors val="1"/>
        <c:ser>
          <c:idx val="0"/>
          <c:order val="0"/>
          <c:tx>
            <c:strRef>
              <c:f>Sheet1!$B$1</c:f>
              <c:strCache>
                <c:ptCount val="1"/>
                <c:pt idx="0">
                  <c:v>图2：支出决算结构图</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51.39</c:v>
                </c:pt>
                <c:pt idx="1">
                  <c:v>48.61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Sheet1!$A$2:$A$3</c:f>
              <c:strCache>
                <c:ptCount val="2"/>
                <c:pt idx="0">
                  <c:v>2022年</c:v>
                </c:pt>
                <c:pt idx="1">
                  <c:v>2021年</c:v>
                </c:pt>
              </c:strCache>
            </c:strRef>
          </c:cat>
          <c:val>
            <c:numRef>
              <c:f>Sheet1!$B$2:$B$3</c:f>
              <c:numCache>
                <c:formatCode>General</c:formatCode>
                <c:ptCount val="2"/>
                <c:pt idx="0">
                  <c:v>11235.53</c:v>
                </c:pt>
                <c:pt idx="1">
                  <c:v>9085.05</c:v>
                </c:pt>
              </c:numCache>
            </c:numRef>
          </c:val>
        </c:ser>
        <c:ser>
          <c:idx val="1"/>
          <c:order val="1"/>
          <c:tx>
            <c:strRef>
              <c:f>Sheet1!$C$1</c:f>
              <c:strCache>
                <c:ptCount val="1"/>
                <c:pt idx="0">
                  <c:v>财政拨款支出</c:v>
                </c:pt>
              </c:strCache>
            </c:strRef>
          </c:tx>
          <c:invertIfNegative val="0"/>
          <c:dLbls>
            <c:delete val="1"/>
          </c:dLbls>
          <c:cat>
            <c:strRef>
              <c:f>Sheet1!$A$2:$A$3</c:f>
              <c:strCache>
                <c:ptCount val="2"/>
                <c:pt idx="0">
                  <c:v>2022年</c:v>
                </c:pt>
                <c:pt idx="1">
                  <c:v>2021年</c:v>
                </c:pt>
              </c:strCache>
            </c:strRef>
          </c:cat>
          <c:val>
            <c:numRef>
              <c:f>Sheet1!$C$2:$C$3</c:f>
              <c:numCache>
                <c:formatCode>General</c:formatCode>
                <c:ptCount val="2"/>
                <c:pt idx="0">
                  <c:v>11235.53</c:v>
                </c:pt>
                <c:pt idx="1">
                  <c:v>11760.35</c:v>
                </c:pt>
              </c:numCache>
            </c:numRef>
          </c:val>
        </c:ser>
        <c:dLbls>
          <c:showLegendKey val="0"/>
          <c:showVal val="0"/>
          <c:showCatName val="0"/>
          <c:showSerName val="0"/>
          <c:showPercent val="0"/>
          <c:showBubbleSize val="0"/>
        </c:dLbls>
        <c:gapWidth val="150"/>
        <c:axId val="115408896"/>
        <c:axId val="115410432"/>
      </c:barChart>
      <c:catAx>
        <c:axId val="115408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410432"/>
        <c:crosses val="autoZero"/>
        <c:auto val="1"/>
        <c:lblAlgn val="ctr"/>
        <c:lblOffset val="100"/>
        <c:noMultiLvlLbl val="0"/>
      </c:catAx>
      <c:valAx>
        <c:axId val="115410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4088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invertIfNegative val="0"/>
          <c:dLbls>
            <c:delete val="1"/>
          </c:dLbls>
          <c:cat>
            <c:strRef>
              <c:f>Sheet1!$A$2:$A$3</c:f>
              <c:strCache>
                <c:ptCount val="2"/>
                <c:pt idx="0">
                  <c:v>2022年</c:v>
                </c:pt>
                <c:pt idx="1">
                  <c:v>2021年</c:v>
                </c:pt>
              </c:strCache>
            </c:strRef>
          </c:cat>
          <c:val>
            <c:numRef>
              <c:f>Sheet1!$B$2:$B$3</c:f>
              <c:numCache>
                <c:formatCode>General</c:formatCode>
                <c:ptCount val="2"/>
                <c:pt idx="0">
                  <c:v>10353.86</c:v>
                </c:pt>
                <c:pt idx="1">
                  <c:v>11733.53</c:v>
                </c:pt>
              </c:numCache>
            </c:numRef>
          </c:val>
        </c:ser>
        <c:dLbls>
          <c:showLegendKey val="0"/>
          <c:showVal val="0"/>
          <c:showCatName val="0"/>
          <c:showSerName val="0"/>
          <c:showPercent val="0"/>
          <c:showBubbleSize val="0"/>
        </c:dLbls>
        <c:gapWidth val="150"/>
        <c:axId val="115534464"/>
        <c:axId val="115537024"/>
      </c:barChart>
      <c:catAx>
        <c:axId val="115534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537024"/>
        <c:crosses val="autoZero"/>
        <c:auto val="1"/>
        <c:lblAlgn val="ctr"/>
        <c:lblOffset val="100"/>
        <c:noMultiLvlLbl val="0"/>
      </c:catAx>
      <c:valAx>
        <c:axId val="1155370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5344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6</a:t>
            </a:r>
            <a:r>
              <a:rPr lang="zh-CN" altLang="en-US"/>
              <a:t>：一般公共预算财政拨款支出决算结构</a:t>
            </a:r>
            <a:endParaRPr lang="zh-CN" altLang="en-US"/>
          </a:p>
        </c:rich>
      </c:tx>
      <c:layout/>
      <c:overlay val="0"/>
    </c:title>
    <c:autoTitleDeleted val="0"/>
    <c:plotArea>
      <c:layout/>
      <c:pieChart>
        <c:varyColors val="1"/>
        <c:ser>
          <c:idx val="0"/>
          <c:order val="0"/>
          <c:tx>
            <c:strRef>
              <c:f>Sheet1!$B$1</c:f>
              <c:strCache>
                <c:ptCount val="1"/>
                <c:pt idx="0">
                  <c:v>图5：一般公共预算财政拨款支出决算结构</c:v>
                </c:pt>
              </c:strCache>
            </c:strRef>
          </c:tx>
          <c:explosion val="0"/>
          <c:dPt>
            <c:idx val="0"/>
            <c:bubble3D val="0"/>
          </c:dPt>
          <c:dPt>
            <c:idx val="1"/>
            <c:bubble3D val="0"/>
          </c:dPt>
          <c:dPt>
            <c:idx val="2"/>
            <c:bubble3D val="0"/>
          </c:dPt>
          <c:dLbls>
            <c:delete val="1"/>
          </c:dLbls>
          <c:cat>
            <c:strRef>
              <c:f>Sheet1!$A$2:$A$4</c:f>
              <c:strCache>
                <c:ptCount val="3"/>
                <c:pt idx="0">
                  <c:v>公共安全支出</c:v>
                </c:pt>
                <c:pt idx="1">
                  <c:v>社会保障和就业支出</c:v>
                </c:pt>
                <c:pt idx="2">
                  <c:v>卫生健康支出</c:v>
                </c:pt>
              </c:strCache>
            </c:strRef>
          </c:cat>
          <c:val>
            <c:numRef>
              <c:f>Sheet1!$B$2:$B$4</c:f>
              <c:numCache>
                <c:formatCode>General</c:formatCode>
                <c:ptCount val="3"/>
                <c:pt idx="0">
                  <c:v>94.67</c:v>
                </c:pt>
                <c:pt idx="1">
                  <c:v>3.89</c:v>
                </c:pt>
                <c:pt idx="2">
                  <c:v>1.44</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t>图7：“三公”经费财政拨款支出结构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图6：“三公”经费财政拨款支出结构</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公务用车购置及运行维护费支出</c:v>
                </c:pt>
                <c:pt idx="1">
                  <c:v>公务接待费</c:v>
                </c:pt>
              </c:strCache>
            </c:strRef>
          </c:cat>
          <c:val>
            <c:numRef>
              <c:f>Sheet1!$B$2:$B$3</c:f>
              <c:numCache>
                <c:formatCode>General</c:formatCode>
                <c:ptCount val="2"/>
                <c:pt idx="0">
                  <c:v>99.41</c:v>
                </c:pt>
                <c:pt idx="1">
                  <c:v>0.59</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4F8E1-9ADD-4926-ADD5-801F90C08A5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52</Pages>
  <Words>23644</Words>
  <Characters>25335</Characters>
  <Lines>110</Lines>
  <Paragraphs>31</Paragraphs>
  <TotalTime>53</TotalTime>
  <ScaleCrop>false</ScaleCrop>
  <LinksUpToDate>false</LinksUpToDate>
  <CharactersWithSpaces>25422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2020-08-17T01:37:00Z</dcterms:created>
  <dc:creator>张彬茜</dc:creator>
  <cp:lastModifiedBy>唐婷</cp:lastModifiedBy>
  <cp:lastPrinted>2022-07-23T09:04:00Z</cp:lastPrinted>
  <dcterms:modified xsi:type="dcterms:W3CDTF">2024-09-13T07:52:13Z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2AD1CC86A3A845AEA7DD918AFD8B4B76</vt:lpwstr>
  </property>
</Properties>
</file>