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96475"/>
      <w:bookmarkStart w:id="2" w:name="_Toc15378441"/>
      <w:bookmarkStart w:id="3" w:name="_Toc15377193"/>
      <w:bookmarkStart w:id="4" w:name="_Toc15396597"/>
      <w:bookmarkStart w:id="5" w:name="_Toc15377425"/>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0"/>
      <w:bookmarkEnd w:id="1"/>
      <w:bookmarkEnd w:id="2"/>
      <w:bookmarkEnd w:id="3"/>
      <w:bookmarkEnd w:id="4"/>
      <w:bookmarkEnd w:id="5"/>
      <w:bookmarkStart w:id="6" w:name="_Toc15396598"/>
      <w:bookmarkStart w:id="7" w:name="_Toc15378442"/>
      <w:bookmarkStart w:id="8" w:name="_Toc15396476"/>
      <w:bookmarkStart w:id="9" w:name="_Toc15377426"/>
      <w:bookmarkStart w:id="10" w:name="_Toc15306268"/>
      <w:bookmarkStart w:id="11" w:name="_Toc15377194"/>
    </w:p>
    <w:p>
      <w:pPr>
        <w:adjustRightInd w:val="0"/>
        <w:snapToGrid w:val="0"/>
        <w:spacing w:line="360" w:lineRule="auto"/>
        <w:jc w:val="center"/>
        <w:outlineLvl w:val="0"/>
        <w:rPr>
          <w:rFonts w:hint="eastAsia" w:eastAsia="方正小标宋简体" w:cs="Times New Roman"/>
          <w:color w:val="000000"/>
          <w:sz w:val="72"/>
          <w:szCs w:val="72"/>
          <w:lang w:eastAsia="zh-CN"/>
        </w:rPr>
      </w:pPr>
      <w:r>
        <w:rPr>
          <w:rFonts w:hint="eastAsia" w:eastAsia="方正小标宋简体" w:cs="Times New Roman"/>
          <w:color w:val="000000"/>
          <w:sz w:val="72"/>
          <w:szCs w:val="72"/>
          <w:lang w:eastAsia="zh-CN"/>
        </w:rPr>
        <w:t>广安全民水库保护中心</w:t>
      </w: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pPr>
        <w:widowControl/>
        <w:jc w:val="center"/>
        <w:rPr>
          <w:rFonts w:hint="default" w:ascii="Times New Roman" w:hAnsi="Times New Roman" w:eastAsia="黑体" w:cs="Times New Roman"/>
          <w:color w:val="000000"/>
          <w:sz w:val="48"/>
          <w:szCs w:val="48"/>
          <w:shd w:val="clear" w:color="FFFFFF" w:fill="D9D9D9"/>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shd w:val="clear" w:color="FFFFFF" w:fill="D9D9D9"/>
        </w:rPr>
        <w:t>目录</w:t>
      </w:r>
    </w:p>
    <w:p>
      <w:pPr>
        <w:widowControl/>
        <w:jc w:val="center"/>
        <w:rPr>
          <w:rFonts w:hint="default" w:ascii="Times New Roman" w:hAnsi="Times New Roman" w:eastAsia="黑体" w:cs="Times New Roman"/>
          <w:sz w:val="28"/>
          <w:szCs w:val="28"/>
          <w:highlight w:val="none"/>
        </w:rPr>
      </w:pPr>
    </w:p>
    <w:p>
      <w:pPr>
        <w:pStyle w:val="1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公开时间：202</w:t>
      </w:r>
      <w:r>
        <w:rPr>
          <w:rFonts w:hint="default" w:ascii="Times New Roman" w:hAnsi="Times New Roman" w:cs="Times New Roman"/>
          <w:color w:val="auto"/>
          <w:highlight w:val="none"/>
          <w:shd w:val="clear" w:color="auto" w:fill="auto"/>
          <w:lang w:val="en-US" w:eastAsia="zh-CN"/>
        </w:rPr>
        <w:t>3</w:t>
      </w:r>
      <w:r>
        <w:rPr>
          <w:rFonts w:hint="default"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9</w:t>
      </w:r>
      <w:r>
        <w:rPr>
          <w:rFonts w:hint="default"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shd w:val="clear" w:color="auto" w:fill="auto"/>
          <w:lang w:val="en-US" w:eastAsia="zh-CN"/>
        </w:rPr>
        <w:t>15</w:t>
      </w:r>
      <w:r>
        <w:rPr>
          <w:rFonts w:hint="default" w:ascii="Times New Roman" w:hAnsi="Times New Roman" w:cs="Times New Roman"/>
          <w:color w:val="auto"/>
          <w:highlight w:val="none"/>
          <w:shd w:val="clear" w:color="auto" w:fill="auto"/>
        </w:rPr>
        <w:t>日</w:t>
      </w:r>
    </w:p>
    <w:p>
      <w:pPr>
        <w:rPr>
          <w:rFonts w:hint="default" w:ascii="Times New Roman" w:hAnsi="Times New Roman" w:cs="Times New Roman"/>
          <w:highlight w:val="none"/>
        </w:rPr>
      </w:pPr>
    </w:p>
    <w:p>
      <w:pPr>
        <w:pStyle w:val="10"/>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highlight w:val="none"/>
          <w:lang w:val="en-US"/>
        </w:rPr>
      </w:pPr>
      <w:r>
        <w:rPr>
          <w:rFonts w:hint="default" w:ascii="Times New Roman" w:hAnsi="Times New Roman" w:cs="Times New Roman"/>
          <w:sz w:val="24"/>
          <w:highlight w:val="none"/>
        </w:rPr>
        <w:t xml:space="preserve">第一部分 </w:t>
      </w:r>
      <w:r>
        <w:rPr>
          <w:rFonts w:hint="default" w:ascii="Times New Roman" w:hAnsi="Times New Roman" w:cs="Times New Roman"/>
          <w:sz w:val="24"/>
          <w:highlight w:val="none"/>
          <w:lang w:eastAsia="zh-CN"/>
        </w:rPr>
        <w:t>单位</w:t>
      </w:r>
      <w:r>
        <w:rPr>
          <w:rFonts w:hint="default" w:ascii="Times New Roman" w:hAnsi="Times New Roman" w:cs="Times New Roman"/>
          <w:sz w:val="24"/>
          <w:highlight w:val="none"/>
        </w:rPr>
        <w:t>概况</w:t>
      </w:r>
      <w:r>
        <w:rPr>
          <w:rFonts w:hint="eastAsia" w:ascii="Times New Roman" w:hAnsi="Times New Roman" w:cs="Times New Roman"/>
          <w:sz w:val="24"/>
          <w:highlight w:val="none"/>
          <w:lang w:val="en-US" w:eastAsia="zh-CN"/>
        </w:rPr>
        <w:tab/>
      </w:r>
      <w:r>
        <w:rPr>
          <w:rFonts w:hint="eastAsia" w:ascii="Times New Roman" w:hAnsi="Times New Roman" w:cs="Times New Roman"/>
          <w:sz w:val="24"/>
          <w:highlight w:val="none"/>
          <w:lang w:val="en-US" w:eastAsia="zh-CN"/>
        </w:rPr>
        <w:t>4</w:t>
      </w:r>
    </w:p>
    <w:p>
      <w:pPr>
        <w:pStyle w:val="11"/>
        <w:adjustRightInd w:val="0"/>
        <w:snapToGrid w:val="0"/>
        <w:spacing w:line="440" w:lineRule="exact"/>
        <w:jc w:val="left"/>
        <w:rPr>
          <w:rFonts w:hint="default" w:ascii="Times New Roman" w:hAnsi="Times New Roman" w:cs="Times New Roman"/>
          <w:color w:val="000000" w:themeColor="text1"/>
          <w:sz w:val="24"/>
          <w:highlight w:val="none"/>
          <w:lang w:val="en-US"/>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一、基本职能</w:t>
      </w:r>
      <w:r>
        <w:rPr>
          <w:rFonts w:hint="eastAsia" w:cs="Times New Roman"/>
          <w:color w:val="000000" w:themeColor="text1"/>
          <w:sz w:val="24"/>
          <w:highlight w:val="none"/>
          <w:lang w:eastAsia="zh-CN"/>
          <w14:textFill>
            <w14:solidFill>
              <w14:schemeClr w14:val="tx1"/>
            </w14:solidFill>
          </w14:textFill>
        </w:rPr>
        <w:t>及主要工作</w:t>
      </w:r>
      <w:r>
        <w:rPr>
          <w:rFonts w:hint="eastAsia" w:cs="Times New Roman"/>
          <w:color w:val="000000" w:themeColor="text1"/>
          <w:sz w:val="24"/>
          <w:highlight w:val="none"/>
          <w:lang w:val="en-US" w:eastAsia="zh-CN"/>
          <w14:textFill>
            <w14:solidFill>
              <w14:schemeClr w14:val="tx1"/>
            </w14:solidFill>
          </w14:textFill>
        </w:rPr>
        <w:tab/>
      </w:r>
      <w:r>
        <w:rPr>
          <w:rFonts w:hint="eastAsia" w:cs="Times New Roman"/>
          <w:color w:val="000000" w:themeColor="text1"/>
          <w:sz w:val="24"/>
          <w:highlight w:val="none"/>
          <w:lang w:val="en-US" w:eastAsia="zh-CN"/>
          <w14:textFill>
            <w14:solidFill>
              <w14:schemeClr w14:val="tx1"/>
            </w14:solidFill>
          </w14:textFill>
        </w:rPr>
        <w:t>4</w:t>
      </w:r>
    </w:p>
    <w:p>
      <w:pPr>
        <w:pStyle w:val="11"/>
        <w:adjustRightInd w:val="0"/>
        <w:snapToGrid w:val="0"/>
        <w:spacing w:line="440" w:lineRule="exact"/>
        <w:jc w:val="left"/>
        <w:rPr>
          <w:rFonts w:hint="default" w:ascii="Times New Roman" w:hAnsi="Times New Roman" w:eastAsia="仿宋" w:cs="Times New Roman"/>
          <w:sz w:val="24"/>
          <w:highlight w:val="none"/>
          <w:lang w:val="en-US"/>
        </w:rPr>
      </w:pPr>
      <w:r>
        <w:rPr>
          <w:rFonts w:hint="default" w:ascii="Times New Roman" w:hAnsi="Times New Roman" w:cs="Times New Roman"/>
          <w:color w:val="000000" w:themeColor="text1"/>
          <w:sz w:val="24"/>
          <w:highlight w:val="none"/>
          <w:lang w:eastAsia="zh-CN"/>
          <w14:textFill>
            <w14:solidFill>
              <w14:schemeClr w14:val="tx1"/>
            </w14:solidFill>
          </w14:textFill>
        </w:rPr>
        <w:t>二、</w:t>
      </w:r>
      <w:r>
        <w:rPr>
          <w:rFonts w:hint="eastAsia" w:cs="Times New Roman"/>
          <w:color w:val="000000" w:themeColor="text1"/>
          <w:sz w:val="24"/>
          <w:highlight w:val="none"/>
          <w:lang w:eastAsia="zh-CN"/>
          <w14:textFill>
            <w14:solidFill>
              <w14:schemeClr w14:val="tx1"/>
            </w14:solidFill>
          </w14:textFill>
        </w:rPr>
        <w:t>机构设置</w:t>
      </w:r>
      <w:r>
        <w:rPr>
          <w:rFonts w:hint="eastAsia" w:cs="Times New Roman"/>
          <w:sz w:val="24"/>
          <w:highlight w:val="none"/>
          <w:lang w:val="en-US" w:eastAsia="zh-CN"/>
        </w:rPr>
        <w:tab/>
      </w:r>
      <w:r>
        <w:rPr>
          <w:rFonts w:hint="eastAsia" w:cs="Times New Roman"/>
          <w:sz w:val="24"/>
          <w:highlight w:val="none"/>
          <w:lang w:val="en-US" w:eastAsia="zh-CN"/>
        </w:rPr>
        <w:t>5</w:t>
      </w:r>
    </w:p>
    <w:p>
      <w:pPr>
        <w:pStyle w:val="10"/>
        <w:adjustRightInd w:val="0"/>
        <w:snapToGrid w:val="0"/>
        <w:spacing w:before="0" w:line="440" w:lineRule="exact"/>
        <w:jc w:val="left"/>
        <w:rPr>
          <w:rFonts w:hint="default" w:ascii="Times New Roman" w:hAnsi="Times New Roman" w:cs="Times New Roman"/>
          <w:sz w:val="24"/>
          <w:szCs w:val="24"/>
          <w:highlight w:val="none"/>
          <w:lang w:val="en-US"/>
        </w:rPr>
      </w:pPr>
      <w:r>
        <w:rPr>
          <w:rFonts w:hint="default" w:ascii="Times New Roman" w:hAnsi="Times New Roman" w:cs="Times New Roman"/>
          <w:sz w:val="24"/>
          <w:highlight w:val="none"/>
        </w:rPr>
        <w:t>第二部分</w:t>
      </w:r>
      <w:r>
        <w:rPr>
          <w:rFonts w:hint="default" w:ascii="Times New Roman" w:hAnsi="Times New Roman" w:cs="Times New Roman"/>
          <w:sz w:val="24"/>
          <w:highlight w:val="none"/>
          <w:lang w:val="en-US" w:eastAsia="zh-CN"/>
        </w:rPr>
        <w:t xml:space="preserve"> </w:t>
      </w:r>
      <w:r>
        <w:rPr>
          <w:rFonts w:hint="default" w:ascii="Times New Roman" w:hAnsi="Times New Roman" w:eastAsia="宋体" w:cs="Times New Roman"/>
          <w:kern w:val="2"/>
          <w:sz w:val="24"/>
          <w:szCs w:val="24"/>
          <w:highlight w:val="none"/>
          <w:lang w:val="en-US" w:eastAsia="zh-CN" w:bidi="ar-SA"/>
        </w:rPr>
        <w:t>2022年度部门决算情况说明</w:t>
      </w:r>
      <w:r>
        <w:rPr>
          <w:rFonts w:hint="eastAsia" w:ascii="Times New Roman" w:hAnsi="Times New Roman" w:eastAsia="宋体" w:cs="Times New Roman"/>
          <w:kern w:val="2"/>
          <w:sz w:val="24"/>
          <w:szCs w:val="24"/>
          <w:highlight w:val="none"/>
          <w:lang w:val="en-US" w:eastAsia="zh-CN" w:bidi="ar-SA"/>
        </w:rPr>
        <w:tab/>
      </w:r>
      <w:r>
        <w:rPr>
          <w:rFonts w:hint="eastAsia" w:ascii="Times New Roman" w:hAnsi="Times New Roman" w:eastAsia="宋体" w:cs="Times New Roman"/>
          <w:kern w:val="2"/>
          <w:sz w:val="24"/>
          <w:szCs w:val="24"/>
          <w:highlight w:val="none"/>
          <w:lang w:val="en-US" w:eastAsia="zh-CN" w:bidi="ar-SA"/>
        </w:rPr>
        <w:t>7</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8</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9</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9</w:t>
      </w:r>
    </w:p>
    <w:p>
      <w:pPr>
        <w:pStyle w:val="11"/>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11</w:t>
      </w:r>
    </w:p>
    <w:p>
      <w:pPr>
        <w:pStyle w:val="11"/>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12</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、财政拨款“三公”经费支出决算情况说明</w:t>
      </w:r>
      <w:r>
        <w:rPr>
          <w:rFonts w:hint="eastAsia" w:cs="Times New Roman"/>
          <w:sz w:val="24"/>
          <w:lang w:val="en-US" w:eastAsia="zh-CN"/>
        </w:rPr>
        <w:tab/>
      </w:r>
      <w:r>
        <w:rPr>
          <w:rFonts w:hint="eastAsia" w:cs="Times New Roman"/>
          <w:sz w:val="24"/>
          <w:lang w:val="en-US" w:eastAsia="zh-CN"/>
        </w:rPr>
        <w:t>13</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15</w:t>
      </w:r>
    </w:p>
    <w:p>
      <w:pPr>
        <w:pStyle w:val="11"/>
        <w:adjustRightInd w:val="0"/>
        <w:snapToGrid w:val="0"/>
        <w:spacing w:line="440" w:lineRule="exact"/>
        <w:ind w:leftChars="0"/>
        <w:jc w:val="left"/>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15</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lang w:val="en-US"/>
        </w:rPr>
      </w:pPr>
      <w:r>
        <w:rPr>
          <w:rStyle w:val="15"/>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5"/>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.......................................................................15</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cs="Times New Roman"/>
          <w:sz w:val="24"/>
          <w:lang w:val="en-US" w:eastAsia="zh-CN"/>
        </w:rPr>
        <w:t>.............................................................................................16</w:t>
      </w:r>
    </w:p>
    <w:p>
      <w:pPr>
        <w:pStyle w:val="10"/>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19</w:t>
      </w:r>
    </w:p>
    <w:p>
      <w:pPr>
        <w:pStyle w:val="10"/>
        <w:adjustRightInd w:val="0"/>
        <w:snapToGrid w:val="0"/>
        <w:spacing w:before="0" w:line="440" w:lineRule="exact"/>
        <w:jc w:val="left"/>
        <w:rPr>
          <w:rFonts w:hint="default" w:ascii="Times New Roman" w:hAnsi="Times New Roman" w:cs="Times New Roman"/>
          <w:sz w:val="24"/>
          <w:szCs w:val="24"/>
          <w:lang w:val="en-US" w:eastAsia="zh-CN"/>
        </w:rPr>
      </w:pPr>
      <w:r>
        <w:rPr>
          <w:rFonts w:hint="default" w:ascii="Times New Roman" w:hAnsi="Times New Roman" w:cs="Times New Roman"/>
          <w:sz w:val="24"/>
        </w:rPr>
        <w:t>第五部分 附表</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20</w:t>
      </w:r>
    </w:p>
    <w:p>
      <w:pPr>
        <w:pStyle w:val="10"/>
        <w:adjustRightInd w:val="0"/>
        <w:snapToGrid w:val="0"/>
        <w:spacing w:before="0" w:line="440" w:lineRule="exact"/>
        <w:jc w:val="left"/>
        <w:rPr>
          <w:rFonts w:hint="default" w:ascii="Times New Roman" w:hAnsi="Times New Roman" w:eastAsia="仿宋" w:cs="Times New Roman"/>
          <w:sz w:val="24"/>
          <w:lang w:val="en-US"/>
        </w:rPr>
      </w:pPr>
      <w:r>
        <w:rPr>
          <w:rFonts w:hint="eastAsia" w:ascii="Times New Roman" w:hAnsi="Times New Roman" w:cs="Times New Roman"/>
          <w:sz w:val="24"/>
          <w:szCs w:val="24"/>
          <w:lang w:val="en-US" w:eastAsia="zh-CN"/>
        </w:rPr>
        <w:t>　　</w:t>
      </w: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二、</w:t>
      </w:r>
      <w:r>
        <w:rPr>
          <w:rFonts w:hint="default" w:ascii="Times New Roman" w:hAnsi="Times New Roman" w:cs="Times New Roman"/>
          <w:sz w:val="24"/>
        </w:rPr>
        <w:t>收入</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cs="Times New Roman"/>
          <w:sz w:val="24"/>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一般公共预算财政拨款基本支出决算表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bookmarkStart w:id="12" w:name="_Toc15396599"/>
      <w:bookmarkStart w:id="13" w:name="_Toc15377196"/>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20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20</w:t>
      </w:r>
    </w:p>
    <w:p>
      <w:pPr>
        <w:widowControl/>
        <w:spacing w:line="440" w:lineRule="exact"/>
        <w:jc w:val="left"/>
        <w:rPr>
          <w:rFonts w:hint="default" w:ascii="Times New Roman" w:hAnsi="Times New Roman" w:eastAsia="仿宋" w:cs="Times New Roman"/>
          <w:b/>
          <w:sz w:val="24"/>
        </w:rPr>
      </w:pPr>
      <w:r>
        <w:rPr>
          <w:rFonts w:hint="default" w:ascii="Times New Roman" w:hAnsi="Times New Roman" w:eastAsia="仿宋" w:cs="Times New Roman"/>
          <w:b/>
          <w:sz w:val="24"/>
        </w:rPr>
        <w:br w:type="page"/>
      </w:r>
    </w:p>
    <w:p>
      <w:pPr>
        <w:pStyle w:val="2"/>
        <w:jc w:val="center"/>
        <w:rPr>
          <w:rStyle w:val="24"/>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4"/>
          <w:rFonts w:hint="default" w:ascii="Times New Roman" w:hAnsi="Times New Roman" w:eastAsia="黑体" w:cs="Times New Roman"/>
          <w:b w:val="0"/>
          <w:bCs w:val="0"/>
          <w:lang w:eastAsia="zh-CN"/>
        </w:rPr>
        <w:t>单位</w:t>
      </w:r>
      <w:r>
        <w:rPr>
          <w:rStyle w:val="24"/>
          <w:rFonts w:hint="default" w:ascii="Times New Roman" w:hAnsi="Times New Roman" w:eastAsia="黑体" w:cs="Times New Roman"/>
          <w:b w:val="0"/>
          <w:bCs w:val="0"/>
        </w:rPr>
        <w:t>概况</w:t>
      </w:r>
      <w:bookmarkEnd w:id="12"/>
      <w:bookmarkEnd w:id="13"/>
    </w:p>
    <w:p>
      <w:pPr>
        <w:widowControl/>
        <w:jc w:val="left"/>
        <w:rPr>
          <w:rFonts w:hint="default" w:ascii="Times New Roman" w:hAnsi="Times New Roman" w:eastAsia="黑体" w:cs="Times New Roman"/>
          <w:color w:val="000000"/>
          <w:sz w:val="32"/>
          <w:szCs w:val="32"/>
        </w:rPr>
      </w:pPr>
    </w:p>
    <w:p>
      <w:pPr>
        <w:pStyle w:val="3"/>
        <w:rPr>
          <w:rStyle w:val="25"/>
          <w:rFonts w:ascii="仿宋" w:hAnsi="仿宋" w:eastAsia="仿宋"/>
          <w:b w:val="0"/>
          <w:bCs w:val="0"/>
        </w:rPr>
      </w:pPr>
      <w:bookmarkStart w:id="14" w:name="_Toc15377197"/>
      <w:bookmarkStart w:id="15" w:name="_Toc15396600"/>
      <w:bookmarkStart w:id="16" w:name="_Toc15396602"/>
      <w:bookmarkStart w:id="17" w:name="_Toc15377204"/>
      <w:r>
        <w:rPr>
          <w:rFonts w:hint="eastAsia" w:ascii="黑体" w:hAnsi="黑体" w:eastAsia="黑体"/>
          <w:b w:val="0"/>
          <w:color w:val="000000"/>
        </w:rPr>
        <w:t>一、基</w:t>
      </w:r>
      <w:r>
        <w:rPr>
          <w:rStyle w:val="25"/>
          <w:rFonts w:hint="eastAsia" w:ascii="黑体" w:hAnsi="黑体" w:eastAsia="黑体"/>
          <w:b w:val="0"/>
          <w:bCs w:val="0"/>
        </w:rPr>
        <w:t>本职能及主要工作</w:t>
      </w:r>
    </w:p>
    <w:p>
      <w:pPr>
        <w:pStyle w:val="5"/>
        <w:adjustRightInd w:val="0"/>
        <w:snapToGrid w:val="0"/>
        <w:spacing w:before="93" w:line="600" w:lineRule="exact"/>
        <w:ind w:left="105" w:leftChars="50" w:firstLine="640" w:firstLineChars="200"/>
        <w:jc w:val="left"/>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仿宋" w:hAnsi="仿宋" w:eastAsia="仿宋" w:cs="仿宋"/>
          <w:sz w:val="33"/>
          <w:szCs w:val="33"/>
          <w:lang w:eastAsia="zh-CN"/>
        </w:rPr>
      </w:pPr>
      <w:r>
        <w:rPr>
          <w:rFonts w:hint="eastAsia" w:ascii="仿宋" w:hAnsi="仿宋" w:eastAsia="仿宋" w:cs="仿宋"/>
          <w:color w:val="333333"/>
          <w:kern w:val="0"/>
          <w:sz w:val="33"/>
          <w:szCs w:val="33"/>
        </w:rPr>
        <w:t>广安全民水库保护中心是全民水库的管理单位，</w:t>
      </w:r>
      <w:r>
        <w:rPr>
          <w:rFonts w:hint="eastAsia" w:ascii="仿宋" w:hAnsi="仿宋" w:eastAsia="仿宋" w:cs="仿宋"/>
          <w:sz w:val="33"/>
          <w:szCs w:val="33"/>
          <w:lang w:eastAsia="zh-CN"/>
        </w:rPr>
        <w:t>贯彻执行水库枢纽工程管理的有关法律法规及方针政策；按照水利工程管理规范，做好水库枢纽工程建设的日常检查、观测、维护等工作，确保水库枢纽工程运行安全；按照气象信息，做好水文预测预报、防汛抗旱及水资源利用的安全调度工作；负责做好水库枢纽工程绿化及水土保持的相关工作；负责做好水库枢纽工程及渠道灌溉管理的相关工作；承担水库水资源的管理、保护和综合利用工作；承担水利风景区建设与管理及生态文明建设工作；完成上级交办的其他工作。</w:t>
      </w:r>
    </w:p>
    <w:p>
      <w:pPr>
        <w:pStyle w:val="5"/>
        <w:adjustRightInd w:val="0"/>
        <w:snapToGrid w:val="0"/>
        <w:spacing w:before="93" w:line="600" w:lineRule="exact"/>
        <w:ind w:left="105" w:leftChars="50" w:firstLine="640" w:firstLineChars="200"/>
        <w:jc w:val="left"/>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（二）202</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年重点工作完成情况。</w:t>
      </w:r>
    </w:p>
    <w:p>
      <w:pPr>
        <w:spacing w:line="590" w:lineRule="exact"/>
        <w:ind w:firstLine="660" w:firstLineChars="200"/>
        <w:rPr>
          <w:rFonts w:hint="eastAsia" w:ascii="仿宋" w:hAnsi="仿宋" w:eastAsia="仿宋" w:cs="仿宋"/>
          <w:sz w:val="33"/>
          <w:szCs w:val="33"/>
          <w:lang w:val="en-US" w:eastAsia="zh-CN"/>
        </w:rPr>
      </w:pPr>
      <w:r>
        <w:rPr>
          <w:rFonts w:hint="eastAsia" w:ascii="仿宋" w:hAnsi="仿宋" w:eastAsia="仿宋" w:cs="仿宋"/>
          <w:b w:val="0"/>
          <w:bCs w:val="0"/>
          <w:sz w:val="33"/>
          <w:szCs w:val="33"/>
          <w:lang w:val="en-US" w:eastAsia="zh-CN"/>
        </w:rPr>
        <w:t>2022年广</w:t>
      </w:r>
      <w:r>
        <w:rPr>
          <w:rFonts w:hint="eastAsia" w:ascii="仿宋" w:hAnsi="仿宋" w:eastAsia="仿宋" w:cs="仿宋"/>
          <w:sz w:val="33"/>
          <w:szCs w:val="33"/>
          <w:lang w:val="en-US" w:eastAsia="zh-CN"/>
        </w:rPr>
        <w:t>安全民水库保护中心完成水库生态流量调度，完成春灌放水工作、完成全年维修养护任务、完成全民水库出库流量在线监测工程、完成水库大坝安全应急预案、汛期调度运用计划和防汛抢险预案编制，完成水库日常运行监测和枢纽工程运行管理，确保水库安全。</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p>
    <w:bookmarkEnd w:id="14"/>
    <w:bookmarkEnd w:id="15"/>
    <w:p>
      <w:pPr>
        <w:pStyle w:val="3"/>
        <w:rPr>
          <w:rStyle w:val="25"/>
          <w:rFonts w:hint="eastAsia" w:ascii="仿宋" w:hAnsi="仿宋" w:eastAsia="仿宋" w:cs="仿宋"/>
          <w:b w:val="0"/>
          <w:bCs w:val="0"/>
        </w:rPr>
      </w:pPr>
      <w:bookmarkStart w:id="18" w:name="_Toc15377200"/>
      <w:bookmarkStart w:id="19" w:name="_Toc15396601"/>
      <w:r>
        <w:rPr>
          <w:rFonts w:hint="eastAsia" w:ascii="仿宋" w:hAnsi="仿宋" w:eastAsia="仿宋" w:cs="仿宋"/>
          <w:b w:val="0"/>
          <w:color w:val="000000"/>
        </w:rPr>
        <w:t>二、机</w:t>
      </w:r>
      <w:r>
        <w:rPr>
          <w:rStyle w:val="25"/>
          <w:rFonts w:hint="eastAsia" w:ascii="仿宋" w:hAnsi="仿宋" w:eastAsia="仿宋" w:cs="仿宋"/>
          <w:b w:val="0"/>
          <w:bCs w:val="0"/>
        </w:rPr>
        <w:t>构设置</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bCs/>
          <w:color w:val="FF0000"/>
          <w:sz w:val="33"/>
          <w:szCs w:val="33"/>
          <w:highlight w:val="none"/>
          <w:lang w:val="en-US" w:eastAsia="zh-CN"/>
        </w:rPr>
      </w:pPr>
      <w:r>
        <w:rPr>
          <w:rFonts w:hint="eastAsia" w:ascii="仿宋" w:hAnsi="仿宋" w:eastAsia="仿宋" w:cs="仿宋"/>
          <w:sz w:val="32"/>
          <w:szCs w:val="32"/>
          <w:lang w:val="en-US" w:eastAsia="zh-CN"/>
        </w:rPr>
        <w:t>广安全民水库保护中心</w:t>
      </w:r>
      <w:r>
        <w:rPr>
          <w:rFonts w:hint="eastAsia" w:ascii="仿宋" w:hAnsi="仿宋" w:eastAsia="仿宋" w:cs="仿宋"/>
          <w:sz w:val="32"/>
          <w:szCs w:val="32"/>
          <w:lang w:eastAsia="zh-CN"/>
        </w:rPr>
        <w:t>单位共有在职人员</w:t>
      </w:r>
      <w:r>
        <w:rPr>
          <w:rFonts w:hint="eastAsia" w:ascii="仿宋" w:hAnsi="仿宋" w:eastAsia="仿宋" w:cs="仿宋"/>
          <w:sz w:val="32"/>
          <w:szCs w:val="32"/>
          <w:lang w:val="en-US" w:eastAsia="zh-CN"/>
        </w:rPr>
        <w:t>22人</w:t>
      </w:r>
      <w:r>
        <w:rPr>
          <w:rFonts w:hint="eastAsia" w:ascii="仿宋" w:hAnsi="仿宋" w:eastAsia="仿宋" w:cs="仿宋"/>
          <w:sz w:val="32"/>
          <w:szCs w:val="32"/>
        </w:rPr>
        <w:t>，内设</w:t>
      </w:r>
      <w:r>
        <w:rPr>
          <w:rFonts w:hint="eastAsia" w:ascii="仿宋" w:hAnsi="仿宋" w:eastAsia="仿宋" w:cs="仿宋"/>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设有：</w:t>
      </w:r>
      <w:r>
        <w:rPr>
          <w:rFonts w:hint="eastAsia" w:ascii="仿宋" w:hAnsi="仿宋" w:eastAsia="仿宋" w:cs="仿宋"/>
          <w:b/>
          <w:bCs/>
          <w:sz w:val="32"/>
          <w:szCs w:val="32"/>
          <w:lang w:val="en-US" w:eastAsia="zh-CN"/>
        </w:rPr>
        <w:t>办公室，</w:t>
      </w:r>
      <w:r>
        <w:rPr>
          <w:rFonts w:hint="eastAsia" w:ascii="仿宋" w:hAnsi="仿宋" w:eastAsia="仿宋" w:cs="仿宋"/>
          <w:sz w:val="32"/>
          <w:szCs w:val="32"/>
          <w:lang w:val="en-US" w:eastAsia="zh-CN"/>
        </w:rPr>
        <w:t>主要负责</w:t>
      </w:r>
      <w:r>
        <w:rPr>
          <w:rFonts w:hint="eastAsia" w:ascii="仿宋" w:hAnsi="仿宋" w:eastAsia="仿宋" w:cs="仿宋"/>
          <w:sz w:val="33"/>
          <w:szCs w:val="33"/>
          <w:lang w:val="en-US" w:eastAsia="zh-CN"/>
        </w:rPr>
        <w:t>统筹做好上传下达、内外联系、各股室及与外部的综合协调等工作。负责中心文秘、保密机要、信访、宣传、档案和后勤管理等工作；负责中心党建工作，建立并落实中心各项规章制度，保证各股室工作有序进行。负责中心固定资产实物及其他公物管理和维修养护。负责中心考勤制度、值班制度，做好办公室档案收集、整理工作。承担综合维稳和防邪工作。负责会务、接待工</w:t>
      </w:r>
      <w:r>
        <w:rPr>
          <w:rFonts w:hint="eastAsia" w:ascii="仿宋" w:hAnsi="仿宋" w:eastAsia="仿宋" w:cs="仿宋"/>
          <w:sz w:val="33"/>
          <w:szCs w:val="33"/>
          <w:highlight w:val="none"/>
          <w:lang w:val="en-US" w:eastAsia="zh-CN"/>
        </w:rPr>
        <w:t>作。负责中心陆面保洁、绿化修剪、汛期抗旱等合同的制定和监督实施。负责中心业绩考核管理。负责中心职工食</w:t>
      </w:r>
      <w:r>
        <w:rPr>
          <w:rFonts w:hint="eastAsia" w:ascii="仿宋" w:hAnsi="仿宋" w:eastAsia="仿宋" w:cs="仿宋"/>
          <w:sz w:val="33"/>
          <w:szCs w:val="33"/>
          <w:lang w:val="en-US" w:eastAsia="zh-CN"/>
        </w:rPr>
        <w:t>堂运行和监督管理</w:t>
      </w:r>
      <w:r>
        <w:rPr>
          <w:rFonts w:hint="eastAsia" w:ascii="仿宋" w:hAnsi="仿宋" w:eastAsia="仿宋" w:cs="仿宋"/>
          <w:color w:val="000000" w:themeColor="text1"/>
          <w:sz w:val="33"/>
          <w:szCs w:val="33"/>
          <w:lang w:val="en-US" w:eastAsia="zh-CN"/>
          <w14:textFill>
            <w14:solidFill>
              <w14:schemeClr w14:val="tx1"/>
            </w14:solidFill>
          </w14:textFill>
        </w:rPr>
        <w:t>。负责编制中心经费预决算，承担财务管理和资产管理工作；提出有关水利价格税费、信贷的建议；指导经费的征收和监管工作。完成领导交办的其他工作；</w:t>
      </w:r>
      <w:r>
        <w:rPr>
          <w:rFonts w:hint="eastAsia" w:ascii="仿宋" w:hAnsi="仿宋" w:eastAsia="仿宋" w:cs="仿宋"/>
          <w:b/>
          <w:bCs/>
          <w:sz w:val="32"/>
          <w:szCs w:val="32"/>
          <w:lang w:val="en-US" w:eastAsia="zh-CN"/>
        </w:rPr>
        <w:t>工程安全股，</w:t>
      </w:r>
      <w:r>
        <w:rPr>
          <w:rFonts w:hint="eastAsia" w:ascii="仿宋" w:hAnsi="仿宋" w:eastAsia="仿宋" w:cs="仿宋"/>
          <w:sz w:val="32"/>
          <w:szCs w:val="32"/>
          <w:lang w:val="en-US" w:eastAsia="zh-CN"/>
        </w:rPr>
        <w:t>主要负责</w:t>
      </w:r>
      <w:r>
        <w:rPr>
          <w:rFonts w:hint="eastAsia" w:ascii="仿宋" w:hAnsi="仿宋" w:eastAsia="仿宋" w:cs="仿宋"/>
          <w:sz w:val="33"/>
          <w:szCs w:val="33"/>
          <w:lang w:eastAsia="zh-CN"/>
        </w:rPr>
        <w:t>按照水利工程管理规范，做好水库枢纽工程建设的日常检查、观测、维护等工作，确保水库枢纽工程运行安全，建立健全工程</w:t>
      </w:r>
      <w:r>
        <w:rPr>
          <w:rFonts w:hint="eastAsia" w:ascii="仿宋" w:hAnsi="仿宋" w:eastAsia="仿宋" w:cs="仿宋"/>
          <w:color w:val="000000" w:themeColor="text1"/>
          <w:sz w:val="33"/>
          <w:szCs w:val="33"/>
          <w:lang w:eastAsia="zh-CN"/>
          <w14:textFill>
            <w14:solidFill>
              <w14:schemeClr w14:val="tx1"/>
            </w14:solidFill>
          </w14:textFill>
        </w:rPr>
        <w:t>技术档案。负责水库工程建设、工程运行、日常安全巡视、除险加固、更新改造等工作，维修养护水利工程及附属设备，保障工程设备完好，确保工程设施正常运行。</w:t>
      </w:r>
      <w:r>
        <w:rPr>
          <w:rFonts w:hint="eastAsia" w:ascii="仿宋" w:hAnsi="仿宋" w:eastAsia="仿宋" w:cs="仿宋"/>
          <w:color w:val="auto"/>
          <w:sz w:val="33"/>
          <w:szCs w:val="33"/>
          <w:lang w:eastAsia="zh-CN"/>
        </w:rPr>
        <w:t>负责掌握气象和水文预报，并根据雨情、水情及工程安全状况，做好工程调度运用和防汛度汛工作，做好水文资料整编、巡查台账等相关记录工作。</w:t>
      </w:r>
      <w:r>
        <w:rPr>
          <w:rFonts w:hint="eastAsia" w:ascii="仿宋" w:hAnsi="仿宋" w:eastAsia="仿宋" w:cs="仿宋"/>
          <w:sz w:val="33"/>
          <w:szCs w:val="33"/>
          <w:lang w:eastAsia="zh-CN"/>
        </w:rPr>
        <w:t>牵头组织制定水库相关预案，落实工程安全防汛措施，做好中心信息自动化相关工作。统筹渠道灌溉、居民用水、发电用水、生态用水、抗旱用水调度及安全运行监管相关工作。负责库区监控系统管理及运行维护。负责库区河湖水系连通工程监管和运行。</w:t>
      </w:r>
      <w:r>
        <w:rPr>
          <w:rFonts w:hint="eastAsia" w:ascii="仿宋" w:hAnsi="仿宋" w:eastAsia="仿宋" w:cs="仿宋"/>
          <w:sz w:val="33"/>
          <w:szCs w:val="33"/>
          <w:lang w:val="en-US" w:eastAsia="zh-CN"/>
        </w:rPr>
        <w:t>完成领导交办的其他工作；</w:t>
      </w:r>
      <w:r>
        <w:rPr>
          <w:rFonts w:hint="eastAsia" w:ascii="仿宋" w:hAnsi="仿宋" w:eastAsia="仿宋" w:cs="仿宋"/>
          <w:b/>
          <w:bCs/>
          <w:sz w:val="33"/>
          <w:szCs w:val="33"/>
          <w:lang w:eastAsia="zh-CN"/>
        </w:rPr>
        <w:t>水资源股，</w:t>
      </w:r>
      <w:r>
        <w:rPr>
          <w:rFonts w:hint="eastAsia" w:ascii="仿宋" w:hAnsi="仿宋" w:eastAsia="仿宋" w:cs="仿宋"/>
          <w:sz w:val="33"/>
          <w:szCs w:val="33"/>
          <w:highlight w:val="none"/>
          <w:lang w:val="en-US" w:eastAsia="zh-CN"/>
        </w:rPr>
        <w:t>负责中心信访、维稳和西溪河城区段闸门监督管理工作。</w:t>
      </w:r>
      <w:r>
        <w:rPr>
          <w:rFonts w:hint="eastAsia" w:ascii="仿宋" w:hAnsi="仿宋" w:eastAsia="仿宋" w:cs="仿宋"/>
          <w:sz w:val="33"/>
          <w:szCs w:val="33"/>
          <w:lang w:val="en-US" w:eastAsia="zh-CN"/>
        </w:rPr>
        <w:t>承担</w:t>
      </w:r>
      <w:r>
        <w:rPr>
          <w:rFonts w:hint="eastAsia" w:ascii="仿宋" w:hAnsi="仿宋" w:eastAsia="仿宋" w:cs="仿宋"/>
          <w:color w:val="000000" w:themeColor="text1"/>
          <w:sz w:val="33"/>
          <w:szCs w:val="33"/>
          <w:lang w:val="en-US" w:eastAsia="zh-CN"/>
          <w14:textFill>
            <w14:solidFill>
              <w14:schemeClr w14:val="tx1"/>
            </w14:solidFill>
          </w14:textFill>
        </w:rPr>
        <w:t>西溪河城区段生态流量供水调度工作。</w:t>
      </w:r>
      <w:r>
        <w:rPr>
          <w:rFonts w:hint="eastAsia" w:ascii="仿宋" w:hAnsi="仿宋" w:eastAsia="仿宋" w:cs="仿宋"/>
          <w:sz w:val="33"/>
          <w:szCs w:val="33"/>
          <w:lang w:val="en-US" w:eastAsia="zh-CN"/>
        </w:rPr>
        <w:t>负责对库区取水单位</w:t>
      </w:r>
      <w:r>
        <w:rPr>
          <w:rFonts w:hint="eastAsia" w:ascii="仿宋" w:hAnsi="仿宋" w:eastAsia="仿宋" w:cs="仿宋"/>
          <w:sz w:val="33"/>
          <w:szCs w:val="33"/>
          <w:highlight w:val="none"/>
          <w:lang w:val="en-US" w:eastAsia="zh-CN"/>
        </w:rPr>
        <w:t>开展用水量核查，按期收取工程水费</w:t>
      </w:r>
      <w:r>
        <w:rPr>
          <w:rFonts w:hint="eastAsia" w:ascii="仿宋" w:hAnsi="仿宋" w:eastAsia="仿宋" w:cs="仿宋"/>
          <w:b w:val="0"/>
          <w:bCs w:val="0"/>
          <w:color w:val="000000" w:themeColor="text1"/>
          <w:sz w:val="33"/>
          <w:szCs w:val="33"/>
          <w:highlight w:val="none"/>
          <w:lang w:val="en-US" w:eastAsia="zh-CN"/>
          <w14:textFill>
            <w14:solidFill>
              <w14:schemeClr w14:val="tx1"/>
            </w14:solidFill>
          </w14:textFill>
        </w:rPr>
        <w:t>。</w:t>
      </w:r>
      <w:r>
        <w:rPr>
          <w:rFonts w:hint="eastAsia" w:ascii="仿宋" w:hAnsi="仿宋" w:eastAsia="仿宋" w:cs="仿宋"/>
          <w:sz w:val="33"/>
          <w:szCs w:val="33"/>
          <w:highlight w:val="none"/>
          <w:lang w:val="en-US" w:eastAsia="zh-CN"/>
        </w:rPr>
        <w:t>负责对水库库区水面保洁进行巡查检查。</w:t>
      </w:r>
      <w:r>
        <w:rPr>
          <w:rFonts w:hint="eastAsia" w:ascii="仿宋" w:hAnsi="仿宋" w:eastAsia="仿宋" w:cs="仿宋"/>
          <w:sz w:val="33"/>
          <w:szCs w:val="33"/>
          <w:highlight w:val="none"/>
          <w:lang w:eastAsia="zh-CN"/>
        </w:rPr>
        <w:t>牵头负责全民水库电站</w:t>
      </w:r>
      <w:r>
        <w:rPr>
          <w:rFonts w:hint="eastAsia" w:ascii="仿宋" w:hAnsi="仿宋" w:eastAsia="仿宋" w:cs="仿宋"/>
          <w:color w:val="000000" w:themeColor="text1"/>
          <w:sz w:val="33"/>
          <w:szCs w:val="33"/>
          <w:highlight w:val="none"/>
          <w:lang w:eastAsia="zh-CN"/>
          <w14:textFill>
            <w14:solidFill>
              <w14:schemeClr w14:val="tx1"/>
            </w14:solidFill>
          </w14:textFill>
        </w:rPr>
        <w:t>退出相关工作。负责水资源计量核查相关工作。承担水库水利风景区建设与管理相关工作。</w:t>
      </w:r>
      <w:r>
        <w:rPr>
          <w:rFonts w:hint="eastAsia" w:ascii="仿宋" w:hAnsi="仿宋" w:eastAsia="仿宋" w:cs="仿宋"/>
          <w:color w:val="000000" w:themeColor="text1"/>
          <w:sz w:val="33"/>
          <w:szCs w:val="33"/>
          <w:highlight w:val="none"/>
          <w:lang w:val="en-US" w:eastAsia="zh-CN"/>
          <w14:textFill>
            <w14:solidFill>
              <w14:schemeClr w14:val="tx1"/>
            </w14:solidFill>
          </w14:textFill>
        </w:rPr>
        <w:t>完成领导交办的其他工作。</w:t>
      </w:r>
    </w:p>
    <w:p>
      <w:pPr>
        <w:pStyle w:val="5"/>
        <w:rPr>
          <w:rFonts w:hint="eastAsia" w:ascii="仿宋" w:hAnsi="仿宋" w:eastAsia="仿宋" w:cs="仿宋"/>
          <w:b w:val="0"/>
          <w:color w:val="000000"/>
        </w:rPr>
      </w:pPr>
    </w:p>
    <w:p>
      <w:pPr>
        <w:pStyle w:val="5"/>
        <w:rPr>
          <w:rFonts w:hint="eastAsia" w:ascii="仿宋" w:hAnsi="仿宋" w:eastAsia="仿宋" w:cs="仿宋"/>
          <w:b w:val="0"/>
          <w:color w:val="000000"/>
        </w:rPr>
      </w:pPr>
    </w:p>
    <w:p>
      <w:pPr>
        <w:pStyle w:val="5"/>
        <w:rPr>
          <w:rFonts w:hint="default" w:ascii="Times New Roman" w:hAnsi="Times New Roman" w:eastAsia="黑体" w:cs="Times New Roman"/>
          <w:b w:val="0"/>
          <w:color w:val="000000"/>
        </w:rPr>
      </w:pPr>
    </w:p>
    <w:p>
      <w:pPr>
        <w:pStyle w:val="5"/>
        <w:rPr>
          <w:rFonts w:hint="default" w:ascii="Times New Roman" w:hAnsi="Times New Roman" w:eastAsia="黑体" w:cs="Times New Roman"/>
          <w:b w:val="0"/>
          <w:color w:val="000000"/>
        </w:rPr>
      </w:pPr>
    </w:p>
    <w:p>
      <w:pPr>
        <w:pStyle w:val="2"/>
        <w:ind w:right="440"/>
        <w:jc w:val="right"/>
        <w:rPr>
          <w:rFonts w:hint="default" w:ascii="Times New Roman" w:hAnsi="Times New Roman" w:eastAsia="黑体" w:cs="Times New Roman"/>
          <w:b w:val="0"/>
          <w:color w:val="000000"/>
        </w:rPr>
      </w:pPr>
    </w:p>
    <w:bookmarkEnd w:id="16"/>
    <w:bookmarkEnd w:id="17"/>
    <w:p>
      <w:pPr>
        <w:pStyle w:val="2"/>
        <w:keepNext/>
        <w:keepLines/>
        <w:spacing w:before="340" w:beforeLines="0" w:after="330" w:afterLines="0" w:line="576" w:lineRule="exact"/>
        <w:ind w:right="442"/>
        <w:jc w:val="both"/>
        <w:rPr>
          <w:rFonts w:hint="eastAsia" w:ascii="Times New Roman" w:hAnsi="Times New Roman" w:eastAsia="Times New Roman"/>
          <w:b/>
          <w:color w:val="auto"/>
          <w:kern w:val="44"/>
          <w:sz w:val="44"/>
          <w:szCs w:val="44"/>
          <w:lang w:val="zh-CN"/>
        </w:rPr>
      </w:pPr>
      <w:r>
        <w:rPr>
          <w:rFonts w:hint="eastAsia" w:ascii="黑体" w:hAnsi="黑体" w:eastAsia="黑体"/>
          <w:color w:val="000000"/>
          <w:kern w:val="44"/>
          <w:sz w:val="44"/>
          <w:szCs w:val="44"/>
          <w:lang w:val="zh-CN"/>
        </w:rPr>
        <w:t>第二部分</w:t>
      </w:r>
      <w:r>
        <w:rPr>
          <w:rFonts w:hint="eastAsia" w:ascii="黑体" w:hAnsi="黑体" w:eastAsia="黑体"/>
          <w:b/>
          <w:color w:val="000000"/>
          <w:kern w:val="44"/>
          <w:sz w:val="44"/>
          <w:szCs w:val="44"/>
          <w:lang w:val="zh-CN"/>
        </w:rPr>
        <w:t xml:space="preserve"> </w:t>
      </w:r>
      <w:r>
        <w:rPr>
          <w:rFonts w:hint="eastAsia" w:ascii="黑体" w:hAnsi="黑体" w:eastAsia="黑体"/>
          <w:color w:val="auto"/>
          <w:kern w:val="44"/>
          <w:sz w:val="44"/>
          <w:szCs w:val="44"/>
          <w:lang w:val="zh-CN"/>
        </w:rPr>
        <w:t>2022年度单位决算情况说明</w:t>
      </w:r>
    </w:p>
    <w:p>
      <w:pPr>
        <w:keepNext/>
        <w:keepLines/>
        <w:spacing w:beforeLines="0" w:afterLines="0" w:line="576" w:lineRule="exact"/>
        <w:jc w:val="both"/>
        <w:rPr>
          <w:rFonts w:hint="eastAsia" w:ascii="黑体" w:hAnsi="黑体" w:eastAsia="黑体"/>
          <w:color w:val="auto"/>
          <w:kern w:val="2"/>
          <w:sz w:val="32"/>
          <w:lang w:val="zh-CN"/>
        </w:rPr>
      </w:pPr>
      <w:r>
        <w:rPr>
          <w:rFonts w:hint="eastAsia" w:ascii="黑体" w:hAnsi="黑体" w:eastAsia="黑体"/>
          <w:color w:val="000000"/>
          <w:kern w:val="2"/>
          <w:sz w:val="32"/>
          <w:lang w:val="zh-CN"/>
        </w:rPr>
        <w:t xml:space="preserve">    一、收</w:t>
      </w:r>
      <w:r>
        <w:rPr>
          <w:rFonts w:hint="eastAsia" w:ascii="黑体" w:hAnsi="黑体" w:eastAsia="黑体"/>
          <w:color w:val="auto"/>
          <w:kern w:val="2"/>
          <w:sz w:val="32"/>
          <w:lang w:val="zh-CN"/>
        </w:rPr>
        <w:t>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2022年度收入、支出总计均为372.65万元。与2021年相比，收入、支出总计各增加89.52万元，增长31.6%。主要变动原因是职工工资增加。</w:t>
      </w:r>
    </w:p>
    <w:p>
      <w:pPr>
        <w:spacing w:beforeLines="0" w:afterLines="0" w:line="600" w:lineRule="exact"/>
        <w:ind w:firstLine="640"/>
        <w:jc w:val="both"/>
        <w:rPr>
          <w:rFonts w:hint="eastAsia" w:ascii="仿宋" w:hAnsi="仿宋" w:eastAsia="仿宋"/>
          <w:color w:val="auto"/>
          <w:kern w:val="2"/>
          <w:sz w:val="32"/>
          <w:lang w:val="en-US"/>
        </w:rPr>
      </w:pPr>
      <w:r>
        <w:drawing>
          <wp:anchor distT="0" distB="0" distL="114300" distR="114300" simplePos="0" relativeHeight="251659264" behindDoc="1" locked="0" layoutInCell="1" allowOverlap="1">
            <wp:simplePos x="0" y="0"/>
            <wp:positionH relativeFrom="column">
              <wp:posOffset>29845</wp:posOffset>
            </wp:positionH>
            <wp:positionV relativeFrom="paragraph">
              <wp:posOffset>222885</wp:posOffset>
            </wp:positionV>
            <wp:extent cx="4572000" cy="2743200"/>
            <wp:effectExtent l="4445" t="4445" r="14605" b="1460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（图1：收、支决算总计变动情况图）（柱状图）</w:t>
      </w:r>
    </w:p>
    <w:p>
      <w:pPr>
        <w:keepNext/>
        <w:keepLines/>
        <w:spacing w:beforeLines="0" w:afterLines="0" w:line="576" w:lineRule="exact"/>
        <w:ind w:firstLine="640"/>
        <w:jc w:val="both"/>
        <w:rPr>
          <w:rFonts w:hint="eastAsia" w:ascii="黑体" w:hAnsi="黑体" w:eastAsia="黑体"/>
          <w:color w:val="auto"/>
          <w:kern w:val="2"/>
          <w:sz w:val="32"/>
          <w:lang w:val="zh-CN"/>
        </w:rPr>
      </w:pPr>
      <w:r>
        <w:rPr>
          <w:rFonts w:hint="eastAsia" w:ascii="黑体" w:hAnsi="黑体" w:eastAsia="黑体"/>
          <w:color w:val="000000"/>
          <w:kern w:val="2"/>
          <w:sz w:val="32"/>
          <w:lang w:val="zh-CN"/>
        </w:rPr>
        <w:t>二、收</w:t>
      </w:r>
      <w:r>
        <w:rPr>
          <w:rFonts w:hint="eastAsia" w:ascii="黑体" w:hAnsi="黑体" w:eastAsia="黑体"/>
          <w:color w:val="auto"/>
          <w:kern w:val="2"/>
          <w:sz w:val="32"/>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2022年本年收入合计372.65万元，其中：一般公共预算财政拨款收入368.28万元，占98.8%；政府性基金预算财政拨款收入4.36万元，占1.2%。</w:t>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drawing>
          <wp:anchor distT="0" distB="0" distL="114300" distR="114300" simplePos="0" relativeHeight="251660288" behindDoc="1" locked="0" layoutInCell="1" allowOverlap="1">
            <wp:simplePos x="0" y="0"/>
            <wp:positionH relativeFrom="column">
              <wp:posOffset>90170</wp:posOffset>
            </wp:positionH>
            <wp:positionV relativeFrom="paragraph">
              <wp:posOffset>161925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（图2：收入决算结构图）（饼状图）</w:t>
      </w:r>
    </w:p>
    <w:p>
      <w:pPr>
        <w:keepNext/>
        <w:keepLines/>
        <w:spacing w:beforeLines="0" w:afterLines="0" w:line="576" w:lineRule="exact"/>
        <w:ind w:firstLine="640"/>
        <w:jc w:val="both"/>
        <w:rPr>
          <w:rFonts w:hint="eastAsia" w:ascii="黑体" w:hAnsi="黑体" w:eastAsia="黑体"/>
          <w:color w:val="auto"/>
          <w:kern w:val="2"/>
          <w:sz w:val="32"/>
          <w:lang w:val="zh-CN"/>
        </w:rPr>
      </w:pPr>
      <w:r>
        <w:rPr>
          <w:rFonts w:hint="eastAsia" w:ascii="黑体" w:hAnsi="黑体" w:eastAsia="黑体"/>
          <w:color w:val="000000"/>
          <w:kern w:val="2"/>
          <w:sz w:val="32"/>
          <w:lang w:val="zh-CN"/>
        </w:rPr>
        <w:t>三、支</w:t>
      </w:r>
      <w:r>
        <w:rPr>
          <w:rFonts w:hint="eastAsia" w:ascii="黑体" w:hAnsi="黑体" w:eastAsia="黑体"/>
          <w:color w:val="auto"/>
          <w:kern w:val="2"/>
          <w:sz w:val="32"/>
          <w:lang w:val="zh-CN"/>
        </w:rPr>
        <w:t>出决算情况说明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2022年本年支出合计372.65万元，其中：基本支出342.38万元，占91.9%；项目支出30.27万元，占8.1%。</w:t>
      </w:r>
    </w:p>
    <w:p>
      <w:pPr>
        <w:spacing w:beforeLines="0" w:afterLines="0" w:line="600" w:lineRule="exact"/>
        <w:ind w:firstLine="640"/>
        <w:jc w:val="both"/>
        <w:rPr>
          <w:rFonts w:hint="eastAsia" w:ascii="仿宋" w:hAnsi="仿宋" w:eastAsia="仿宋"/>
          <w:color w:val="auto"/>
          <w:kern w:val="2"/>
          <w:sz w:val="32"/>
          <w:lang w:val="en-US"/>
        </w:rPr>
      </w:pPr>
      <w:r>
        <w:drawing>
          <wp:anchor distT="0" distB="0" distL="114300" distR="114300" simplePos="0" relativeHeight="251662336" behindDoc="1" locked="0" layoutInCell="1" allowOverlap="1">
            <wp:simplePos x="0" y="0"/>
            <wp:positionH relativeFrom="column">
              <wp:posOffset>160020</wp:posOffset>
            </wp:positionH>
            <wp:positionV relativeFrom="paragraph">
              <wp:posOffset>267335</wp:posOffset>
            </wp:positionV>
            <wp:extent cx="4572000" cy="2924175"/>
            <wp:effectExtent l="4445" t="4445" r="14605" b="508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（图3：支出决算结构图）（饼状图）</w:t>
      </w:r>
    </w:p>
    <w:p>
      <w:pPr>
        <w:keepNext/>
        <w:keepLines/>
        <w:spacing w:beforeLines="0" w:afterLines="0" w:line="576" w:lineRule="exact"/>
        <w:ind w:firstLine="640"/>
        <w:jc w:val="both"/>
        <w:rPr>
          <w:rFonts w:hint="eastAsia" w:ascii="黑体" w:hAnsi="黑体" w:eastAsia="黑体"/>
          <w:color w:val="auto"/>
          <w:kern w:val="2"/>
          <w:sz w:val="32"/>
          <w:lang w:val="zh-CN"/>
        </w:rPr>
      </w:pPr>
      <w:r>
        <w:rPr>
          <w:rFonts w:hint="eastAsia" w:ascii="黑体" w:hAnsi="黑体" w:eastAsia="黑体"/>
          <w:color w:val="000000"/>
          <w:kern w:val="2"/>
          <w:sz w:val="32"/>
          <w:lang w:val="zh-CN"/>
        </w:rPr>
        <w:t>四、财</w:t>
      </w:r>
      <w:r>
        <w:rPr>
          <w:rFonts w:hint="eastAsia" w:ascii="黑体" w:hAnsi="黑体" w:eastAsia="黑体"/>
          <w:color w:val="auto"/>
          <w:kern w:val="2"/>
          <w:sz w:val="32"/>
          <w:lang w:val="zh-CN"/>
        </w:rPr>
        <w:t>政拨款收入支出决算总体情况说明</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2022年财政拨款收入、支出总计372.65万元。与2021年相比，财政拨款收入、支出总计各增加89.52万元，增长31.6%。主要变动原因是职工工资增加。</w:t>
      </w:r>
    </w:p>
    <w:p>
      <w:pPr>
        <w:spacing w:beforeLines="0" w:afterLines="0" w:line="600" w:lineRule="exact"/>
        <w:ind w:firstLine="640"/>
        <w:jc w:val="both"/>
        <w:rPr>
          <w:rFonts w:hint="eastAsia" w:ascii="仿宋" w:hAnsi="仿宋" w:eastAsia="仿宋"/>
          <w:b/>
          <w:color w:val="auto"/>
          <w:kern w:val="2"/>
          <w:sz w:val="32"/>
          <w:lang w:val="en-US"/>
        </w:rPr>
      </w:pPr>
      <w:r>
        <w:drawing>
          <wp:anchor distT="0" distB="0" distL="114300" distR="114300" simplePos="0" relativeHeight="251661312" behindDoc="1" locked="0" layoutInCell="1" allowOverlap="1">
            <wp:simplePos x="0" y="0"/>
            <wp:positionH relativeFrom="column">
              <wp:posOffset>139065</wp:posOffset>
            </wp:positionH>
            <wp:positionV relativeFrom="paragraph">
              <wp:posOffset>374015</wp:posOffset>
            </wp:positionV>
            <wp:extent cx="4572000" cy="2743200"/>
            <wp:effectExtent l="4445" t="4445" r="14605" b="14605"/>
            <wp:wrapNone/>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b/>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（图4：财政拨款收、支决算总计变动情况）（柱状图）</w:t>
      </w:r>
    </w:p>
    <w:p>
      <w:pPr>
        <w:keepNext/>
        <w:keepLines/>
        <w:spacing w:beforeLines="0" w:afterLines="0" w:line="576" w:lineRule="exact"/>
        <w:ind w:firstLine="640"/>
        <w:jc w:val="both"/>
        <w:rPr>
          <w:rFonts w:hint="eastAsia" w:ascii="黑体" w:hAnsi="黑体" w:eastAsia="黑体"/>
          <w:color w:val="000000"/>
          <w:kern w:val="2"/>
          <w:sz w:val="32"/>
          <w:lang w:val="zh-CN"/>
        </w:rPr>
      </w:pPr>
    </w:p>
    <w:p>
      <w:pPr>
        <w:keepNext/>
        <w:keepLines/>
        <w:spacing w:beforeLines="0" w:afterLines="0" w:line="576" w:lineRule="exact"/>
        <w:ind w:firstLine="640"/>
        <w:jc w:val="both"/>
        <w:rPr>
          <w:rFonts w:hint="eastAsia" w:ascii="黑体" w:hAnsi="黑体" w:eastAsia="黑体"/>
          <w:color w:val="auto"/>
          <w:kern w:val="2"/>
          <w:sz w:val="32"/>
          <w:lang w:val="zh-CN"/>
        </w:rPr>
      </w:pPr>
      <w:r>
        <w:rPr>
          <w:rFonts w:hint="eastAsia" w:ascii="黑体" w:hAnsi="黑体" w:eastAsia="黑体"/>
          <w:color w:val="000000"/>
          <w:kern w:val="2"/>
          <w:sz w:val="32"/>
          <w:lang w:val="zh-CN"/>
        </w:rPr>
        <w:t>五、</w:t>
      </w:r>
      <w:r>
        <w:rPr>
          <w:rFonts w:hint="eastAsia" w:ascii="黑体" w:hAnsi="黑体" w:eastAsia="黑体"/>
          <w:b/>
          <w:color w:val="000000"/>
          <w:kern w:val="2"/>
          <w:sz w:val="32"/>
          <w:lang w:val="zh-CN"/>
        </w:rPr>
        <w:t>一</w:t>
      </w:r>
      <w:r>
        <w:rPr>
          <w:rFonts w:hint="eastAsia" w:ascii="黑体" w:hAnsi="黑体" w:eastAsia="黑体"/>
          <w:color w:val="auto"/>
          <w:kern w:val="2"/>
          <w:sz w:val="32"/>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2022年一般公共预算财政拨款支出368.28万元，占本年支出合计的98.8%。与2021年相比，一般公共预算财政拨款支出增加85.15万元，增长30.1%。主要变动原因是职工工资增加。</w:t>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r>
        <w:drawing>
          <wp:anchor distT="0" distB="0" distL="114300" distR="114300" simplePos="0" relativeHeight="251663360" behindDoc="1" locked="0" layoutInCell="1" allowOverlap="1">
            <wp:simplePos x="0" y="0"/>
            <wp:positionH relativeFrom="column">
              <wp:posOffset>410845</wp:posOffset>
            </wp:positionH>
            <wp:positionV relativeFrom="paragraph">
              <wp:posOffset>-2453005</wp:posOffset>
            </wp:positionV>
            <wp:extent cx="4572000" cy="2743200"/>
            <wp:effectExtent l="4445" t="4445" r="14605" b="14605"/>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beforeLines="0" w:afterLines="0" w:line="600" w:lineRule="exact"/>
        <w:ind w:firstLine="64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（图5：一般公共预算财政拨款支出决算变动情况）（柱状图）</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（二）一般公共预算财政拨款支出决算结构情况</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2022年一般公共预算财政拨款支出368.28万元，主要用于以下方面:社会保障和就业支出26.59万元，占7.2%；卫生健康支出14.77万元，占4%；农林水支出326.93万元，占88.8%。</w:t>
      </w:r>
    </w:p>
    <w:p>
      <w:pPr>
        <w:spacing w:beforeLines="0" w:afterLines="0" w:line="600" w:lineRule="exact"/>
        <w:ind w:firstLine="640"/>
        <w:jc w:val="both"/>
        <w:rPr>
          <w:rFonts w:hint="eastAsia" w:ascii="仿宋" w:hAnsi="仿宋" w:eastAsia="仿宋"/>
          <w:color w:val="auto"/>
          <w:kern w:val="2"/>
          <w:sz w:val="32"/>
          <w:lang w:val="en-US"/>
        </w:rPr>
      </w:pPr>
      <w:r>
        <w:drawing>
          <wp:anchor distT="0" distB="0" distL="114300" distR="114300" simplePos="0" relativeHeight="251664384" behindDoc="1" locked="0" layoutInCell="1" allowOverlap="1">
            <wp:simplePos x="0" y="0"/>
            <wp:positionH relativeFrom="column">
              <wp:posOffset>384810</wp:posOffset>
            </wp:positionH>
            <wp:positionV relativeFrom="paragraph">
              <wp:posOffset>40005</wp:posOffset>
            </wp:positionV>
            <wp:extent cx="4572000" cy="2665095"/>
            <wp:effectExtent l="4445" t="4445" r="14605" b="16510"/>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jc w:val="both"/>
        <w:rPr>
          <w:rFonts w:hint="eastAsia" w:ascii="仿宋" w:hAnsi="仿宋" w:eastAsia="仿宋"/>
          <w:color w:val="auto"/>
          <w:kern w:val="2"/>
          <w:sz w:val="32"/>
          <w:lang w:val="en-US"/>
        </w:rPr>
      </w:pPr>
    </w:p>
    <w:p>
      <w:pPr>
        <w:spacing w:beforeLines="0" w:afterLines="0" w:line="600" w:lineRule="exact"/>
        <w:ind w:firstLine="640" w:firstLineChars="200"/>
        <w:jc w:val="both"/>
        <w:rPr>
          <w:rFonts w:hint="eastAsia" w:ascii="仿宋" w:hAnsi="仿宋" w:eastAsia="仿宋"/>
          <w:color w:val="auto"/>
          <w:kern w:val="2"/>
          <w:sz w:val="32"/>
          <w:lang w:val="en-US"/>
        </w:rPr>
      </w:pPr>
      <w:r>
        <w:rPr>
          <w:rFonts w:hint="eastAsia" w:ascii="仿宋" w:hAnsi="仿宋" w:eastAsia="仿宋"/>
          <w:color w:val="auto"/>
          <w:kern w:val="2"/>
          <w:sz w:val="32"/>
          <w:lang w:val="en-US"/>
        </w:rPr>
        <w:t>（图6：一般公共预算财政拨款支出决算结构）（饼状图）</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（三）一般公共预算财政拨款支出决算具体情况</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2022年一般公共预算支出决算数为368.28万元</w:t>
      </w:r>
      <w:r>
        <w:rPr>
          <w:rFonts w:hint="eastAsia" w:ascii="仿宋_GB2312" w:hAnsi="仿宋_GB2312" w:eastAsia="仿宋_GB2312"/>
          <w:color w:val="000000"/>
          <w:kern w:val="2"/>
          <w:sz w:val="32"/>
          <w:lang w:val="zh-CN"/>
        </w:rPr>
        <w:t>，</w:t>
      </w:r>
      <w:r>
        <w:rPr>
          <w:rFonts w:hint="eastAsia" w:ascii="仿宋_GB2312" w:hAnsi="仿宋_GB2312" w:eastAsia="仿宋_GB2312"/>
          <w:b/>
          <w:color w:val="000000"/>
          <w:kern w:val="2"/>
          <w:sz w:val="32"/>
          <w:lang w:val="zh-CN"/>
        </w:rPr>
        <w:t>完成预算100%。其中：</w:t>
      </w:r>
    </w:p>
    <w:p>
      <w:pPr>
        <w:keepNext/>
        <w:keepLines/>
        <w:numPr>
          <w:ilvl w:val="0"/>
          <w:numId w:val="0"/>
        </w:numPr>
        <w:spacing w:beforeLines="0" w:afterLines="0" w:line="576" w:lineRule="exact"/>
        <w:ind w:firstLine="643" w:firstLineChars="200"/>
        <w:jc w:val="both"/>
        <w:rPr>
          <w:rFonts w:hint="eastAsia" w:ascii="仿宋" w:hAnsi="仿宋" w:eastAsia="仿宋"/>
          <w:color w:val="auto"/>
          <w:kern w:val="2"/>
          <w:sz w:val="32"/>
          <w:lang w:val="en-US" w:eastAsia="zh-CN"/>
        </w:rPr>
      </w:pPr>
      <w:r>
        <w:rPr>
          <w:rFonts w:hint="eastAsia" w:ascii="仿宋_GB2312" w:hAnsi="仿宋_GB2312" w:eastAsia="仿宋_GB2312"/>
          <w:b/>
          <w:color w:val="000000"/>
          <w:kern w:val="2"/>
          <w:sz w:val="32"/>
          <w:lang w:val="en-US" w:eastAsia="zh-CN"/>
        </w:rPr>
        <w:t>1.</w:t>
      </w:r>
      <w:r>
        <w:rPr>
          <w:rFonts w:hint="eastAsia" w:ascii="仿宋_GB2312" w:hAnsi="仿宋_GB2312" w:eastAsia="仿宋_GB2312"/>
          <w:b/>
          <w:color w:val="000000"/>
          <w:kern w:val="2"/>
          <w:sz w:val="32"/>
          <w:lang w:val="en-US"/>
        </w:rPr>
        <w:t>社会保障和就业</w:t>
      </w:r>
      <w:r>
        <w:rPr>
          <w:rFonts w:hint="eastAsia" w:ascii="仿宋_GB2312" w:hAnsi="仿宋_GB2312" w:eastAsia="仿宋_GB2312"/>
          <w:b/>
          <w:color w:val="000000"/>
          <w:kern w:val="2"/>
          <w:sz w:val="32"/>
          <w:lang w:val="en-US" w:eastAsia="zh-CN"/>
        </w:rPr>
        <w:t>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208</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05</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机关事业单位养老保险缴费支出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05</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26.59</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r>
        <w:rPr>
          <w:rFonts w:hint="eastAsia" w:ascii="仿宋" w:hAnsi="仿宋" w:eastAsia="仿宋"/>
          <w:color w:val="auto"/>
          <w:kern w:val="2"/>
          <w:sz w:val="32"/>
          <w:lang w:val="en-US" w:eastAsia="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2.</w:t>
      </w:r>
      <w:r>
        <w:rPr>
          <w:rFonts w:hint="eastAsia" w:ascii="仿宋_GB2312" w:hAnsi="仿宋_GB2312" w:eastAsia="仿宋_GB2312"/>
          <w:b/>
          <w:color w:val="000000"/>
          <w:kern w:val="2"/>
          <w:sz w:val="32"/>
          <w:lang w:val="en-US"/>
        </w:rPr>
        <w:t>卫生健康</w:t>
      </w:r>
      <w:r>
        <w:rPr>
          <w:rFonts w:hint="eastAsia" w:ascii="仿宋_GB2312" w:hAnsi="仿宋_GB2312" w:eastAsia="仿宋_GB2312"/>
          <w:b/>
          <w:color w:val="000000"/>
          <w:kern w:val="2"/>
          <w:sz w:val="32"/>
          <w:lang w:val="en-US" w:eastAsia="zh-CN"/>
        </w:rPr>
        <w:t>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210</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行政事业单位医疗</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11</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事业单位医疗</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02</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10.79</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3.</w:t>
      </w:r>
      <w:r>
        <w:rPr>
          <w:rFonts w:hint="eastAsia" w:ascii="仿宋_GB2312" w:hAnsi="仿宋_GB2312" w:eastAsia="仿宋_GB2312"/>
          <w:b/>
          <w:color w:val="000000"/>
          <w:kern w:val="2"/>
          <w:sz w:val="32"/>
          <w:lang w:val="en-US"/>
        </w:rPr>
        <w:t>卫生健康</w:t>
      </w:r>
      <w:r>
        <w:rPr>
          <w:rFonts w:hint="eastAsia" w:ascii="仿宋_GB2312" w:hAnsi="仿宋_GB2312" w:eastAsia="仿宋_GB2312"/>
          <w:b/>
          <w:color w:val="000000"/>
          <w:kern w:val="2"/>
          <w:sz w:val="32"/>
          <w:lang w:val="en-US" w:eastAsia="zh-CN"/>
        </w:rPr>
        <w:t>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210</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行政事业单位医疗</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11</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公务员医疗补助</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03</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3.98</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4.农林水支出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213</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水利</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03</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机关服务</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03</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50.64</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5.农林水支出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213</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水利</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03</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水利工程运行与维护</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06</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258.97</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6.农林水支出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213</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水利</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03</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其他水利支出</w:t>
      </w:r>
      <w:r>
        <w:rPr>
          <w:rFonts w:hint="eastAsia" w:ascii="仿宋_GB2312" w:hAnsi="仿宋_GB2312" w:eastAsia="仿宋_GB2312"/>
          <w:b/>
          <w:color w:val="000000"/>
          <w:kern w:val="2"/>
          <w:sz w:val="32"/>
          <w:lang w:val="en-US"/>
        </w:rPr>
        <w:t>（</w:t>
      </w:r>
      <w:r>
        <w:rPr>
          <w:rFonts w:hint="eastAsia" w:ascii="仿宋_GB2312" w:hAnsi="仿宋_GB2312" w:eastAsia="仿宋_GB2312"/>
          <w:b/>
          <w:color w:val="000000"/>
          <w:kern w:val="2"/>
          <w:sz w:val="32"/>
          <w:lang w:val="en-US" w:eastAsia="zh-CN"/>
        </w:rPr>
        <w:t>99</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17.33</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tabs>
          <w:tab w:val="right" w:pos="8306"/>
        </w:tabs>
        <w:spacing w:beforeLines="0" w:afterLines="0" w:line="576" w:lineRule="exact"/>
        <w:ind w:firstLine="640"/>
        <w:jc w:val="both"/>
        <w:rPr>
          <w:rFonts w:hint="eastAsia" w:ascii="黑体" w:hAnsi="黑体" w:eastAsia="黑体"/>
          <w:color w:val="000000"/>
          <w:kern w:val="2"/>
          <w:sz w:val="32"/>
          <w:lang w:val="zh-CN"/>
        </w:rPr>
      </w:pPr>
    </w:p>
    <w:p>
      <w:pPr>
        <w:keepNext/>
        <w:keepLines/>
        <w:tabs>
          <w:tab w:val="right" w:pos="8306"/>
        </w:tabs>
        <w:spacing w:beforeLines="0" w:afterLines="0" w:line="576" w:lineRule="exact"/>
        <w:ind w:firstLine="640"/>
        <w:jc w:val="both"/>
        <w:rPr>
          <w:rFonts w:hint="default" w:ascii="Cambria" w:hAnsi="Cambria" w:eastAsia="Cambria"/>
          <w:b/>
          <w:color w:val="auto"/>
          <w:kern w:val="2"/>
          <w:sz w:val="32"/>
          <w:lang w:val="zh-CN"/>
        </w:rPr>
      </w:pPr>
      <w:r>
        <w:rPr>
          <w:rFonts w:hint="eastAsia" w:ascii="黑体" w:hAnsi="黑体" w:eastAsia="黑体"/>
          <w:color w:val="000000"/>
          <w:kern w:val="2"/>
          <w:sz w:val="32"/>
          <w:lang w:val="zh-CN"/>
        </w:rPr>
        <w:t>六</w:t>
      </w:r>
      <w:r>
        <w:rPr>
          <w:rFonts w:hint="eastAsia" w:ascii="黑体" w:hAnsi="黑体" w:eastAsia="黑体"/>
          <w:b/>
          <w:color w:val="000000"/>
          <w:kern w:val="2"/>
          <w:sz w:val="32"/>
          <w:lang w:val="zh-CN"/>
        </w:rPr>
        <w:t>、一</w:t>
      </w:r>
      <w:r>
        <w:rPr>
          <w:rFonts w:hint="eastAsia" w:ascii="黑体" w:hAnsi="黑体" w:eastAsia="黑体"/>
          <w:color w:val="auto"/>
          <w:kern w:val="2"/>
          <w:sz w:val="32"/>
          <w:lang w:val="zh-CN"/>
        </w:rPr>
        <w:t>般公共预算财政拨款基本支出决算情况说明</w:t>
      </w:r>
      <w:r>
        <w:rPr>
          <w:rFonts w:hint="eastAsia" w:ascii="黑体" w:hAnsi="黑体" w:eastAsia="黑体"/>
          <w:color w:val="auto"/>
          <w:kern w:val="2"/>
          <w:sz w:val="32"/>
          <w:lang w:val="zh-CN"/>
        </w:rPr>
        <w:tab/>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2022年一般公共预算财政拨款基本支出342.38万元，其中：</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人员经费</w:t>
      </w:r>
      <w:r>
        <w:rPr>
          <w:rFonts w:hint="eastAsia" w:ascii="仿宋_GB2312" w:hAnsi="仿宋_GB2312" w:eastAsia="仿宋_GB2312"/>
          <w:color w:val="000000"/>
          <w:kern w:val="2"/>
          <w:sz w:val="32"/>
          <w:lang w:val="zh-CN"/>
        </w:rPr>
        <w:t>290.62万元，主要包括：</w:t>
      </w:r>
      <w:r>
        <w:rPr>
          <w:rFonts w:hint="eastAsia" w:ascii="仿宋" w:hAnsi="仿宋" w:eastAsia="仿宋"/>
          <w:color w:val="auto"/>
          <w:kern w:val="2"/>
          <w:sz w:val="32"/>
          <w:lang w:val="en-US"/>
        </w:rPr>
        <w:t>基本工资、津贴补贴、奖金、绩效工资、机关事业单位基本养老保险缴费、职业年金缴费、其他社会保障缴费、其他工资福利支出、生活补助、奖励金、其他对个人和家庭的补助支出等</w:t>
      </w:r>
      <w:r>
        <w:rPr>
          <w:rFonts w:hint="eastAsia" w:ascii="仿宋_GB2312" w:hAnsi="仿宋_GB2312" w:eastAsia="仿宋_GB2312"/>
          <w:color w:val="000000"/>
          <w:kern w:val="2"/>
          <w:sz w:val="32"/>
          <w:lang w:val="zh-CN"/>
        </w:rPr>
        <w:t>。</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日常公用经费</w:t>
      </w:r>
      <w:r>
        <w:rPr>
          <w:rFonts w:hint="eastAsia" w:ascii="仿宋_GB2312" w:hAnsi="仿宋_GB2312" w:eastAsia="仿宋_GB2312"/>
          <w:color w:val="000000"/>
          <w:kern w:val="2"/>
          <w:sz w:val="32"/>
          <w:lang w:val="zh-CN"/>
        </w:rPr>
        <w:t>51.75万元，主要包括：</w:t>
      </w:r>
      <w:r>
        <w:rPr>
          <w:rFonts w:hint="eastAsia" w:ascii="仿宋" w:hAnsi="仿宋" w:eastAsia="仿宋"/>
          <w:color w:val="auto"/>
          <w:kern w:val="2"/>
          <w:sz w:val="32"/>
          <w:lang w:val="en-US"/>
        </w:rPr>
        <w:t>办公费、印刷费、水费、邮电费、物业管理费、差旅费、维修（护）费、会议费、培训费、工会经费、福利费、其他交通费、其他商品和服务支出等</w:t>
      </w:r>
      <w:r>
        <w:rPr>
          <w:rFonts w:hint="eastAsia" w:ascii="仿宋_GB2312" w:hAnsi="仿宋_GB2312" w:eastAsia="仿宋_GB2312"/>
          <w:color w:val="000000"/>
          <w:kern w:val="2"/>
          <w:sz w:val="32"/>
          <w:lang w:val="zh-CN"/>
        </w:rPr>
        <w:t>。</w:t>
      </w:r>
    </w:p>
    <w:p>
      <w:pPr>
        <w:pStyle w:val="5"/>
        <w:rPr>
          <w:rFonts w:hint="eastAsia"/>
          <w:lang w:val="zh-CN"/>
        </w:rPr>
      </w:pPr>
    </w:p>
    <w:p>
      <w:pPr>
        <w:numPr>
          <w:ilvl w:val="0"/>
          <w:numId w:val="1"/>
        </w:numPr>
        <w:spacing w:line="600" w:lineRule="exact"/>
        <w:ind w:firstLine="640"/>
        <w:rPr>
          <w:rStyle w:val="25"/>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5"/>
          <w:rFonts w:hint="default" w:ascii="Times New Roman" w:hAnsi="Times New Roman" w:eastAsia="黑体" w:cs="Times New Roman"/>
          <w:b w:val="0"/>
          <w:bCs/>
        </w:rPr>
        <w:t>般公共预算财政拨款</w:t>
      </w:r>
      <w:r>
        <w:rPr>
          <w:rStyle w:val="25"/>
          <w:rFonts w:hint="default" w:ascii="Times New Roman" w:hAnsi="Times New Roman" w:eastAsia="黑体" w:cs="Times New Roman"/>
          <w:b w:val="0"/>
          <w:bCs/>
          <w:lang w:eastAsia="zh-CN"/>
        </w:rPr>
        <w:t>项目</w:t>
      </w:r>
      <w:r>
        <w:rPr>
          <w:rStyle w:val="25"/>
          <w:rFonts w:hint="default" w:ascii="Times New Roman" w:hAnsi="Times New Roman" w:eastAsia="黑体" w:cs="Times New Roman"/>
          <w:b w:val="0"/>
          <w:bCs/>
        </w:rPr>
        <w:t>支出决算情况说明</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30.27</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市级防汛经费项目</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4.36万元，主要用于：项目经费支出，包括办公费等。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全民水库水面保洁项目</w:t>
      </w:r>
      <w:r>
        <w:rPr>
          <w:rFonts w:hint="eastAsia" w:ascii="Times New Roman" w:cs="Times New Roman"/>
          <w:sz w:val="32"/>
          <w:szCs w:val="32"/>
          <w:lang w:val="en-US" w:eastAsia="zh-CN"/>
        </w:rPr>
        <w:t>支出2.72万元，主要用于：项目经费支出，包括劳务费等。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水库枢纽维修养护项目</w:t>
      </w:r>
      <w:r>
        <w:rPr>
          <w:rFonts w:hint="eastAsia" w:ascii="Times New Roman" w:cs="Times New Roman"/>
          <w:sz w:val="32"/>
          <w:szCs w:val="32"/>
          <w:lang w:val="en-US" w:eastAsia="zh-CN"/>
        </w:rPr>
        <w:t>支出6.23万元，主要用于：项目经费支出，包括维修费等。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水库枢纽水土保持费项目</w:t>
      </w:r>
      <w:r>
        <w:rPr>
          <w:rFonts w:hint="eastAsia" w:ascii="Times New Roman" w:cs="Times New Roman"/>
          <w:sz w:val="32"/>
          <w:szCs w:val="32"/>
          <w:lang w:val="en-US" w:eastAsia="zh-CN"/>
        </w:rPr>
        <w:t>支出2.47万元，主要用于：项目经费支出，包括劳务费等。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全民水库枢纽病虫害防治项目</w:t>
      </w:r>
      <w:r>
        <w:rPr>
          <w:rFonts w:hint="eastAsia" w:ascii="Times New Roman" w:cs="Times New Roman"/>
          <w:sz w:val="32"/>
          <w:szCs w:val="32"/>
          <w:lang w:val="en-US" w:eastAsia="zh-CN"/>
        </w:rPr>
        <w:t>支出0.91万元，主要用于：项目经费支出，包括劳务费等。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水环境综合管理费项目</w:t>
      </w:r>
      <w:r>
        <w:rPr>
          <w:rFonts w:hint="eastAsia" w:ascii="Times New Roman" w:cs="Times New Roman"/>
          <w:sz w:val="32"/>
          <w:szCs w:val="32"/>
          <w:lang w:val="en-US" w:eastAsia="zh-CN"/>
        </w:rPr>
        <w:t>支出1万元，主要用于：项目经费支出，包括专用燃料费等。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水库大坝自动监测系统运行维护项目</w:t>
      </w:r>
      <w:r>
        <w:rPr>
          <w:rFonts w:hint="eastAsia" w:ascii="Times New Roman" w:cs="Times New Roman"/>
          <w:sz w:val="32"/>
          <w:szCs w:val="32"/>
          <w:lang w:val="en-US" w:eastAsia="zh-CN"/>
        </w:rPr>
        <w:t>支出0.96万元，主要用于：项目经费支出，包括维修费等。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全民水库标准化建设管理费项目</w:t>
      </w:r>
      <w:r>
        <w:rPr>
          <w:rFonts w:hint="eastAsia" w:ascii="Times New Roman" w:cs="Times New Roman"/>
          <w:sz w:val="32"/>
          <w:szCs w:val="32"/>
          <w:lang w:val="en-US" w:eastAsia="zh-CN"/>
        </w:rPr>
        <w:t>支出4.98万元，主要用于：项目经费支出，包括劳务费等。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全民水库出库流量在线监测项目</w:t>
      </w:r>
      <w:r>
        <w:rPr>
          <w:rFonts w:hint="eastAsia" w:ascii="Times New Roman" w:cs="Times New Roman"/>
          <w:sz w:val="32"/>
          <w:szCs w:val="32"/>
          <w:lang w:val="en-US" w:eastAsia="zh-CN"/>
        </w:rPr>
        <w:t>支出4.86万元，主要用于：项目经费支出，包括专用材料费等。</w:t>
      </w:r>
    </w:p>
    <w:p>
      <w:pPr>
        <w:pStyle w:val="5"/>
        <w:ind w:firstLine="640"/>
        <w:rPr>
          <w:rFonts w:hint="eastAsia" w:ascii="Times New Roman" w:cs="Times New Roman"/>
          <w:sz w:val="32"/>
          <w:szCs w:val="32"/>
          <w:lang w:val="en-US" w:eastAsia="zh-CN"/>
        </w:rPr>
      </w:pPr>
      <w:r>
        <w:rPr>
          <w:rFonts w:hint="eastAsia" w:ascii="Times New Roman" w:cs="Times New Roman"/>
          <w:b/>
          <w:bCs/>
          <w:sz w:val="32"/>
          <w:szCs w:val="32"/>
          <w:lang w:val="en-US" w:eastAsia="zh-CN"/>
        </w:rPr>
        <w:t>全民水库一级电站运行维修经费项目</w:t>
      </w:r>
      <w:r>
        <w:rPr>
          <w:rFonts w:hint="eastAsia" w:ascii="Times New Roman" w:cs="Times New Roman"/>
          <w:sz w:val="32"/>
          <w:szCs w:val="32"/>
          <w:lang w:val="en-US" w:eastAsia="zh-CN"/>
        </w:rPr>
        <w:t>支出1.77万元，主要用于：项目经费支出，包括维修费和劳务费等。</w:t>
      </w:r>
    </w:p>
    <w:p>
      <w:pPr>
        <w:pStyle w:val="5"/>
        <w:ind w:firstLine="640"/>
        <w:rPr>
          <w:rFonts w:hint="eastAsia" w:ascii="Times New Roman" w:cs="Times New Roman"/>
          <w:sz w:val="32"/>
          <w:szCs w:val="32"/>
          <w:lang w:val="en-US" w:eastAsia="zh-CN"/>
        </w:rPr>
      </w:pPr>
    </w:p>
    <w:p>
      <w:pPr>
        <w:spacing w:line="600" w:lineRule="exact"/>
        <w:ind w:firstLine="640"/>
        <w:outlineLvl w:val="1"/>
        <w:rPr>
          <w:rStyle w:val="25"/>
          <w:rFonts w:hint="default" w:ascii="Times New Roman" w:hAnsi="Times New Roman" w:eastAsia="黑体" w:cs="Times New Roman"/>
          <w:b w:val="0"/>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八</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Style w:val="25"/>
          <w:rFonts w:hint="default" w:ascii="Times New Roman" w:hAnsi="Times New Roman" w:eastAsia="黑体" w:cs="Times New Roman"/>
          <w:color w:val="000000" w:themeColor="text1"/>
          <w:highlight w:val="none"/>
          <w14:textFill>
            <w14:solidFill>
              <w14:schemeClr w14:val="tx1"/>
            </w14:solidFill>
          </w14:textFill>
        </w:rPr>
        <w:t>“</w:t>
      </w:r>
      <w:r>
        <w:rPr>
          <w:rStyle w:val="25"/>
          <w:rFonts w:hint="default" w:ascii="Times New Roman" w:hAnsi="Times New Roman" w:eastAsia="黑体" w:cs="Times New Roman"/>
          <w:b w:val="0"/>
          <w:color w:val="000000" w:themeColor="text1"/>
          <w:highlight w:val="none"/>
          <w14:textFill>
            <w14:solidFill>
              <w14:schemeClr w14:val="tx1"/>
            </w14:solidFill>
          </w14:textFill>
        </w:rPr>
        <w:t>三公”经费财政拨款支出决算情况说明</w:t>
      </w:r>
    </w:p>
    <w:p>
      <w:pPr>
        <w:spacing w:line="600" w:lineRule="exact"/>
        <w:ind w:firstLine="640"/>
        <w:outlineLvl w:val="2"/>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20" w:name="_Toc15377216"/>
      <w:r>
        <w:rPr>
          <w:rFonts w:hint="default" w:ascii="Times New Roman" w:hAnsi="Times New Roman" w:eastAsia="仿宋" w:cs="Times New Roman"/>
          <w:b/>
          <w:color w:val="000000" w:themeColor="text1"/>
          <w:sz w:val="32"/>
          <w:szCs w:val="32"/>
          <w:highlight w:val="none"/>
          <w14:textFill>
            <w14:solidFill>
              <w14:schemeClr w14:val="tx1"/>
            </w14:solidFill>
          </w14:textFill>
        </w:rPr>
        <w:t>（一）“三公”经费财政拨款支出决算总体情况说明</w:t>
      </w:r>
      <w:bookmarkEnd w:id="20"/>
    </w:p>
    <w:p>
      <w:pPr>
        <w:spacing w:line="600" w:lineRule="exact"/>
        <w:ind w:firstLine="640"/>
        <w:rPr>
          <w:rFonts w:hint="eastAsia"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年“三公”经费财政拨款支出决算为</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万元，完成预算</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决算数与预算数持平</w:t>
      </w:r>
      <w:r>
        <w:rPr>
          <w:rFonts w:hint="eastAsia" w:eastAsia="仿宋" w:cs="Times New Roman"/>
          <w:color w:val="000000" w:themeColor="text1"/>
          <w:sz w:val="32"/>
          <w:szCs w:val="32"/>
          <w:highlight w:val="none"/>
          <w:lang w:eastAsia="zh-CN"/>
          <w14:textFill>
            <w14:solidFill>
              <w14:schemeClr w14:val="tx1"/>
            </w14:solidFill>
          </w14:textFill>
        </w:rPr>
        <w:t>。</w:t>
      </w:r>
    </w:p>
    <w:p>
      <w:pPr>
        <w:spacing w:line="600" w:lineRule="exact"/>
        <w:ind w:firstLine="640"/>
        <w:outlineLvl w:val="2"/>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21" w:name="_Toc15377217"/>
      <w:r>
        <w:rPr>
          <w:rFonts w:hint="default" w:ascii="Times New Roman" w:hAnsi="Times New Roman" w:eastAsia="仿宋" w:cs="Times New Roman"/>
          <w:b/>
          <w:color w:val="000000" w:themeColor="text1"/>
          <w:sz w:val="32"/>
          <w:szCs w:val="32"/>
          <w:highlight w:val="none"/>
          <w14:textFill>
            <w14:solidFill>
              <w14:schemeClr w14:val="tx1"/>
            </w14:solidFill>
          </w14:textFill>
        </w:rPr>
        <w:t>（二）“三公”经费财政拨款支出决算具体情况说明</w:t>
      </w:r>
      <w:bookmarkEnd w:id="21"/>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年“三公”经费财政拨款支出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全年未安排预算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。其中：</w:t>
      </w:r>
      <w:r>
        <w:rPr>
          <w:rFonts w:hint="default" w:ascii="Times New Roman" w:hAnsi="Times New Roman" w:eastAsia="仿宋" w:cs="Times New Roman"/>
          <w:color w:val="000000" w:themeColor="text1"/>
          <w:sz w:val="32"/>
          <w:szCs w:val="32"/>
          <w:highlight w:val="none"/>
          <w14:textFill>
            <w14:solidFill>
              <w14:schemeClr w14:val="tx1"/>
            </w14:solidFill>
          </w14:textFill>
        </w:rPr>
        <w:t>因公出国（境）费支出决算</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万元，占</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%；公务用车购置及运行维护费支出决算</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万元，占</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%；公务接待费支出决算</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万元，占</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%。具体情况如下：</w:t>
      </w:r>
    </w:p>
    <w:p>
      <w:pPr>
        <w:pStyle w:val="5"/>
        <w:rPr>
          <w:rFonts w:hint="eastAsia" w:asci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eastAsia="仿宋" w:cs="Times New Roman"/>
          <w:color w:val="000000" w:themeColor="text1"/>
          <w:sz w:val="32"/>
          <w:szCs w:val="32"/>
          <w:highlight w:val="none"/>
          <w:lang w:val="en-US" w:eastAsia="zh-CN"/>
          <w14:textFill>
            <w14:solidFill>
              <w14:schemeClr w14:val="tx1"/>
            </w14:solidFill>
          </w14:textFill>
        </w:rPr>
        <w:t xml:space="preserve"> </w:t>
      </w:r>
    </w:p>
    <w:p>
      <w:pPr>
        <w:pStyle w:val="5"/>
        <w:rPr>
          <w:rFonts w:hint="eastAsia" w:ascii="Times New Roman" w:eastAsia="仿宋" w:cs="Times New Roman"/>
          <w:color w:val="000000" w:themeColor="text1"/>
          <w:sz w:val="32"/>
          <w:szCs w:val="32"/>
          <w:highlight w:val="none"/>
          <w:lang w:val="en-US" w:eastAsia="zh-CN"/>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r>
        <w:drawing>
          <wp:anchor distT="0" distB="0" distL="114300" distR="114300" simplePos="0" relativeHeight="251665408" behindDoc="1" locked="0" layoutInCell="1" allowOverlap="1">
            <wp:simplePos x="0" y="0"/>
            <wp:positionH relativeFrom="column">
              <wp:posOffset>410845</wp:posOffset>
            </wp:positionH>
            <wp:positionV relativeFrom="paragraph">
              <wp:posOffset>-2453005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（图7：“三公”经费财政拨款支出结构）（饼状图）</w:t>
      </w:r>
    </w:p>
    <w:p>
      <w:pPr>
        <w:spacing w:line="600" w:lineRule="exact"/>
        <w:ind w:firstLine="64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1.因公出国（境）经费支出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完成预算</w:t>
      </w:r>
      <w:r>
        <w:rPr>
          <w:rStyle w:val="14"/>
          <w:rFonts w:hint="eastAsia" w:eastAsia="仿宋" w:cs="Times New Roman"/>
          <w:b w:val="0"/>
          <w:bCs/>
          <w:color w:val="000000" w:themeColor="text1"/>
          <w:sz w:val="32"/>
          <w:szCs w:val="32"/>
          <w:highlight w:val="none"/>
          <w:lang w:val="en-US" w:eastAsia="zh-CN"/>
          <w14:textFill>
            <w14:solidFill>
              <w14:schemeClr w14:val="tx1"/>
            </w14:solidFill>
          </w14:textFill>
        </w:rPr>
        <w:t>0</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w:t>
      </w:r>
      <w:r>
        <w:rPr>
          <w:rStyle w:val="14"/>
          <w:rFonts w:hint="default" w:ascii="Times New Roman" w:hAnsi="Times New Roman" w:eastAsia="仿宋"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全年安排因公出国（境）团组</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次，出国（境）</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人。因公出国（境）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支出决算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600" w:lineRule="exact"/>
        <w:ind w:firstLine="640"/>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2.公务用车购置及运行维护费支出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完成预算</w:t>
      </w:r>
      <w:r>
        <w:rPr>
          <w:rStyle w:val="14"/>
          <w:rFonts w:hint="eastAsia" w:eastAsia="仿宋" w:cs="Times New Roman"/>
          <w:b w:val="0"/>
          <w:bCs/>
          <w:color w:val="000000" w:themeColor="text1"/>
          <w:sz w:val="32"/>
          <w:szCs w:val="32"/>
          <w:highlight w:val="none"/>
          <w:lang w:val="en-US" w:eastAsia="zh-CN"/>
          <w14:textFill>
            <w14:solidFill>
              <w14:schemeClr w14:val="tx1"/>
            </w14:solidFill>
          </w14:textFill>
        </w:rPr>
        <w:t>0</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公务用车购置及运行维护费支出决算比20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公务用车购置支出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全年按规定更新购置公务用车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辆，其中：轿车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辆、金额</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万元，越野车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辆、金额</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万元，载客汽车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辆、金额</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截至202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年12月底，单位共有公务用车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辆，其中：轿车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辆、越野车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辆、载客汽车</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w:t>
      </w:r>
    </w:p>
    <w:p>
      <w:pPr>
        <w:spacing w:line="600" w:lineRule="exact"/>
        <w:ind w:firstLine="64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公务用车运行维护费支出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单位无公务用车，全年未下达公务用车维护费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60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3.公务接待费支出</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完成预算</w:t>
      </w:r>
      <w:r>
        <w:rPr>
          <w:rStyle w:val="14"/>
          <w:rFonts w:hint="eastAsia" w:eastAsia="仿宋" w:cs="Times New Roman"/>
          <w:b w:val="0"/>
          <w:bCs/>
          <w:color w:val="000000" w:themeColor="text1"/>
          <w:sz w:val="32"/>
          <w:szCs w:val="32"/>
          <w:highlight w:val="none"/>
          <w:lang w:val="en-US" w:eastAsia="zh-CN"/>
          <w14:textFill>
            <w14:solidFill>
              <w14:schemeClr w14:val="tx1"/>
            </w14:solidFill>
          </w14:textFill>
        </w:rPr>
        <w:t>0</w:t>
      </w:r>
      <w:r>
        <w:rPr>
          <w:rStyle w:val="14"/>
          <w:rFonts w:hint="default" w:ascii="Times New Roman" w:hAnsi="Times New Roman" w:eastAsia="仿宋" w:cs="Times New Roman"/>
          <w:b w:val="0"/>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公务接待费支出决算比20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w:t>
      </w:r>
    </w:p>
    <w:p>
      <w:pPr>
        <w:spacing w:line="60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国内公务接待支出</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600" w:lineRule="exact"/>
        <w:ind w:firstLine="643"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外事接待支出</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年增加/减少</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万元，增长/下降</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eastAsia="仿宋_GB2312" w:cs="Times New Roman"/>
          <w:color w:val="000000" w:themeColor="text1"/>
          <w:sz w:val="32"/>
          <w:szCs w:val="32"/>
          <w:highlight w:val="none"/>
          <w:lang w:eastAsia="zh-CN"/>
          <w14:textFill>
            <w14:solidFill>
              <w14:schemeClr w14:val="tx1"/>
            </w14:solidFill>
          </w14:textFill>
        </w:rPr>
        <w:t>全年未下达预算</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keepLines/>
        <w:spacing w:beforeLines="0" w:afterLines="0" w:line="576" w:lineRule="exact"/>
        <w:ind w:firstLine="640"/>
        <w:jc w:val="both"/>
        <w:rPr>
          <w:rFonts w:hint="eastAsia" w:ascii="黑体" w:hAnsi="黑体" w:eastAsia="黑体"/>
          <w:b/>
          <w:color w:val="auto"/>
          <w:kern w:val="2"/>
          <w:sz w:val="32"/>
          <w:lang w:val="zh-CN"/>
        </w:rPr>
      </w:pPr>
      <w:r>
        <w:rPr>
          <w:rFonts w:hint="eastAsia" w:ascii="黑体" w:hAnsi="黑体" w:eastAsia="黑体"/>
          <w:color w:val="000000"/>
          <w:kern w:val="2"/>
          <w:sz w:val="32"/>
          <w:lang w:val="zh-CN"/>
        </w:rPr>
        <w:t>九、</w:t>
      </w:r>
      <w:r>
        <w:rPr>
          <w:rFonts w:hint="eastAsia" w:ascii="黑体" w:hAnsi="黑体" w:eastAsia="黑体"/>
          <w:color w:val="auto"/>
          <w:kern w:val="2"/>
          <w:sz w:val="32"/>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2022年政府性基金预算拨款支出4.36万元。</w:t>
      </w:r>
    </w:p>
    <w:p>
      <w:pPr>
        <w:keepNext/>
        <w:keepLines/>
        <w:spacing w:beforeLines="0" w:afterLines="0" w:line="576" w:lineRule="exact"/>
        <w:ind w:firstLine="640"/>
        <w:jc w:val="both"/>
        <w:rPr>
          <w:rFonts w:hint="eastAsia" w:ascii="黑体" w:hAnsi="黑体" w:eastAsia="黑体"/>
          <w:color w:val="auto"/>
          <w:kern w:val="2"/>
          <w:sz w:val="32"/>
          <w:lang w:val="zh-CN"/>
        </w:rPr>
      </w:pPr>
      <w:r>
        <w:rPr>
          <w:rFonts w:hint="eastAsia" w:ascii="黑体" w:hAnsi="黑体" w:eastAsia="黑体"/>
          <w:color w:val="auto"/>
          <w:kern w:val="2"/>
          <w:sz w:val="32"/>
          <w:lang w:val="zh-CN"/>
        </w:rPr>
        <w:t>十、国有资本经营预算支出决算情况说明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lang w:val="zh-CN"/>
        </w:rPr>
      </w:pPr>
      <w:r>
        <w:rPr>
          <w:rFonts w:hint="eastAsia" w:ascii="黑体" w:hAnsi="黑体" w:eastAsia="黑体"/>
          <w:color w:val="000000"/>
          <w:kern w:val="2"/>
          <w:sz w:val="32"/>
          <w:lang w:val="zh-CN"/>
        </w:rPr>
        <w:t>十一</w:t>
      </w:r>
      <w:r>
        <w:rPr>
          <w:rFonts w:hint="eastAsia" w:ascii="黑体" w:hAnsi="黑体" w:eastAsia="黑体"/>
          <w:b/>
          <w:color w:val="auto"/>
          <w:kern w:val="2"/>
          <w:sz w:val="32"/>
          <w:lang w:val="zh-CN"/>
        </w:rPr>
        <w:t>、</w:t>
      </w:r>
      <w:r>
        <w:rPr>
          <w:rFonts w:hint="eastAsia" w:ascii="黑体" w:hAnsi="黑体" w:eastAsia="黑体"/>
          <w:color w:val="auto"/>
          <w:kern w:val="2"/>
          <w:sz w:val="32"/>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2022年，广安全民水库保护中心机关运行经费支出</w:t>
      </w:r>
      <w:r>
        <w:rPr>
          <w:rFonts w:hint="eastAsia" w:ascii="仿宋_GB2312" w:hAnsi="仿宋_GB2312" w:eastAsia="仿宋_GB2312"/>
          <w:color w:val="000000"/>
          <w:kern w:val="2"/>
          <w:sz w:val="32"/>
          <w:lang w:val="en-US" w:eastAsia="zh-CN"/>
        </w:rPr>
        <w:t>51.75</w:t>
      </w:r>
      <w:r>
        <w:rPr>
          <w:rFonts w:hint="eastAsia" w:ascii="仿宋_GB2312" w:hAnsi="仿宋_GB2312" w:eastAsia="仿宋_GB2312"/>
          <w:color w:val="000000"/>
          <w:kern w:val="2"/>
          <w:sz w:val="32"/>
          <w:lang w:val="zh-CN"/>
        </w:rPr>
        <w:t>万元，比2021年增加</w:t>
      </w:r>
      <w:r>
        <w:rPr>
          <w:rFonts w:hint="eastAsia" w:ascii="仿宋_GB2312" w:hAnsi="仿宋_GB2312" w:eastAsia="仿宋_GB2312"/>
          <w:color w:val="000000"/>
          <w:kern w:val="2"/>
          <w:sz w:val="32"/>
          <w:lang w:val="en-US" w:eastAsia="zh-CN"/>
        </w:rPr>
        <w:t>2.88</w:t>
      </w:r>
      <w:r>
        <w:rPr>
          <w:rFonts w:hint="eastAsia" w:ascii="仿宋_GB2312" w:hAnsi="仿宋_GB2312" w:eastAsia="仿宋_GB2312"/>
          <w:color w:val="000000"/>
          <w:kern w:val="2"/>
          <w:sz w:val="32"/>
          <w:lang w:val="zh-CN"/>
        </w:rPr>
        <w:t>万元，增长</w:t>
      </w:r>
      <w:r>
        <w:rPr>
          <w:rFonts w:hint="eastAsia" w:ascii="仿宋_GB2312" w:hAnsi="仿宋_GB2312" w:eastAsia="仿宋_GB2312"/>
          <w:color w:val="000000"/>
          <w:kern w:val="2"/>
          <w:sz w:val="32"/>
          <w:lang w:val="en-US" w:eastAsia="zh-CN"/>
        </w:rPr>
        <w:t>5.89</w:t>
      </w:r>
      <w:r>
        <w:rPr>
          <w:rFonts w:hint="eastAsia" w:ascii="仿宋_GB2312" w:hAnsi="仿宋_GB2312" w:eastAsia="仿宋_GB2312"/>
          <w:color w:val="000000"/>
          <w:kern w:val="2"/>
          <w:sz w:val="32"/>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广安全民水库保护中心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仿宋_GB2312" w:hAnsi="仿宋_GB2312" w:eastAsia="仿宋_GB2312"/>
          <w:color w:val="auto"/>
          <w:kern w:val="2"/>
          <w:sz w:val="32"/>
          <w:lang w:val="en-US"/>
        </w:rPr>
        <w:t>占政府采购支出总额的</w:t>
      </w:r>
      <w:r>
        <w:rPr>
          <w:rFonts w:hint="eastAsia" w:ascii="仿宋_GB2312" w:hAnsi="仿宋_GB2312" w:eastAsia="仿宋_GB2312"/>
          <w:color w:val="000000"/>
          <w:kern w:val="2"/>
          <w:sz w:val="32"/>
          <w:lang w:val="zh-CN"/>
        </w:rPr>
        <w:t>0%。</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截至2022年12月31日，广安全民水库保护中心共有车辆0辆，其中：副部（省）级及以上领导用车0辆、主要领导干部用车0辆、机要通信用车0辆、应急保障用车0辆、执法执勤用车0辆、特种专业技术用车0辆、离退休干部用车0辆、其他用车0辆。</w:t>
      </w:r>
    </w:p>
    <w:p>
      <w:pPr>
        <w:spacing w:beforeLines="0" w:afterLines="0" w:line="576" w:lineRule="exact"/>
        <w:ind w:firstLine="64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lang w:val="en-US"/>
        </w:rPr>
      </w:pPr>
      <w:r>
        <w:rPr>
          <w:rFonts w:hint="eastAsia" w:ascii="仿宋_GB2312" w:hAnsi="仿宋_GB2312" w:eastAsia="仿宋_GB2312"/>
          <w:color w:val="auto"/>
          <w:kern w:val="2"/>
          <w:sz w:val="32"/>
          <w:lang w:val="en-US"/>
        </w:rPr>
        <w:t>根据预算绩效管理要求，本单位在202</w:t>
      </w:r>
      <w:r>
        <w:rPr>
          <w:rFonts w:hint="eastAsia" w:ascii="宋体" w:hAnsi="宋体" w:eastAsia="宋体"/>
          <w:color w:val="auto"/>
          <w:kern w:val="2"/>
          <w:sz w:val="32"/>
          <w:lang w:val="en-US"/>
        </w:rPr>
        <w:t>2</w:t>
      </w:r>
      <w:r>
        <w:rPr>
          <w:rFonts w:hint="eastAsia" w:ascii="仿宋_GB2312" w:hAnsi="仿宋_GB2312" w:eastAsia="仿宋_GB2312"/>
          <w:color w:val="auto"/>
          <w:kern w:val="2"/>
          <w:sz w:val="32"/>
          <w:lang w:val="en-US"/>
        </w:rPr>
        <w:t>年度预算编制阶段，组织对</w:t>
      </w:r>
      <w:r>
        <w:rPr>
          <w:rFonts w:hint="eastAsia" w:ascii="仿宋_GB2312" w:hAnsi="仿宋_GB2312" w:eastAsia="仿宋_GB2312"/>
          <w:color w:val="auto"/>
          <w:kern w:val="2"/>
          <w:sz w:val="32"/>
          <w:lang w:val="en-US" w:eastAsia="zh-CN"/>
        </w:rPr>
        <w:t>全民水库水面保洁项目、水库枢纽维修养护项目</w:t>
      </w:r>
      <w:bookmarkStart w:id="22" w:name="_GoBack"/>
      <w:bookmarkEnd w:id="22"/>
      <w:r>
        <w:rPr>
          <w:rFonts w:hint="eastAsia" w:ascii="仿宋_GB2312" w:hAnsi="仿宋_GB2312" w:eastAsia="仿宋_GB2312"/>
          <w:color w:val="auto"/>
          <w:kern w:val="2"/>
          <w:sz w:val="32"/>
          <w:lang w:val="en-US"/>
        </w:rPr>
        <w:t>等</w:t>
      </w:r>
      <w:r>
        <w:rPr>
          <w:rFonts w:hint="eastAsia" w:ascii="仿宋_GB2312" w:hAnsi="仿宋_GB2312" w:eastAsia="仿宋_GB2312"/>
          <w:color w:val="auto"/>
          <w:kern w:val="2"/>
          <w:sz w:val="32"/>
          <w:lang w:val="en-US" w:eastAsia="zh-CN"/>
        </w:rPr>
        <w:t>8</w:t>
      </w:r>
      <w:r>
        <w:rPr>
          <w:rFonts w:hint="eastAsia" w:ascii="仿宋_GB2312" w:hAnsi="仿宋_GB2312" w:eastAsia="仿宋_GB2312"/>
          <w:color w:val="auto"/>
          <w:kern w:val="2"/>
          <w:sz w:val="32"/>
          <w:lang w:val="en-US"/>
        </w:rPr>
        <w:t>个项目开展了预算事前绩效评估，对</w:t>
      </w:r>
      <w:r>
        <w:rPr>
          <w:rFonts w:hint="eastAsia" w:ascii="仿宋_GB2312" w:hAnsi="仿宋_GB2312" w:eastAsia="仿宋_GB2312"/>
          <w:color w:val="auto"/>
          <w:kern w:val="2"/>
          <w:sz w:val="32"/>
          <w:lang w:val="en-US" w:eastAsia="zh-CN"/>
        </w:rPr>
        <w:t>10</w:t>
      </w:r>
      <w:r>
        <w:rPr>
          <w:rFonts w:hint="eastAsia" w:ascii="仿宋_GB2312" w:hAnsi="仿宋_GB2312" w:eastAsia="仿宋_GB2312"/>
          <w:color w:val="auto"/>
          <w:kern w:val="2"/>
          <w:sz w:val="32"/>
          <w:lang w:val="en-US"/>
        </w:rPr>
        <w:t>个项目编制了绩效目标，预算执行过程中，选取</w:t>
      </w:r>
      <w:r>
        <w:rPr>
          <w:rFonts w:hint="eastAsia" w:ascii="仿宋_GB2312" w:hAnsi="仿宋_GB2312" w:eastAsia="仿宋_GB2312"/>
          <w:color w:val="auto"/>
          <w:kern w:val="2"/>
          <w:sz w:val="32"/>
          <w:lang w:val="en-US" w:eastAsia="zh-CN"/>
        </w:rPr>
        <w:t>10</w:t>
      </w:r>
      <w:r>
        <w:rPr>
          <w:rFonts w:hint="eastAsia" w:ascii="仿宋_GB2312" w:hAnsi="仿宋_GB2312" w:eastAsia="仿宋_GB2312"/>
          <w:color w:val="auto"/>
          <w:kern w:val="2"/>
          <w:sz w:val="32"/>
          <w:lang w:val="en-US"/>
        </w:rPr>
        <w:t>个项目开展绩效监控，组织对</w:t>
      </w:r>
      <w:r>
        <w:rPr>
          <w:rFonts w:hint="eastAsia" w:ascii="仿宋_GB2312" w:hAnsi="仿宋_GB2312" w:eastAsia="仿宋_GB2312"/>
          <w:color w:val="auto"/>
          <w:kern w:val="2"/>
          <w:sz w:val="32"/>
          <w:lang w:val="en-US" w:eastAsia="zh-CN"/>
        </w:rPr>
        <w:t>10</w:t>
      </w:r>
      <w:r>
        <w:rPr>
          <w:rFonts w:hint="eastAsia" w:ascii="仿宋_GB2312" w:hAnsi="仿宋_GB2312" w:eastAsia="仿宋_GB2312"/>
          <w:color w:val="auto"/>
          <w:kern w:val="2"/>
          <w:sz w:val="32"/>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lang w:val="zh-CN"/>
        </w:rPr>
      </w:pPr>
    </w:p>
    <w:p>
      <w:pPr>
        <w:keepNext/>
        <w:keepLines/>
        <w:spacing w:beforeLines="0" w:afterLines="0" w:line="576" w:lineRule="exact"/>
        <w:jc w:val="center"/>
        <w:rPr>
          <w:rFonts w:hint="eastAsia" w:ascii="黑体" w:hAnsi="黑体" w:eastAsia="黑体"/>
          <w:color w:val="000000"/>
          <w:kern w:val="2"/>
          <w:sz w:val="44"/>
          <w:lang w:val="zh-CN"/>
        </w:rPr>
      </w:pPr>
    </w:p>
    <w:p>
      <w:pPr>
        <w:keepNext/>
        <w:keepLines/>
        <w:spacing w:beforeLines="0" w:afterLines="0" w:line="576" w:lineRule="exact"/>
        <w:jc w:val="center"/>
        <w:rPr>
          <w:rFonts w:hint="eastAsia" w:ascii="黑体" w:hAnsi="黑体" w:eastAsia="黑体"/>
          <w:color w:val="auto"/>
          <w:kern w:val="44"/>
          <w:sz w:val="44"/>
          <w:lang w:val="zh-CN"/>
        </w:rPr>
      </w:pPr>
      <w:r>
        <w:rPr>
          <w:rFonts w:hint="eastAsia" w:ascii="黑体" w:hAnsi="黑体" w:eastAsia="黑体"/>
          <w:color w:val="000000"/>
          <w:kern w:val="2"/>
          <w:sz w:val="44"/>
          <w:lang w:val="zh-CN"/>
        </w:rPr>
        <w:t>第三部分 名</w:t>
      </w:r>
      <w:r>
        <w:rPr>
          <w:rFonts w:hint="eastAsia" w:ascii="黑体" w:hAnsi="黑体" w:eastAsia="黑体"/>
          <w:color w:val="auto"/>
          <w:kern w:val="44"/>
          <w:sz w:val="44"/>
          <w:lang w:val="zh-CN"/>
        </w:rPr>
        <w:t>词解释</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社会保障和就业支出（208类）行政事业单位养老支出（05款）机关事业单位基本养老保险缴费支出（05项）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反映机关事业单位实施养老保险制度由单位缴纳的基本养老保险费支出。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社会保障和就业支出（208类）其他社会保障和就业支出（99款）其他社会保障和就业支出（01项）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反映除上述项目以外其他用于社会保障和就业方面的支出。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卫生健康支出（210类）行政事业单位医疗（11款）事业单位医疗（02项）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农林水支出（213类）水利（03款）水利工程运行与维护（06项）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反映水利系统用于江、河、湖、滩等治理工程运行与维护方面的支出，以及纳入预算管理的水利工程管理单位的支出。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11.农林水支出（213类）水利（03款）其他水利支出（99项）：反映除上述项目以为其他用于水利方面的支出。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rPr>
        <w:t>13</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项目支出：指在基本支出之外为完成特定行政任务</w:t>
      </w:r>
      <w:r>
        <w:rPr>
          <w:rFonts w:hint="eastAsia" w:ascii="仿宋_GB2312" w:eastAsia="仿宋_GB2312"/>
          <w:color w:val="000000"/>
          <w:sz w:val="32"/>
          <w:szCs w:val="32"/>
        </w:rPr>
        <w:t>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keepNext/>
        <w:keepLines/>
        <w:spacing w:beforeLines="0" w:afterLines="0" w:line="576" w:lineRule="exact"/>
        <w:jc w:val="center"/>
        <w:rPr>
          <w:rFonts w:hint="eastAsia" w:ascii="黑体" w:hAnsi="黑体" w:eastAsia="黑体"/>
          <w:color w:val="auto"/>
          <w:kern w:val="44"/>
          <w:sz w:val="44"/>
          <w:lang w:val="zh-CN"/>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44"/>
          <w:sz w:val="44"/>
          <w:lang w:val="en-US"/>
        </w:rPr>
      </w:pPr>
      <w:r>
        <w:rPr>
          <w:rFonts w:hint="eastAsia" w:ascii="黑体" w:hAnsi="黑体" w:eastAsia="黑体"/>
          <w:color w:val="auto"/>
          <w:kern w:val="2"/>
          <w:sz w:val="44"/>
          <w:lang w:val="en-US"/>
        </w:rPr>
        <w:t>第</w:t>
      </w:r>
      <w:r>
        <w:rPr>
          <w:rFonts w:hint="eastAsia" w:ascii="黑体" w:hAnsi="黑体" w:eastAsia="黑体"/>
          <w:color w:val="auto"/>
          <w:kern w:val="44"/>
          <w:sz w:val="44"/>
          <w:lang w:val="en-US"/>
        </w:rPr>
        <w:t>四部分 附件</w:t>
      </w:r>
    </w:p>
    <w:p>
      <w:pPr>
        <w:keepNext/>
        <w:keepLines/>
        <w:spacing w:beforeLines="0" w:afterLines="0" w:line="572" w:lineRule="exact"/>
        <w:rPr>
          <w:rFonts w:hint="eastAsia" w:ascii="仿宋_GB2312" w:hAnsi="仿宋_GB2312" w:eastAsia="仿宋_GB2312"/>
          <w:color w:val="auto"/>
          <w:kern w:val="2"/>
          <w:sz w:val="32"/>
          <w:lang w:val="en-US"/>
        </w:rPr>
      </w:pPr>
    </w:p>
    <w:p>
      <w:pPr>
        <w:spacing w:beforeLines="0" w:afterLines="0" w:line="600" w:lineRule="exact"/>
        <w:jc w:val="center"/>
        <w:rPr>
          <w:rFonts w:hint="eastAsia" w:ascii="宋体" w:hAnsi="宋体" w:eastAsia="宋体"/>
          <w:color w:val="auto"/>
          <w:sz w:val="32"/>
          <w:lang w:val="en-US"/>
        </w:rPr>
      </w:pPr>
      <w:r>
        <w:rPr>
          <w:rFonts w:hint="eastAsia" w:ascii="宋体" w:hAnsi="宋体" w:eastAsia="宋体"/>
          <w:color w:val="auto"/>
          <w:sz w:val="32"/>
          <w:lang w:val="en-US"/>
        </w:rPr>
        <w:t>部门预算项目支出绩效自评表（2022年度）</w:t>
      </w:r>
    </w:p>
    <w:p>
      <w:pPr>
        <w:spacing w:line="600" w:lineRule="exact"/>
        <w:ind w:firstLine="640" w:firstLineChars="200"/>
        <w:jc w:val="left"/>
        <w:outlineLvl w:val="0"/>
        <w:rPr>
          <w:rFonts w:hint="eastAsia" w:eastAsia="仿宋_GB2312" w:cs="Times New Roman"/>
          <w:color w:val="auto"/>
          <w:kern w:val="0"/>
          <w:sz w:val="32"/>
          <w:szCs w:val="32"/>
          <w:highlight w:val="none"/>
          <w:lang w:val="en-US" w:eastAsia="zh-CN" w:bidi="ar-SA"/>
        </w:rPr>
      </w:pPr>
    </w:p>
    <w:p>
      <w:pPr>
        <w:spacing w:line="600" w:lineRule="exact"/>
        <w:ind w:firstLine="640" w:firstLineChars="200"/>
        <w:jc w:val="left"/>
        <w:outlineLvl w:val="0"/>
        <w:rPr>
          <w:rFonts w:hint="eastAsia"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bidi="ar-SA"/>
        </w:rPr>
        <w:t>详见附表：广安全民水库保护中心2022年度</w:t>
      </w:r>
      <w:r>
        <w:rPr>
          <w:rFonts w:hint="default" w:ascii="Times New Roman" w:hAnsi="Times New Roman" w:eastAsia="仿宋_GB2312" w:cs="Times New Roman"/>
          <w:color w:val="auto"/>
          <w:kern w:val="0"/>
          <w:sz w:val="32"/>
          <w:szCs w:val="32"/>
          <w:highlight w:val="none"/>
          <w:lang w:val="en-US" w:eastAsia="zh-CN" w:bidi="ar-SA"/>
        </w:rPr>
        <w:t>部门预算项目支出绩效自评表</w:t>
      </w:r>
    </w:p>
    <w:p>
      <w:pPr>
        <w:spacing w:beforeLines="0" w:afterLines="0" w:line="600" w:lineRule="exact"/>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both"/>
        <w:rPr>
          <w:rFonts w:hint="eastAsia" w:ascii="黑体" w:hAnsi="黑体" w:eastAsia="黑体"/>
          <w:color w:val="auto"/>
          <w:kern w:val="2"/>
          <w:sz w:val="44"/>
          <w:lang w:val="en-US"/>
        </w:rPr>
      </w:pPr>
    </w:p>
    <w:p>
      <w:pPr>
        <w:spacing w:beforeLines="0" w:afterLines="0" w:line="600" w:lineRule="exact"/>
        <w:jc w:val="center"/>
        <w:rPr>
          <w:rFonts w:hint="eastAsia" w:ascii="黑体" w:hAnsi="黑体" w:eastAsia="黑体"/>
          <w:color w:val="auto"/>
          <w:kern w:val="2"/>
          <w:sz w:val="44"/>
          <w:lang w:val="en-US"/>
        </w:rPr>
      </w:pPr>
    </w:p>
    <w:p>
      <w:pPr>
        <w:spacing w:beforeLines="0" w:afterLines="0" w:line="600" w:lineRule="exact"/>
        <w:jc w:val="center"/>
        <w:rPr>
          <w:rFonts w:hint="eastAsia" w:ascii="仿宋" w:hAnsi="仿宋" w:eastAsia="仿宋"/>
          <w:color w:val="auto"/>
          <w:kern w:val="2"/>
          <w:sz w:val="21"/>
          <w:lang w:val="en-US"/>
        </w:rPr>
      </w:pPr>
      <w:r>
        <w:rPr>
          <w:rFonts w:hint="eastAsia" w:ascii="黑体" w:hAnsi="黑体" w:eastAsia="黑体"/>
          <w:color w:val="auto"/>
          <w:kern w:val="2"/>
          <w:sz w:val="44"/>
          <w:lang w:val="en-US"/>
        </w:rPr>
        <w:t>第</w:t>
      </w:r>
      <w:r>
        <w:rPr>
          <w:rFonts w:hint="eastAsia" w:ascii="黑体" w:hAnsi="黑体" w:eastAsia="黑体"/>
          <w:color w:val="auto"/>
          <w:kern w:val="44"/>
          <w:sz w:val="44"/>
          <w:lang w:val="en-US"/>
        </w:rPr>
        <w:t>五部分 附表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一、收入支出决算总表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二、收入决算表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三、支出决算表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四、财政拨款收入支出决算总表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五、财政拨款支出决算明细表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六、一般公共预算财政拨款支出决算表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七、一般公共预算财政拨款支出决算明细表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八、一般公共预算财政拨款基本支出决算表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九、一般公共预算财政拨款项目支出决算表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十、政府性基金预算财政拨款收入支出决算表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十一、国有资本经营预算财政拨款收入支出决算表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十二、国有资本经营预算财政拨款支出决算表</w:t>
      </w:r>
    </w:p>
    <w:p>
      <w:pPr>
        <w:pStyle w:val="3"/>
        <w:keepNext/>
        <w:keepLines/>
        <w:spacing w:before="260" w:beforeLines="0" w:after="260" w:afterLines="0" w:line="408" w:lineRule="auto"/>
        <w:jc w:val="both"/>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十三、财政拨款</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三公</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经费支出决算表</w:t>
      </w:r>
    </w:p>
    <w:p>
      <w:pPr>
        <w:pStyle w:val="3"/>
        <w:rPr>
          <w:rFonts w:hint="default" w:ascii="Times New Roman" w:hAnsi="Times New Roman" w:eastAsia="仿宋" w:cs="Times New Roman"/>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TRhNjc1YjNmODQyN2VmNzViMWU1NDU4ZGUzNTY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34100AC"/>
    <w:rsid w:val="03CA098E"/>
    <w:rsid w:val="05A538AE"/>
    <w:rsid w:val="0669648E"/>
    <w:rsid w:val="06B801E1"/>
    <w:rsid w:val="075361ED"/>
    <w:rsid w:val="07B80DD7"/>
    <w:rsid w:val="0828164C"/>
    <w:rsid w:val="091A0277"/>
    <w:rsid w:val="093F1783"/>
    <w:rsid w:val="09B3669D"/>
    <w:rsid w:val="0A2032A3"/>
    <w:rsid w:val="0AB26A1E"/>
    <w:rsid w:val="0ACB72E5"/>
    <w:rsid w:val="0BD1285F"/>
    <w:rsid w:val="0BFE4648"/>
    <w:rsid w:val="0D8A4E34"/>
    <w:rsid w:val="0DE21480"/>
    <w:rsid w:val="10C055FF"/>
    <w:rsid w:val="10DD36B7"/>
    <w:rsid w:val="118107EC"/>
    <w:rsid w:val="118733F9"/>
    <w:rsid w:val="11F45C20"/>
    <w:rsid w:val="122D65FA"/>
    <w:rsid w:val="1362672E"/>
    <w:rsid w:val="15735316"/>
    <w:rsid w:val="15761BA2"/>
    <w:rsid w:val="15E85A99"/>
    <w:rsid w:val="16BB723D"/>
    <w:rsid w:val="1793097A"/>
    <w:rsid w:val="17EC021C"/>
    <w:rsid w:val="18534BA8"/>
    <w:rsid w:val="186F5F26"/>
    <w:rsid w:val="18D755C2"/>
    <w:rsid w:val="19375FF7"/>
    <w:rsid w:val="1C3861F8"/>
    <w:rsid w:val="1D155CEE"/>
    <w:rsid w:val="1DC54782"/>
    <w:rsid w:val="1DFFD3F7"/>
    <w:rsid w:val="1E8B5456"/>
    <w:rsid w:val="1E90231B"/>
    <w:rsid w:val="1EB2609A"/>
    <w:rsid w:val="1FAB094A"/>
    <w:rsid w:val="1FBD1855"/>
    <w:rsid w:val="20DD736E"/>
    <w:rsid w:val="23660E38"/>
    <w:rsid w:val="240371BF"/>
    <w:rsid w:val="240D1D01"/>
    <w:rsid w:val="24270C66"/>
    <w:rsid w:val="25AE3087"/>
    <w:rsid w:val="26172211"/>
    <w:rsid w:val="27CEBCD3"/>
    <w:rsid w:val="28874D91"/>
    <w:rsid w:val="29FD04D3"/>
    <w:rsid w:val="2A987CE6"/>
    <w:rsid w:val="2BDC73E3"/>
    <w:rsid w:val="2C7C2C3C"/>
    <w:rsid w:val="2CEC333B"/>
    <w:rsid w:val="2CF92D3D"/>
    <w:rsid w:val="2F87044A"/>
    <w:rsid w:val="2FF5DC19"/>
    <w:rsid w:val="3020430A"/>
    <w:rsid w:val="30B97C74"/>
    <w:rsid w:val="31981078"/>
    <w:rsid w:val="319F7F4E"/>
    <w:rsid w:val="31C06AA2"/>
    <w:rsid w:val="32BF05C8"/>
    <w:rsid w:val="34D66C80"/>
    <w:rsid w:val="34F32864"/>
    <w:rsid w:val="35071F87"/>
    <w:rsid w:val="353E0D9A"/>
    <w:rsid w:val="36097352"/>
    <w:rsid w:val="375A7C10"/>
    <w:rsid w:val="375D490D"/>
    <w:rsid w:val="384F1DA4"/>
    <w:rsid w:val="387E5813"/>
    <w:rsid w:val="39B90593"/>
    <w:rsid w:val="39FFA2B2"/>
    <w:rsid w:val="3A2A31CC"/>
    <w:rsid w:val="3A8B515E"/>
    <w:rsid w:val="3C66733D"/>
    <w:rsid w:val="3D065BAF"/>
    <w:rsid w:val="3DF62F76"/>
    <w:rsid w:val="3E6622F9"/>
    <w:rsid w:val="3EBB2934"/>
    <w:rsid w:val="3F776BDE"/>
    <w:rsid w:val="3FDFEB96"/>
    <w:rsid w:val="3FF658FE"/>
    <w:rsid w:val="3FFA232E"/>
    <w:rsid w:val="40C54150"/>
    <w:rsid w:val="4194777E"/>
    <w:rsid w:val="41EA2CE2"/>
    <w:rsid w:val="421666B2"/>
    <w:rsid w:val="426D12A3"/>
    <w:rsid w:val="43963CB0"/>
    <w:rsid w:val="4574072F"/>
    <w:rsid w:val="467A0ECF"/>
    <w:rsid w:val="46C050CF"/>
    <w:rsid w:val="47B01E42"/>
    <w:rsid w:val="48125E78"/>
    <w:rsid w:val="482A15FB"/>
    <w:rsid w:val="48AD0ADC"/>
    <w:rsid w:val="49A30776"/>
    <w:rsid w:val="4C053509"/>
    <w:rsid w:val="4ECE2238"/>
    <w:rsid w:val="4F6A4AE3"/>
    <w:rsid w:val="4FE64273"/>
    <w:rsid w:val="50667B86"/>
    <w:rsid w:val="51844B5C"/>
    <w:rsid w:val="51B00F9E"/>
    <w:rsid w:val="52623FB6"/>
    <w:rsid w:val="53FB2302"/>
    <w:rsid w:val="55C04EA2"/>
    <w:rsid w:val="5919748A"/>
    <w:rsid w:val="594E7E36"/>
    <w:rsid w:val="5A2275C4"/>
    <w:rsid w:val="5AE343B2"/>
    <w:rsid w:val="5B7E3A96"/>
    <w:rsid w:val="5BFBCED2"/>
    <w:rsid w:val="5E335065"/>
    <w:rsid w:val="5FFD4AC4"/>
    <w:rsid w:val="60B55045"/>
    <w:rsid w:val="61973A88"/>
    <w:rsid w:val="631122C9"/>
    <w:rsid w:val="63D35A55"/>
    <w:rsid w:val="66BA29E0"/>
    <w:rsid w:val="67704F2B"/>
    <w:rsid w:val="67F89E02"/>
    <w:rsid w:val="68385050"/>
    <w:rsid w:val="685FB0D7"/>
    <w:rsid w:val="68815CB3"/>
    <w:rsid w:val="696E0FA9"/>
    <w:rsid w:val="69EE7EB4"/>
    <w:rsid w:val="6C035A05"/>
    <w:rsid w:val="6C2E2C75"/>
    <w:rsid w:val="6C4A05C8"/>
    <w:rsid w:val="6CEE2D6F"/>
    <w:rsid w:val="6D4D6A44"/>
    <w:rsid w:val="6E191FE2"/>
    <w:rsid w:val="6E9D5013"/>
    <w:rsid w:val="6ED36BA4"/>
    <w:rsid w:val="6F072F89"/>
    <w:rsid w:val="705571D2"/>
    <w:rsid w:val="70C075D3"/>
    <w:rsid w:val="70F04FFF"/>
    <w:rsid w:val="72734D90"/>
    <w:rsid w:val="75585ABA"/>
    <w:rsid w:val="759B6318"/>
    <w:rsid w:val="76482808"/>
    <w:rsid w:val="767B2E15"/>
    <w:rsid w:val="76950A1B"/>
    <w:rsid w:val="777D7DD5"/>
    <w:rsid w:val="77EC4A27"/>
    <w:rsid w:val="7908556B"/>
    <w:rsid w:val="7A3B0934"/>
    <w:rsid w:val="7C177A15"/>
    <w:rsid w:val="7CDC7CD3"/>
    <w:rsid w:val="7D0D0D18"/>
    <w:rsid w:val="7E4E78D0"/>
    <w:rsid w:val="7E7FEE63"/>
    <w:rsid w:val="7EAD3914"/>
    <w:rsid w:val="7FAF5630"/>
    <w:rsid w:val="7FB400A2"/>
    <w:rsid w:val="7FBBAE2C"/>
    <w:rsid w:val="7FF38F5F"/>
    <w:rsid w:val="7FFB59DC"/>
    <w:rsid w:val="87BF14C5"/>
    <w:rsid w:val="97EAE088"/>
    <w:rsid w:val="9B5945F9"/>
    <w:rsid w:val="A56F52D3"/>
    <w:rsid w:val="AB9D6627"/>
    <w:rsid w:val="BFFB77D3"/>
    <w:rsid w:val="D55E0B7C"/>
    <w:rsid w:val="DADF5282"/>
    <w:rsid w:val="DFBEF3EA"/>
    <w:rsid w:val="EBCB9DD2"/>
    <w:rsid w:val="F1CE82BE"/>
    <w:rsid w:val="F6F5916F"/>
    <w:rsid w:val="F73CB6CC"/>
    <w:rsid w:val="F8312DC6"/>
    <w:rsid w:val="FB7BFAE9"/>
    <w:rsid w:val="FE776F89"/>
    <w:rsid w:val="FF7A1F74"/>
    <w:rsid w:val="FFFCFD38"/>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022&#24180;&#20915;&#31639;&#22270;&#38598;.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022&#24180;&#20915;&#31639;&#22270;&#38598;.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022&#24180;&#20915;&#31639;&#22270;&#38598;.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022&#24180;&#20915;&#31639;&#22270;&#38598;.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Desktop\2022&#24180;&#20915;&#31639;&#22270;&#38598;.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2022&#24180;&#20915;&#31639;&#22270;&#38598;.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2022&#24180;&#20915;&#31639;&#20844;&#24320;\2022&#24180;&#20915;&#31639;&#22270;&#3859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[2022年决算图集.xls]Sheet1!$A$2:$A$3</c:f>
              <c:strCache>
                <c:ptCount val="2"/>
                <c:pt idx="0">
                  <c:v>2021年收入、支出</c:v>
                </c:pt>
                <c:pt idx="1">
                  <c:v>2022年收入、支出</c:v>
                </c:pt>
              </c:strCache>
            </c:strRef>
          </c:cat>
          <c:val>
            <c:numRef>
              <c:f>[2022年决算图集.xls]Sheet1!$B$2:$B$3</c:f>
              <c:numCache>
                <c:formatCode>General</c:formatCode>
                <c:ptCount val="2"/>
                <c:pt idx="0">
                  <c:v>283.13</c:v>
                </c:pt>
                <c:pt idx="1">
                  <c:v>372.65</c:v>
                </c:pt>
              </c:numCache>
            </c:numRef>
          </c:val>
        </c:ser>
        <c:dLbls>
          <c:showLegendKey val="0"/>
          <c:showVal val="0"/>
          <c:showCatName val="0"/>
          <c:showSerName val="0"/>
          <c:showPercent val="0"/>
          <c:showBubbleSize val="0"/>
        </c:dLbls>
        <c:gapWidth val="219"/>
        <c:overlap val="-27"/>
        <c:axId val="113806023"/>
        <c:axId val="509279090"/>
      </c:barChart>
      <c:catAx>
        <c:axId val="1138060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279090"/>
        <c:crosses val="autoZero"/>
        <c:auto val="1"/>
        <c:lblAlgn val="ctr"/>
        <c:lblOffset val="100"/>
        <c:noMultiLvlLbl val="0"/>
      </c:catAx>
      <c:valAx>
        <c:axId val="5092790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806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[2022年决算图集.xls]Sheet1!$A$7:$A$8</c:f>
              <c:strCache>
                <c:ptCount val="2"/>
                <c:pt idx="0">
                  <c:v>一般公共预算财政拨款收入</c:v>
                </c:pt>
                <c:pt idx="1">
                  <c:v>政府性基金预算财政拨款收入</c:v>
                </c:pt>
              </c:strCache>
            </c:strRef>
          </c:cat>
          <c:val>
            <c:numRef>
              <c:f>[2022年决算图集.xls]Sheet1!$B$7:$B$8</c:f>
              <c:numCache>
                <c:formatCode>General</c:formatCode>
                <c:ptCount val="2"/>
                <c:pt idx="0">
                  <c:v>368.28</c:v>
                </c:pt>
                <c:pt idx="1">
                  <c:v>4.36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[2022年决算图集.xls]Sheet1!$A$18:$A$19</c:f>
              <c:strCache>
                <c:ptCount val="2"/>
                <c:pt idx="0">
                  <c:v>基本支出</c:v>
                </c:pt>
                <c:pt idx="1">
                  <c:v>项目支出</c:v>
                </c:pt>
              </c:strCache>
            </c:strRef>
          </c:cat>
          <c:val>
            <c:numRef>
              <c:f>[2022年决算图集.xls]Sheet1!$B$18:$B$19</c:f>
              <c:numCache>
                <c:formatCode>General</c:formatCode>
                <c:ptCount val="2"/>
                <c:pt idx="0">
                  <c:v>342.38</c:v>
                </c:pt>
                <c:pt idx="1">
                  <c:v>30.27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[2022年决算图集.xls]Sheet1!$A$31:$A$32</c:f>
              <c:strCache>
                <c:ptCount val="2"/>
                <c:pt idx="0">
                  <c:v>2021年财政拨款收、支总计</c:v>
                </c:pt>
                <c:pt idx="1">
                  <c:v>2022年财政拨款收、支总计</c:v>
                </c:pt>
              </c:strCache>
            </c:strRef>
          </c:cat>
          <c:val>
            <c:numRef>
              <c:f>[2022年决算图集.xls]Sheet1!$B$31:$B$32</c:f>
              <c:numCache>
                <c:formatCode>General</c:formatCode>
                <c:ptCount val="2"/>
                <c:pt idx="0">
                  <c:v>283.13</c:v>
                </c:pt>
                <c:pt idx="1">
                  <c:v>372.65</c:v>
                </c:pt>
              </c:numCache>
            </c:numRef>
          </c:val>
        </c:ser>
        <c:dLbls>
          <c:showLegendKey val="0"/>
          <c:showVal val="0"/>
          <c:showCatName val="0"/>
          <c:showSerName val="0"/>
          <c:showPercent val="0"/>
          <c:showBubbleSize val="0"/>
        </c:dLbls>
        <c:gapWidth val="219"/>
        <c:overlap val="-27"/>
        <c:axId val="459528967"/>
        <c:axId val="847073319"/>
      </c:barChart>
      <c:catAx>
        <c:axId val="459528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073319"/>
        <c:crosses val="autoZero"/>
        <c:auto val="1"/>
        <c:lblAlgn val="ctr"/>
        <c:lblOffset val="100"/>
        <c:noMultiLvlLbl val="0"/>
      </c:catAx>
      <c:valAx>
        <c:axId val="847073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528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[2022年决算图集.xls]Sheet1!$A$37:$A$38</c:f>
              <c:strCache>
                <c:ptCount val="2"/>
                <c:pt idx="0">
                  <c:v>2021年一般公共预算财政拨款支出</c:v>
                </c:pt>
                <c:pt idx="1">
                  <c:v>2022年一般公共预算财政拨款支出</c:v>
                </c:pt>
              </c:strCache>
            </c:strRef>
          </c:cat>
          <c:val>
            <c:numRef>
              <c:f>[2022年决算图集.xls]Sheet1!$B$37:$B$38</c:f>
              <c:numCache>
                <c:formatCode>General</c:formatCode>
                <c:ptCount val="2"/>
                <c:pt idx="0">
                  <c:v>283.13</c:v>
                </c:pt>
                <c:pt idx="1">
                  <c:v>368.28</c:v>
                </c:pt>
              </c:numCache>
            </c:numRef>
          </c:val>
        </c:ser>
        <c:dLbls>
          <c:showLegendKey val="0"/>
          <c:showVal val="0"/>
          <c:showCatName val="0"/>
          <c:showSerName val="0"/>
          <c:showPercent val="0"/>
          <c:showBubbleSize val="0"/>
        </c:dLbls>
        <c:gapWidth val="219"/>
        <c:overlap val="-27"/>
        <c:axId val="805856927"/>
        <c:axId val="33357929"/>
      </c:barChart>
      <c:catAx>
        <c:axId val="8058569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57929"/>
        <c:crosses val="autoZero"/>
        <c:auto val="1"/>
        <c:lblAlgn val="ctr"/>
        <c:lblOffset val="100"/>
        <c:noMultiLvlLbl val="0"/>
      </c:catAx>
      <c:valAx>
        <c:axId val="333579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585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[2022年决算图集.xls]Sheet1!$A$48:$A$50</c:f>
              <c:strCache>
                <c:ptCount val="3"/>
                <c:pt idx="0">
                  <c:v>社会保障和就业支出</c:v>
                </c:pt>
                <c:pt idx="1">
                  <c:v>卫生健康支出</c:v>
                </c:pt>
                <c:pt idx="2">
                  <c:v>农林水支出</c:v>
                </c:pt>
              </c:strCache>
            </c:strRef>
          </c:cat>
          <c:val>
            <c:numRef>
              <c:f>[2022年决算图集.xls]Sheet1!$B$48:$B$50</c:f>
              <c:numCache>
                <c:formatCode>General</c:formatCode>
                <c:ptCount val="3"/>
                <c:pt idx="0">
                  <c:v>26.59</c:v>
                </c:pt>
                <c:pt idx="1">
                  <c:v>14.77</c:v>
                </c:pt>
                <c:pt idx="2">
                  <c:v>326.93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manualLayout>
          <c:xMode val="edge"/>
          <c:yMode val="edge"/>
          <c:x val="0.252361111111111"/>
          <c:y val="0.0409722222222222"/>
        </c:manualLayout>
      </c:layout>
      <c:overlay val="0"/>
      <c:spPr>
        <a:noFill/>
        <a:ln>
          <a:noFill/>
        </a:ln>
        <a:effectLst/>
      </c:spPr>
    </c:title>
    <c:autoTitleDeleted val="0"/>
    <c:plotArea>
      <c:layout>
        <c:manualLayout>
          <c:layoutTarget val="inner"/>
          <c:xMode val="edge"/>
          <c:yMode val="edge"/>
          <c:x val="0.305902777777778"/>
          <c:y val="0.176388888888889"/>
          <c:w val="0.400694444444444"/>
          <c:h val="0.66782407407407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[2022年决算图集.xls]Sheet1!$A$56:$A$58</c:f>
              <c:strCache>
                <c:ptCount val="3"/>
                <c:pt idx="0">
                  <c:v>应公出国（境）费支出</c:v>
                </c:pt>
                <c:pt idx="1">
                  <c:v>公务用车购置及运行维护费支出</c:v>
                </c:pt>
                <c:pt idx="2">
                  <c:v>公务接待费支出</c:v>
                </c:pt>
              </c:strCache>
            </c:strRef>
          </c:cat>
          <c:val>
            <c:numRef>
              <c:f>[2022年决算图集.xls]Sheet1!$B$56:$B$58</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7</TotalTime>
  <ScaleCrop>false</ScaleCrop>
  <LinksUpToDate>false</LinksUpToDate>
  <CharactersWithSpaces>8652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Administrator</cp:lastModifiedBy>
  <cp:lastPrinted>2021-08-02T19:56:00Z</cp:lastPrinted>
  <dcterms:modified xsi:type="dcterms:W3CDTF">2023-09-13T10:08:36Z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D682F79BCAA84B68A437A383ED2BC835_12</vt:lpwstr>
  </property>
</Properties>
</file>