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color w:val="000000"/>
          <w:sz w:val="72"/>
          <w:szCs w:val="72"/>
        </w:rPr>
      </w:pPr>
      <w:bookmarkStart w:id="0" w:name="_Toc15306267"/>
    </w:p>
    <w:p>
      <w:pPr>
        <w:spacing w:line="600" w:lineRule="exact"/>
        <w:jc w:val="center"/>
        <w:outlineLvl w:val="0"/>
        <w:rPr>
          <w:rFonts w:hint="eastAsia" w:ascii="方正小标宋简体" w:hAnsi="宋体" w:eastAsia="方正小标宋简体"/>
          <w:color w:val="000000"/>
          <w:sz w:val="72"/>
          <w:szCs w:val="72"/>
        </w:rPr>
      </w:pPr>
    </w:p>
    <w:p>
      <w:pPr>
        <w:spacing w:line="600" w:lineRule="exact"/>
        <w:jc w:val="center"/>
        <w:outlineLvl w:val="0"/>
        <w:rPr>
          <w:rFonts w:hint="eastAsia" w:ascii="方正小标宋简体" w:hAnsi="宋体" w:eastAsia="方正小标宋简体"/>
          <w:color w:val="000000"/>
          <w:sz w:val="72"/>
          <w:szCs w:val="72"/>
        </w:rPr>
      </w:pPr>
    </w:p>
    <w:p>
      <w:pPr>
        <w:spacing w:line="600" w:lineRule="exact"/>
        <w:jc w:val="center"/>
        <w:outlineLvl w:val="0"/>
        <w:rPr>
          <w:rFonts w:hint="eastAsia"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1" w:name="_Toc15396597"/>
      <w:bookmarkStart w:id="2" w:name="_Toc15377193"/>
      <w:bookmarkStart w:id="3" w:name="_Toc15377425"/>
      <w:bookmarkStart w:id="4" w:name="_Toc15396475"/>
      <w:bookmarkStart w:id="5" w:name="_Toc15378441"/>
      <w:r>
        <w:rPr>
          <w:rFonts w:ascii="黑体" w:hAnsi="黑体" w:eastAsia="黑体"/>
          <w:color w:val="000000"/>
          <w:sz w:val="72"/>
          <w:szCs w:val="72"/>
        </w:rPr>
        <w:t>20</w:t>
      </w:r>
      <w:r>
        <w:rPr>
          <w:rFonts w:hint="eastAsia" w:ascii="黑体" w:hAnsi="黑体" w:eastAsia="黑体"/>
          <w:color w:val="000000"/>
          <w:sz w:val="72"/>
          <w:szCs w:val="72"/>
        </w:rPr>
        <w:t>21</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6" w:name="_Toc15396598"/>
      <w:bookmarkStart w:id="7" w:name="_Toc15396476"/>
      <w:bookmarkStart w:id="8" w:name="_Toc15378442"/>
      <w:bookmarkStart w:id="9" w:name="_Toc15377194"/>
      <w:bookmarkStart w:id="10" w:name="_Toc15306268"/>
      <w:bookmarkStart w:id="11" w:name="_Toc15377426"/>
      <w:r>
        <w:rPr>
          <w:rFonts w:hint="eastAsia" w:ascii="方正小标宋简体" w:hAnsi="宋体" w:eastAsia="方正小标宋简体"/>
          <w:color w:val="000000"/>
          <w:sz w:val="72"/>
          <w:szCs w:val="72"/>
        </w:rPr>
        <w:t>广安市疾病预防控制中心单位决算</w:t>
      </w:r>
      <w:bookmarkEnd w:id="6"/>
      <w:bookmarkEnd w:id="7"/>
      <w:bookmarkEnd w:id="8"/>
      <w:bookmarkEnd w:id="9"/>
      <w:bookmarkEnd w:id="10"/>
      <w:bookmarkEnd w:id="11"/>
      <w:r>
        <w:rPr>
          <w:rFonts w:hint="eastAsia" w:ascii="方正小标宋简体" w:hAnsi="宋体" w:eastAsia="方正小标宋简体"/>
          <w:color w:val="000000"/>
          <w:sz w:val="72"/>
          <w:szCs w:val="72"/>
        </w:rPr>
        <w:t>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1"/>
      </w:pPr>
      <w:r>
        <w:rPr>
          <w:rFonts w:hint="eastAsia"/>
        </w:rPr>
        <w:t>公开时间：</w:t>
      </w:r>
      <w:r>
        <w:t>202</w:t>
      </w:r>
      <w:r>
        <w:rPr>
          <w:rFonts w:hint="eastAsia"/>
        </w:rPr>
        <w:t>2年</w:t>
      </w:r>
      <w:r>
        <w:t>8</w:t>
      </w:r>
      <w:r>
        <w:rPr>
          <w:rFonts w:hint="eastAsia"/>
        </w:rPr>
        <w:t>月2日</w:t>
      </w:r>
    </w:p>
    <w:p>
      <w:pPr>
        <w:pStyle w:val="11"/>
      </w:pPr>
      <w:r>
        <w:fldChar w:fldCharType="begin"/>
      </w:r>
      <w:r>
        <w:instrText xml:space="preserve"> HYPERLINK \l "_Toc15396599" </w:instrText>
      </w:r>
      <w:r>
        <w:fldChar w:fldCharType="separate"/>
      </w:r>
      <w:r>
        <w:rPr>
          <w:rStyle w:val="17"/>
          <w:rFonts w:hint="eastAsia"/>
        </w:rPr>
        <w:t>第一部分 单位概况</w:t>
      </w:r>
      <w:r>
        <w:tab/>
      </w:r>
      <w:r>
        <w:t>4</w:t>
      </w:r>
      <w:r>
        <w:fldChar w:fldCharType="end"/>
      </w:r>
    </w:p>
    <w:p>
      <w:pPr>
        <w:pStyle w:val="13"/>
        <w:ind w:left="213"/>
        <w:rPr>
          <w:rFonts w:ascii="仿宋" w:hAnsi="仿宋" w:eastAsia="仿宋"/>
          <w:sz w:val="28"/>
          <w:szCs w:val="28"/>
        </w:rPr>
      </w:pPr>
      <w:r>
        <w:fldChar w:fldCharType="begin"/>
      </w:r>
      <w:r>
        <w:instrText xml:space="preserve"> HYPERLINK \l "_Toc15396600" </w:instrText>
      </w:r>
      <w:r>
        <w:fldChar w:fldCharType="separate"/>
      </w:r>
      <w:r>
        <w:rPr>
          <w:rStyle w:val="17"/>
          <w:rFonts w:hint="eastAsia" w:ascii="仿宋" w:hAnsi="仿宋" w:eastAsia="仿宋"/>
          <w:sz w:val="28"/>
          <w:szCs w:val="28"/>
        </w:rPr>
        <w:t>一、基本职能</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3"/>
        <w:ind w:left="213"/>
        <w:rPr>
          <w:rFonts w:ascii="仿宋" w:hAnsi="仿宋" w:eastAsia="仿宋"/>
          <w:sz w:val="28"/>
          <w:szCs w:val="28"/>
        </w:rPr>
      </w:pPr>
      <w:r>
        <w:fldChar w:fldCharType="begin"/>
      </w:r>
      <w:r>
        <w:instrText xml:space="preserve"> HYPERLINK \l "_Toc15396601" </w:instrText>
      </w:r>
      <w:r>
        <w:fldChar w:fldCharType="separate"/>
      </w:r>
      <w:r>
        <w:rPr>
          <w:rStyle w:val="17"/>
          <w:rFonts w:hint="eastAsia" w:ascii="仿宋" w:hAnsi="仿宋" w:eastAsia="仿宋"/>
          <w:sz w:val="28"/>
          <w:szCs w:val="28"/>
        </w:rPr>
        <w:t>二、主要工作</w:t>
      </w:r>
      <w:r>
        <w:rPr>
          <w:rFonts w:ascii="仿宋" w:hAnsi="仿宋" w:eastAsia="仿宋"/>
          <w:sz w:val="28"/>
          <w:szCs w:val="28"/>
        </w:rPr>
        <w:tab/>
      </w:r>
      <w:r>
        <w:rPr>
          <w:rFonts w:hint="eastAsia" w:ascii="仿宋" w:hAnsi="仿宋" w:eastAsia="仿宋"/>
          <w:sz w:val="28"/>
          <w:szCs w:val="28"/>
        </w:rPr>
        <w:t>8</w:t>
      </w:r>
      <w:r>
        <w:rPr>
          <w:rFonts w:hint="eastAsia" w:ascii="仿宋" w:hAnsi="仿宋" w:eastAsia="仿宋"/>
          <w:sz w:val="28"/>
          <w:szCs w:val="28"/>
        </w:rPr>
        <w:fldChar w:fldCharType="end"/>
      </w:r>
    </w:p>
    <w:p>
      <w:pPr>
        <w:pStyle w:val="13"/>
        <w:ind w:left="213"/>
      </w:pPr>
      <w:r>
        <w:fldChar w:fldCharType="begin"/>
      </w:r>
      <w:r>
        <w:instrText xml:space="preserve"> HYPERLINK \l "_Toc15396601" </w:instrText>
      </w:r>
      <w:r>
        <w:fldChar w:fldCharType="separate"/>
      </w:r>
      <w:r>
        <w:rPr>
          <w:rStyle w:val="17"/>
          <w:rFonts w:hint="eastAsia" w:ascii="仿宋" w:hAnsi="仿宋" w:eastAsia="仿宋"/>
          <w:sz w:val="28"/>
          <w:szCs w:val="28"/>
        </w:rPr>
        <w:t>三、机构设置</w:t>
      </w:r>
      <w:r>
        <w:rPr>
          <w:rFonts w:ascii="仿宋" w:hAnsi="仿宋" w:eastAsia="仿宋"/>
          <w:sz w:val="28"/>
          <w:szCs w:val="28"/>
        </w:rPr>
        <w:tab/>
      </w:r>
      <w:r>
        <w:rPr>
          <w:rFonts w:hint="eastAsia" w:ascii="仿宋" w:hAnsi="仿宋" w:eastAsia="仿宋"/>
          <w:sz w:val="28"/>
          <w:szCs w:val="28"/>
        </w:rPr>
        <w:t>8</w:t>
      </w:r>
      <w:r>
        <w:rPr>
          <w:rFonts w:hint="eastAsia" w:ascii="仿宋" w:hAnsi="仿宋" w:eastAsia="仿宋"/>
          <w:sz w:val="28"/>
          <w:szCs w:val="28"/>
        </w:rPr>
        <w:fldChar w:fldCharType="end"/>
      </w:r>
    </w:p>
    <w:p>
      <w:pPr>
        <w:pStyle w:val="11"/>
      </w:pPr>
      <w:r>
        <w:fldChar w:fldCharType="begin"/>
      </w:r>
      <w:r>
        <w:instrText xml:space="preserve"> HYPERLINK \l "_Toc15396602" </w:instrText>
      </w:r>
      <w:r>
        <w:fldChar w:fldCharType="separate"/>
      </w:r>
      <w:r>
        <w:rPr>
          <w:rStyle w:val="17"/>
          <w:rFonts w:hint="eastAsia"/>
        </w:rPr>
        <w:t>第二部分</w:t>
      </w:r>
      <w:r>
        <w:rPr>
          <w:rStyle w:val="17"/>
        </w:rPr>
        <w:t xml:space="preserve"> </w:t>
      </w:r>
      <w:r>
        <w:rPr>
          <w:rStyle w:val="17"/>
          <w:rFonts w:hint="eastAsia"/>
        </w:rPr>
        <w:t>单位决算情况说明</w:t>
      </w:r>
      <w:r>
        <w:tab/>
      </w:r>
      <w:r>
        <w:fldChar w:fldCharType="begin"/>
      </w:r>
      <w:r>
        <w:instrText xml:space="preserve"> PAGEREF _Toc15396602 \h </w:instrText>
      </w:r>
      <w:r>
        <w:fldChar w:fldCharType="separate"/>
      </w:r>
      <w:r>
        <w:t>9</w:t>
      </w:r>
      <w:r>
        <w:fldChar w:fldCharType="end"/>
      </w:r>
      <w:r>
        <w:fldChar w:fldCharType="end"/>
      </w:r>
    </w:p>
    <w:p>
      <w:pPr>
        <w:pStyle w:val="13"/>
        <w:ind w:left="213"/>
        <w:rPr>
          <w:rFonts w:ascii="仿宋" w:hAnsi="仿宋" w:eastAsia="仿宋"/>
          <w:sz w:val="28"/>
          <w:szCs w:val="28"/>
        </w:rPr>
      </w:pPr>
      <w:r>
        <w:fldChar w:fldCharType="begin"/>
      </w:r>
      <w:r>
        <w:instrText xml:space="preserve"> HYPERLINK \l "_Toc15396603" </w:instrText>
      </w:r>
      <w:r>
        <w:fldChar w:fldCharType="separate"/>
      </w:r>
      <w:r>
        <w:rPr>
          <w:rStyle w:val="17"/>
          <w:rFonts w:hint="eastAsia" w:ascii="仿宋" w:hAnsi="仿宋" w:eastAsia="仿宋"/>
          <w:bCs/>
          <w:sz w:val="28"/>
          <w:szCs w:val="28"/>
        </w:rPr>
        <w:t>一、</w:t>
      </w:r>
      <w:r>
        <w:rPr>
          <w:rStyle w:val="17"/>
          <w:rFonts w:hint="eastAsia" w:ascii="仿宋" w:hAnsi="仿宋" w:eastAsia="仿宋"/>
          <w:sz w:val="28"/>
          <w:szCs w:val="28"/>
        </w:rPr>
        <w:t>收</w:t>
      </w:r>
      <w:r>
        <w:rPr>
          <w:rStyle w:val="17"/>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3"/>
        <w:ind w:left="213"/>
        <w:rPr>
          <w:rFonts w:ascii="仿宋" w:hAnsi="仿宋" w:eastAsia="仿宋"/>
          <w:sz w:val="28"/>
          <w:szCs w:val="28"/>
        </w:rPr>
      </w:pPr>
      <w:r>
        <w:fldChar w:fldCharType="begin"/>
      </w:r>
      <w:r>
        <w:instrText xml:space="preserve"> HYPERLINK \l "_Toc15396604" </w:instrText>
      </w:r>
      <w:r>
        <w:fldChar w:fldCharType="separate"/>
      </w:r>
      <w:r>
        <w:rPr>
          <w:rStyle w:val="17"/>
          <w:rFonts w:hint="eastAsia" w:ascii="仿宋" w:hAnsi="仿宋" w:eastAsia="仿宋"/>
          <w:bCs/>
          <w:sz w:val="28"/>
          <w:szCs w:val="28"/>
        </w:rPr>
        <w:t>二、</w:t>
      </w:r>
      <w:r>
        <w:rPr>
          <w:rStyle w:val="17"/>
          <w:rFonts w:hint="eastAsia" w:ascii="仿宋" w:hAnsi="仿宋" w:eastAsia="仿宋"/>
          <w:sz w:val="28"/>
          <w:szCs w:val="28"/>
        </w:rPr>
        <w:t>收</w:t>
      </w:r>
      <w:r>
        <w:rPr>
          <w:rStyle w:val="17"/>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3"/>
        <w:ind w:left="213"/>
        <w:rPr>
          <w:rFonts w:ascii="仿宋" w:hAnsi="仿宋" w:eastAsia="仿宋"/>
          <w:sz w:val="28"/>
          <w:szCs w:val="28"/>
        </w:rPr>
      </w:pPr>
      <w:r>
        <w:fldChar w:fldCharType="begin"/>
      </w:r>
      <w:r>
        <w:instrText xml:space="preserve"> HYPERLINK \l "_Toc15396605" </w:instrText>
      </w:r>
      <w:r>
        <w:fldChar w:fldCharType="separate"/>
      </w:r>
      <w:r>
        <w:rPr>
          <w:rStyle w:val="17"/>
          <w:rFonts w:hint="eastAsia" w:ascii="仿宋" w:hAnsi="仿宋" w:eastAsia="仿宋"/>
          <w:bCs/>
          <w:sz w:val="28"/>
          <w:szCs w:val="28"/>
        </w:rPr>
        <w:t>三、</w:t>
      </w:r>
      <w:r>
        <w:rPr>
          <w:rStyle w:val="17"/>
          <w:rFonts w:hint="eastAsia" w:ascii="仿宋" w:hAnsi="仿宋" w:eastAsia="仿宋"/>
          <w:sz w:val="28"/>
          <w:szCs w:val="28"/>
        </w:rPr>
        <w:t>支</w:t>
      </w:r>
      <w:r>
        <w:rPr>
          <w:rStyle w:val="17"/>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3"/>
        <w:ind w:left="213"/>
        <w:rPr>
          <w:rFonts w:ascii="仿宋" w:hAnsi="仿宋" w:eastAsia="仿宋"/>
          <w:sz w:val="28"/>
          <w:szCs w:val="28"/>
        </w:rPr>
      </w:pPr>
      <w:r>
        <w:fldChar w:fldCharType="begin"/>
      </w:r>
      <w:r>
        <w:instrText xml:space="preserve"> HYPERLINK \l "_Toc15396606" </w:instrText>
      </w:r>
      <w:r>
        <w:fldChar w:fldCharType="separate"/>
      </w:r>
      <w:r>
        <w:rPr>
          <w:rStyle w:val="17"/>
          <w:rFonts w:hint="eastAsia" w:ascii="仿宋" w:hAnsi="仿宋" w:eastAsia="仿宋"/>
          <w:sz w:val="28"/>
          <w:szCs w:val="28"/>
        </w:rPr>
        <w:t>四、财</w:t>
      </w:r>
      <w:r>
        <w:rPr>
          <w:rStyle w:val="17"/>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3"/>
        <w:ind w:left="213"/>
        <w:rPr>
          <w:rFonts w:ascii="仿宋" w:hAnsi="仿宋" w:eastAsia="仿宋"/>
          <w:sz w:val="28"/>
          <w:szCs w:val="28"/>
        </w:rPr>
      </w:pPr>
      <w:r>
        <w:fldChar w:fldCharType="begin"/>
      </w:r>
      <w:r>
        <w:instrText xml:space="preserve"> HYPERLINK \l "_Toc15396607" </w:instrText>
      </w:r>
      <w:r>
        <w:fldChar w:fldCharType="separate"/>
      </w:r>
      <w:r>
        <w:rPr>
          <w:rStyle w:val="17"/>
          <w:rFonts w:hint="eastAsia" w:ascii="仿宋" w:hAnsi="仿宋" w:eastAsia="仿宋"/>
          <w:sz w:val="28"/>
          <w:szCs w:val="28"/>
        </w:rPr>
        <w:t>五、一</w:t>
      </w:r>
      <w:r>
        <w:rPr>
          <w:rStyle w:val="17"/>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3"/>
        <w:ind w:left="213"/>
        <w:rPr>
          <w:rFonts w:ascii="仿宋" w:hAnsi="仿宋" w:eastAsia="仿宋"/>
          <w:sz w:val="28"/>
          <w:szCs w:val="28"/>
        </w:rPr>
      </w:pPr>
      <w:r>
        <w:fldChar w:fldCharType="begin"/>
      </w:r>
      <w:r>
        <w:instrText xml:space="preserve"> HYPERLINK \l "_Toc15396608" </w:instrText>
      </w:r>
      <w:r>
        <w:fldChar w:fldCharType="separate"/>
      </w:r>
      <w:r>
        <w:rPr>
          <w:rStyle w:val="17"/>
          <w:rFonts w:hint="eastAsia" w:ascii="仿宋" w:hAnsi="仿宋" w:eastAsia="仿宋"/>
          <w:sz w:val="28"/>
          <w:szCs w:val="28"/>
        </w:rPr>
        <w:t>六、一</w:t>
      </w:r>
      <w:r>
        <w:rPr>
          <w:rStyle w:val="17"/>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3"/>
        <w:ind w:left="213"/>
        <w:rPr>
          <w:rStyle w:val="17"/>
          <w:rFonts w:ascii="仿宋" w:hAnsi="仿宋" w:eastAsia="仿宋"/>
          <w:sz w:val="28"/>
          <w:szCs w:val="28"/>
        </w:rPr>
      </w:pPr>
      <w:r>
        <w:rPr>
          <w:rStyle w:val="17"/>
          <w:rFonts w:hint="eastAsia" w:ascii="仿宋" w:hAnsi="仿宋" w:eastAsia="仿宋"/>
          <w:sz w:val="28"/>
          <w:szCs w:val="28"/>
        </w:rPr>
        <w:t>七、一般公共预算财政拨款项目支出决算情况说明           14</w:t>
      </w:r>
    </w:p>
    <w:p>
      <w:pPr>
        <w:pStyle w:val="13"/>
        <w:ind w:left="213"/>
        <w:rPr>
          <w:rFonts w:ascii="仿宋" w:hAnsi="仿宋" w:eastAsia="仿宋"/>
          <w:sz w:val="28"/>
          <w:szCs w:val="28"/>
        </w:rPr>
      </w:pPr>
      <w:r>
        <w:fldChar w:fldCharType="begin"/>
      </w:r>
      <w:r>
        <w:instrText xml:space="preserve"> HYPERLINK \l "_Toc15396609" </w:instrText>
      </w:r>
      <w:r>
        <w:fldChar w:fldCharType="separate"/>
      </w:r>
      <w:r>
        <w:rPr>
          <w:rStyle w:val="17"/>
          <w:rFonts w:hint="eastAsia" w:ascii="仿宋" w:hAnsi="仿宋" w:eastAsia="仿宋"/>
          <w:sz w:val="28"/>
          <w:szCs w:val="28"/>
        </w:rPr>
        <w:t>八、“</w:t>
      </w:r>
      <w:r>
        <w:rPr>
          <w:rStyle w:val="17"/>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3"/>
        <w:ind w:left="213"/>
        <w:rPr>
          <w:rFonts w:ascii="仿宋" w:hAnsi="仿宋" w:eastAsia="仿宋"/>
          <w:sz w:val="28"/>
          <w:szCs w:val="28"/>
        </w:rPr>
      </w:pPr>
      <w:r>
        <w:fldChar w:fldCharType="begin"/>
      </w:r>
      <w:r>
        <w:instrText xml:space="preserve"> HYPERLINK \l "_Toc15396610" </w:instrText>
      </w:r>
      <w:r>
        <w:fldChar w:fldCharType="separate"/>
      </w:r>
      <w:r>
        <w:rPr>
          <w:rStyle w:val="17"/>
          <w:rFonts w:hint="eastAsia" w:ascii="仿宋" w:hAnsi="仿宋" w:eastAsia="仿宋"/>
          <w:sz w:val="28"/>
          <w:szCs w:val="28"/>
        </w:rPr>
        <w:t>九、</w:t>
      </w:r>
      <w:r>
        <w:rPr>
          <w:rStyle w:val="17"/>
          <w:rFonts w:hint="eastAsia" w:ascii="仿宋" w:hAnsi="仿宋" w:eastAsia="仿宋"/>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7</w:t>
      </w:r>
    </w:p>
    <w:p>
      <w:pPr>
        <w:pStyle w:val="13"/>
        <w:ind w:left="213"/>
        <w:rPr>
          <w:rFonts w:ascii="仿宋" w:hAnsi="仿宋" w:eastAsia="仿宋"/>
          <w:sz w:val="28"/>
          <w:szCs w:val="28"/>
        </w:rPr>
      </w:pPr>
      <w:r>
        <w:fldChar w:fldCharType="begin"/>
      </w:r>
      <w:r>
        <w:instrText xml:space="preserve"> HYPERLINK \l "_Toc15396611" </w:instrText>
      </w:r>
      <w:r>
        <w:fldChar w:fldCharType="separate"/>
      </w:r>
      <w:r>
        <w:rPr>
          <w:rStyle w:val="17"/>
          <w:rFonts w:hint="eastAsia" w:ascii="仿宋" w:hAnsi="仿宋" w:eastAsia="仿宋"/>
          <w:bCs/>
          <w:sz w:val="28"/>
          <w:szCs w:val="28"/>
        </w:rPr>
        <w:t>十、</w:t>
      </w:r>
      <w:r>
        <w:rPr>
          <w:rStyle w:val="17"/>
          <w:rFonts w:ascii="仿宋" w:hAnsi="仿宋" w:eastAsia="仿宋"/>
          <w:sz w:val="28"/>
          <w:szCs w:val="28"/>
        </w:rPr>
        <w:t xml:space="preserve"> </w:t>
      </w:r>
      <w:r>
        <w:rPr>
          <w:rStyle w:val="17"/>
          <w:rFonts w:hint="eastAsia" w:ascii="仿宋" w:hAnsi="仿宋" w:eastAsia="仿宋"/>
          <w:sz w:val="28"/>
          <w:szCs w:val="28"/>
        </w:rPr>
        <w:t>国</w:t>
      </w:r>
      <w:r>
        <w:rPr>
          <w:rStyle w:val="17"/>
          <w:rFonts w:hint="eastAsia" w:ascii="仿宋" w:hAnsi="仿宋" w:eastAsia="仿宋"/>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7</w:t>
      </w:r>
    </w:p>
    <w:p>
      <w:pPr>
        <w:pStyle w:val="13"/>
        <w:ind w:left="213"/>
        <w:rPr>
          <w:rStyle w:val="17"/>
          <w:rFonts w:ascii="仿宋" w:hAnsi="仿宋" w:eastAsia="仿宋"/>
          <w:bCs/>
          <w:sz w:val="28"/>
          <w:szCs w:val="28"/>
        </w:rPr>
      </w:pPr>
      <w:r>
        <w:fldChar w:fldCharType="begin"/>
      </w:r>
      <w:r>
        <w:instrText xml:space="preserve"> HYPERLINK \l "_Toc15396611" </w:instrText>
      </w:r>
      <w:r>
        <w:fldChar w:fldCharType="separate"/>
      </w:r>
      <w:r>
        <w:rPr>
          <w:rStyle w:val="17"/>
          <w:rFonts w:hint="eastAsia" w:ascii="仿宋" w:hAnsi="仿宋" w:eastAsia="仿宋"/>
          <w:bCs/>
          <w:sz w:val="28"/>
          <w:szCs w:val="28"/>
        </w:rPr>
        <w:t>十一、其他重要事项的情况说明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8</w:t>
      </w:r>
    </w:p>
    <w:p>
      <w:pPr>
        <w:pStyle w:val="11"/>
      </w:pPr>
      <w:r>
        <w:fldChar w:fldCharType="begin"/>
      </w:r>
      <w:r>
        <w:instrText xml:space="preserve"> HYPERLINK \l "_Toc15396613" </w:instrText>
      </w:r>
      <w:r>
        <w:fldChar w:fldCharType="separate"/>
      </w:r>
      <w:r>
        <w:rPr>
          <w:rStyle w:val="17"/>
          <w:rFonts w:hint="eastAsia"/>
          <w:bCs/>
          <w:kern w:val="44"/>
        </w:rPr>
        <w:t>第三部分</w:t>
      </w:r>
      <w:r>
        <w:rPr>
          <w:rStyle w:val="17"/>
        </w:rPr>
        <w:t xml:space="preserve"> </w:t>
      </w:r>
      <w:r>
        <w:rPr>
          <w:rStyle w:val="17"/>
          <w:rFonts w:hint="eastAsia"/>
        </w:rPr>
        <w:t>名</w:t>
      </w:r>
      <w:r>
        <w:rPr>
          <w:rStyle w:val="17"/>
          <w:rFonts w:hint="eastAsia"/>
          <w:bCs/>
          <w:kern w:val="44"/>
        </w:rPr>
        <w:t>词解释</w:t>
      </w:r>
      <w:r>
        <w:tab/>
      </w:r>
      <w:r>
        <w:rPr>
          <w:rFonts w:hint="eastAsia"/>
        </w:rPr>
        <w:t>3</w:t>
      </w:r>
      <w:r>
        <w:rPr>
          <w:rFonts w:hint="eastAsia"/>
        </w:rPr>
        <w:fldChar w:fldCharType="end"/>
      </w:r>
      <w:r>
        <w:rPr>
          <w:rFonts w:hint="eastAsia"/>
        </w:rPr>
        <w:t>4</w:t>
      </w:r>
    </w:p>
    <w:p>
      <w:pPr>
        <w:pStyle w:val="11"/>
      </w:pPr>
      <w:r>
        <w:fldChar w:fldCharType="begin"/>
      </w:r>
      <w:r>
        <w:instrText xml:space="preserve"> HYPERLINK \l "_Toc15396614" </w:instrText>
      </w:r>
      <w:r>
        <w:fldChar w:fldCharType="separate"/>
      </w:r>
      <w:r>
        <w:rPr>
          <w:rStyle w:val="17"/>
          <w:rFonts w:hint="eastAsia"/>
        </w:rPr>
        <w:t>第</w:t>
      </w:r>
      <w:r>
        <w:rPr>
          <w:rStyle w:val="17"/>
          <w:rFonts w:hint="eastAsia"/>
          <w:bCs/>
          <w:kern w:val="44"/>
        </w:rPr>
        <w:t>四部分附件</w:t>
      </w:r>
      <w:r>
        <w:tab/>
      </w:r>
      <w:r>
        <w:rPr>
          <w:rFonts w:hint="eastAsia"/>
        </w:rPr>
        <w:t>3</w:t>
      </w:r>
      <w:r>
        <w:rPr>
          <w:rFonts w:hint="eastAsia"/>
        </w:rPr>
        <w:fldChar w:fldCharType="end"/>
      </w:r>
      <w:r>
        <w:rPr>
          <w:rFonts w:hint="eastAsia"/>
        </w:rPr>
        <w:t>7</w:t>
      </w:r>
    </w:p>
    <w:p>
      <w:pPr>
        <w:ind w:firstLine="560" w:firstLineChars="200"/>
        <w:rPr>
          <w:rFonts w:ascii="仿宋" w:hAnsi="仿宋" w:eastAsia="仿宋"/>
          <w:sz w:val="28"/>
          <w:szCs w:val="28"/>
        </w:rPr>
      </w:pPr>
      <w:r>
        <w:rPr>
          <w:rFonts w:hint="eastAsia" w:ascii="仿宋" w:hAnsi="仿宋" w:eastAsia="仿宋"/>
          <w:sz w:val="28"/>
          <w:szCs w:val="28"/>
        </w:rPr>
        <w:t>附件1</w:t>
      </w:r>
    </w:p>
    <w:p>
      <w:pPr>
        <w:pStyle w:val="12"/>
        <w:ind w:left="773" w:hanging="560"/>
        <w:rPr>
          <w:rFonts w:ascii="仿宋" w:hAnsi="仿宋" w:eastAsia="仿宋"/>
          <w:sz w:val="28"/>
          <w:szCs w:val="28"/>
        </w:rPr>
      </w:pPr>
      <w:r>
        <w:rPr>
          <w:rFonts w:hint="eastAsia" w:ascii="仿宋" w:hAnsi="仿宋" w:eastAsia="仿宋"/>
          <w:sz w:val="28"/>
          <w:szCs w:val="28"/>
        </w:rPr>
        <w:t>附件2</w:t>
      </w:r>
    </w:p>
    <w:p>
      <w:pPr>
        <w:pStyle w:val="12"/>
        <w:ind w:left="773" w:hanging="560"/>
      </w:pPr>
      <w:r>
        <w:rPr>
          <w:rFonts w:hint="eastAsia" w:ascii="仿宋" w:hAnsi="仿宋" w:eastAsia="仿宋"/>
          <w:sz w:val="28"/>
          <w:szCs w:val="28"/>
        </w:rPr>
        <w:t>附件3</w:t>
      </w:r>
    </w:p>
    <w:p>
      <w:pPr>
        <w:pStyle w:val="11"/>
      </w:pPr>
      <w:r>
        <w:fldChar w:fldCharType="begin"/>
      </w:r>
      <w:r>
        <w:instrText xml:space="preserve"> HYPERLINK \l "_Toc15396618" </w:instrText>
      </w:r>
      <w:r>
        <w:fldChar w:fldCharType="separate"/>
      </w:r>
      <w:r>
        <w:rPr>
          <w:rStyle w:val="17"/>
          <w:rFonts w:hint="eastAsia"/>
        </w:rPr>
        <w:t>第</w:t>
      </w:r>
      <w:r>
        <w:rPr>
          <w:rStyle w:val="17"/>
          <w:rFonts w:hint="eastAsia"/>
          <w:bCs/>
          <w:kern w:val="44"/>
        </w:rPr>
        <w:t>五部分附表</w:t>
      </w:r>
      <w:r>
        <w:tab/>
      </w:r>
      <w:r>
        <w:rPr>
          <w:rFonts w:hint="eastAsia"/>
        </w:rPr>
        <w:t>4</w:t>
      </w:r>
      <w:r>
        <w:rPr>
          <w:rFonts w:hint="eastAsia"/>
        </w:rPr>
        <w:fldChar w:fldCharType="end"/>
      </w:r>
      <w:r>
        <w:rPr>
          <w:rFonts w:hint="eastAsia"/>
        </w:rPr>
        <w:t>7</w:t>
      </w:r>
    </w:p>
    <w:p>
      <w:pPr>
        <w:pStyle w:val="13"/>
        <w:ind w:left="213"/>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7"/>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4</w:t>
      </w:r>
      <w:r>
        <w:rPr>
          <w:rFonts w:hint="eastAsia"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3"/>
        <w:ind w:left="213"/>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7"/>
          <w:rFonts w:hint="eastAsia" w:ascii="仿宋" w:hAnsi="仿宋" w:eastAsia="仿宋"/>
          <w:sz w:val="28"/>
          <w:szCs w:val="28"/>
        </w:rPr>
        <w:t>收入决算表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4</w:t>
      </w:r>
      <w:r>
        <w:rPr>
          <w:rFonts w:hint="eastAsia"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3"/>
        <w:ind w:left="213"/>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7"/>
          <w:rFonts w:hint="eastAsia" w:ascii="仿宋" w:hAnsi="仿宋" w:eastAsia="仿宋"/>
          <w:sz w:val="28"/>
          <w:szCs w:val="28"/>
        </w:rPr>
        <w:t>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4</w:t>
      </w:r>
      <w:r>
        <w:rPr>
          <w:rFonts w:hint="eastAsia"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3"/>
        <w:ind w:left="213"/>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7"/>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4</w:t>
      </w:r>
      <w:r>
        <w:rPr>
          <w:rFonts w:hint="eastAsia"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3"/>
        <w:ind w:left="213"/>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4</w:t>
      </w:r>
      <w:r>
        <w:rPr>
          <w:rFonts w:hint="eastAsia"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3"/>
        <w:ind w:left="213"/>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7"/>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4</w:t>
      </w:r>
      <w:r>
        <w:rPr>
          <w:rFonts w:hint="eastAsia"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3"/>
        <w:ind w:left="213"/>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7"/>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4</w:t>
      </w:r>
      <w:r>
        <w:rPr>
          <w:rFonts w:hint="eastAsia"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3"/>
        <w:ind w:left="213"/>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7"/>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4</w:t>
      </w:r>
      <w:r>
        <w:rPr>
          <w:rFonts w:hint="eastAsia"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3"/>
        <w:ind w:left="213"/>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7"/>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4</w:t>
      </w:r>
      <w:r>
        <w:rPr>
          <w:rFonts w:hint="eastAsia"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3"/>
        <w:ind w:left="213"/>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7"/>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43</w:t>
      </w:r>
      <w:r>
        <w:rPr>
          <w:rFonts w:ascii="仿宋" w:hAnsi="仿宋" w:eastAsia="仿宋"/>
          <w:sz w:val="28"/>
          <w:szCs w:val="28"/>
        </w:rPr>
        <w:fldChar w:fldCharType="end"/>
      </w:r>
      <w:r>
        <w:rPr>
          <w:rFonts w:ascii="仿宋" w:hAnsi="仿宋" w:eastAsia="仿宋"/>
          <w:sz w:val="28"/>
          <w:szCs w:val="28"/>
        </w:rPr>
        <w:fldChar w:fldCharType="end"/>
      </w:r>
    </w:p>
    <w:p>
      <w:pPr>
        <w:pStyle w:val="13"/>
        <w:ind w:left="213"/>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7"/>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4</w:t>
      </w:r>
      <w:r>
        <w:rPr>
          <w:rFonts w:hint="eastAsia"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3"/>
        <w:ind w:left="213"/>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7"/>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4</w:t>
      </w:r>
      <w:r>
        <w:rPr>
          <w:rFonts w:hint="eastAsia"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3"/>
        <w:ind w:left="213"/>
      </w:pPr>
      <w:r>
        <w:rPr>
          <w:rFonts w:hint="eastAsia" w:ascii="仿宋" w:hAnsi="仿宋" w:eastAsia="仿宋"/>
          <w:sz w:val="28"/>
          <w:szCs w:val="28"/>
        </w:rPr>
        <w:t>十三、国有资本经营预算财政拨款收入支出决算表          47</w:t>
      </w:r>
    </w:p>
    <w:p>
      <w:pPr>
        <w:pStyle w:val="13"/>
        <w:ind w:left="213"/>
        <w:rPr>
          <w:rFonts w:ascii="仿宋" w:hAnsi="仿宋" w:eastAsia="仿宋"/>
          <w:sz w:val="24"/>
        </w:rPr>
      </w:pPr>
      <w:r>
        <w:rPr>
          <w:rFonts w:hint="eastAsia" w:ascii="仿宋" w:hAnsi="仿宋" w:eastAsia="仿宋"/>
          <w:sz w:val="28"/>
          <w:szCs w:val="28"/>
        </w:rPr>
        <w:t>十四、国有资本经营预算财政拨款支出决算表</w:t>
      </w:r>
      <w:r>
        <w:fldChar w:fldCharType="begin"/>
      </w:r>
      <w:r>
        <w:instrText xml:space="preserve"> HYPERLINK \l "_Toc15396631" </w:instrText>
      </w:r>
      <w:r>
        <w:fldChar w:fldCharType="separate"/>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4</w:t>
      </w:r>
      <w:r>
        <w:rPr>
          <w:rFonts w:hint="eastAsia"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adjustRightInd w:val="0"/>
        <w:snapToGrid w:val="0"/>
        <w:spacing w:before="0" w:line="440" w:lineRule="exact"/>
        <w:jc w:val="left"/>
        <w:rPr>
          <w:rFonts w:cstheme="minorBidi"/>
          <w:sz w:val="24"/>
          <w:szCs w:val="24"/>
        </w:rPr>
      </w:pPr>
      <w:r>
        <w:rPr>
          <w:rFonts w:ascii="黑体" w:hAnsi="黑体" w:eastAsia="黑体"/>
          <w:color w:val="000000"/>
          <w:sz w:val="48"/>
          <w:szCs w:val="48"/>
        </w:rPr>
        <w:fldChar w:fldCharType="end"/>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6"/>
          <w:rFonts w:ascii="黑体" w:hAnsi="黑体" w:eastAsia="黑体"/>
          <w:b/>
          <w:bCs w:val="0"/>
        </w:rPr>
      </w:pPr>
      <w:r>
        <w:rPr>
          <w:rFonts w:hint="eastAsia" w:ascii="黑体" w:hAnsi="黑体" w:eastAsia="黑体"/>
          <w:b w:val="0"/>
        </w:rPr>
        <w:t xml:space="preserve">第一部分 </w:t>
      </w:r>
      <w:r>
        <w:rPr>
          <w:rStyle w:val="26"/>
          <w:rFonts w:hint="eastAsia" w:ascii="黑体" w:hAnsi="黑体" w:eastAsia="黑体"/>
          <w:b w:val="0"/>
          <w:bCs w:val="0"/>
        </w:rPr>
        <w:t>单位概况</w:t>
      </w:r>
      <w:bookmarkEnd w:id="12"/>
      <w:bookmarkEnd w:id="13"/>
    </w:p>
    <w:p>
      <w:pPr>
        <w:widowControl/>
        <w:jc w:val="left"/>
        <w:rPr>
          <w:rFonts w:ascii="黑体" w:eastAsia="黑体"/>
          <w:color w:val="000000"/>
          <w:sz w:val="32"/>
          <w:szCs w:val="32"/>
        </w:rPr>
      </w:pPr>
    </w:p>
    <w:p>
      <w:pPr>
        <w:pStyle w:val="4"/>
        <w:rPr>
          <w:rStyle w:val="27"/>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7"/>
          <w:rFonts w:hint="eastAsia" w:ascii="黑体" w:hAnsi="黑体" w:eastAsia="黑体"/>
          <w:b w:val="0"/>
          <w:bCs w:val="0"/>
        </w:rPr>
        <w:t>本职能</w:t>
      </w:r>
      <w:bookmarkEnd w:id="14"/>
      <w:bookmarkEnd w:id="15"/>
    </w:p>
    <w:p>
      <w:pPr>
        <w:spacing w:line="560" w:lineRule="exact"/>
        <w:ind w:firstLine="660" w:firstLineChars="200"/>
        <w:rPr>
          <w:rFonts w:eastAsia="方正仿宋_GBK"/>
          <w:color w:val="000000"/>
          <w:sz w:val="33"/>
          <w:szCs w:val="33"/>
        </w:rPr>
      </w:pPr>
      <w:bookmarkStart w:id="16" w:name="_Toc15378445"/>
      <w:bookmarkStart w:id="17" w:name="_Toc15377198"/>
      <w:r>
        <w:rPr>
          <w:rFonts w:hint="eastAsia" w:eastAsia="方正仿宋_GBK"/>
          <w:color w:val="000000"/>
          <w:sz w:val="33"/>
          <w:szCs w:val="33"/>
        </w:rPr>
        <w:t>（一）开展疾病监测；研究传染病、寄生虫病、地方病、非传染性疾病等疾病的分布，探讨疾病的发生、发展的原因和流行规律；提供制订预防控制策略与措施的技术保障；组织实施疾病预防控制工作规划、计划和方案，预防控制相关疾病的发生与流行。</w:t>
      </w:r>
    </w:p>
    <w:p>
      <w:pPr>
        <w:spacing w:line="560" w:lineRule="exact"/>
        <w:ind w:firstLine="660" w:firstLineChars="200"/>
        <w:rPr>
          <w:rFonts w:eastAsia="方正仿宋_GBK"/>
          <w:color w:val="000000"/>
          <w:sz w:val="33"/>
          <w:szCs w:val="33"/>
        </w:rPr>
      </w:pPr>
      <w:r>
        <w:rPr>
          <w:rFonts w:hint="eastAsia" w:eastAsia="方正仿宋_GBK"/>
          <w:color w:val="000000"/>
          <w:sz w:val="33"/>
          <w:szCs w:val="33"/>
        </w:rPr>
        <w:t>（二）开展突发公共卫生事件处置和救灾防病的应急准备；对突发公共卫生事件、灾后疫病进行检测报告，提供预测预警信息；开展现场调查处置和效果评估。</w:t>
      </w:r>
    </w:p>
    <w:p>
      <w:pPr>
        <w:spacing w:line="560" w:lineRule="exact"/>
        <w:ind w:firstLine="660" w:firstLineChars="200"/>
        <w:rPr>
          <w:rFonts w:eastAsia="方正仿宋_GBK"/>
          <w:color w:val="000000"/>
          <w:sz w:val="33"/>
          <w:szCs w:val="33"/>
        </w:rPr>
      </w:pPr>
      <w:r>
        <w:rPr>
          <w:rFonts w:hint="eastAsia" w:eastAsia="方正仿宋_GBK"/>
          <w:color w:val="000000"/>
          <w:sz w:val="33"/>
          <w:szCs w:val="33"/>
        </w:rPr>
        <w:t>（三）疫情及健康相关因素信息管理疾病预防控制信息系统，收集、报告、分析和评价疾病与健康危害因素等公共卫生信息，为疾病预防控制决策提供依据，为社会和公众提供信息服务。</w:t>
      </w:r>
    </w:p>
    <w:p>
      <w:pPr>
        <w:spacing w:line="560" w:lineRule="exact"/>
        <w:ind w:firstLine="660" w:firstLineChars="200"/>
        <w:rPr>
          <w:rFonts w:eastAsia="方正仿宋_GBK"/>
          <w:color w:val="000000"/>
          <w:sz w:val="33"/>
          <w:szCs w:val="33"/>
        </w:rPr>
      </w:pPr>
      <w:r>
        <w:rPr>
          <w:rFonts w:hint="eastAsia" w:eastAsia="方正仿宋_GBK"/>
          <w:color w:val="000000"/>
          <w:sz w:val="33"/>
          <w:szCs w:val="33"/>
        </w:rPr>
        <w:t>（四）健康危害因素监测与干预开展食源性、职业性、辐射性、环境性疾病监测、调查处置和公共营养监测与评价；对生产、生活、学习环境中影响人物健康的危害因素进行监测与评价，提出干预策略与措施，预防控制相关因素对人体健康的危害。</w:t>
      </w:r>
    </w:p>
    <w:p>
      <w:pPr>
        <w:spacing w:line="560" w:lineRule="exact"/>
        <w:ind w:firstLine="660" w:firstLineChars="200"/>
        <w:rPr>
          <w:rFonts w:eastAsia="方正仿宋_GBK"/>
          <w:color w:val="000000"/>
          <w:sz w:val="33"/>
          <w:szCs w:val="33"/>
        </w:rPr>
      </w:pPr>
      <w:r>
        <w:rPr>
          <w:rFonts w:hint="eastAsia" w:eastAsia="方正仿宋_GBK"/>
          <w:color w:val="000000"/>
          <w:sz w:val="33"/>
          <w:szCs w:val="33"/>
        </w:rPr>
        <w:t>（五）实验室检查研究、应用实验室监测与分析技术，开展传染性疾病病原微生物的检测检验，开展中毒事件的毒物分析，开展疾病和健康危害因素的生物、物理、化学因子的监测、鉴定和评价，为突发公共卫生事件的应急处置、传染性疾病的诊断、疾病和健康相关危害因素的预防控制及卫生监督执法等提供技术支撑，为社会提供技术服务。</w:t>
      </w:r>
    </w:p>
    <w:p>
      <w:pPr>
        <w:spacing w:line="560" w:lineRule="exact"/>
        <w:ind w:firstLine="660" w:firstLineChars="200"/>
        <w:rPr>
          <w:rFonts w:eastAsia="方正仿宋_GBK"/>
          <w:color w:val="000000"/>
          <w:sz w:val="33"/>
          <w:szCs w:val="33"/>
        </w:rPr>
      </w:pPr>
      <w:r>
        <w:rPr>
          <w:rFonts w:hint="eastAsia" w:eastAsia="方正仿宋_GBK"/>
          <w:color w:val="000000"/>
          <w:sz w:val="33"/>
          <w:szCs w:val="33"/>
        </w:rPr>
        <w:t>（六）开展健康教育、健康促进；普及卫生防病知识，对公众进行健康指导；协同有关部门和组织，对公众不良健康行为进行干预，促进公众掌握自我保健与防护技能。</w:t>
      </w:r>
    </w:p>
    <w:p>
      <w:pPr>
        <w:pStyle w:val="6"/>
        <w:adjustRightInd w:val="0"/>
        <w:snapToGrid w:val="0"/>
        <w:spacing w:before="93" w:line="600" w:lineRule="exact"/>
        <w:ind w:firstLine="693" w:firstLineChars="210"/>
        <w:outlineLvl w:val="2"/>
        <w:rPr>
          <w:rFonts w:ascii="Times New Roman" w:eastAsia="方正仿宋_GBK"/>
          <w:color w:val="000000"/>
          <w:sz w:val="33"/>
          <w:szCs w:val="33"/>
        </w:rPr>
      </w:pPr>
      <w:r>
        <w:rPr>
          <w:rFonts w:hint="eastAsia" w:ascii="Times New Roman" w:eastAsia="方正仿宋_GBK"/>
          <w:color w:val="000000"/>
          <w:sz w:val="33"/>
          <w:szCs w:val="33"/>
        </w:rPr>
        <w:t>（七）技术管理与应用研究指导开展疾病预防控制工作业务与技术培训，提供技术指导、技术支持和技术服务；引进和推广应用新技术、新方法；指导和开展疾病预防控制工作绩效考核与评估。</w:t>
      </w:r>
      <w:bookmarkEnd w:id="16"/>
      <w:bookmarkEnd w:id="17"/>
    </w:p>
    <w:p>
      <w:pPr>
        <w:pStyle w:val="4"/>
        <w:rPr>
          <w:rStyle w:val="27"/>
          <w:b w:val="0"/>
          <w:bCs w:val="0"/>
        </w:rPr>
      </w:pPr>
      <w:bookmarkStart w:id="18" w:name="_Toc15377200"/>
      <w:bookmarkStart w:id="19" w:name="_Toc15396601"/>
      <w:r>
        <w:rPr>
          <w:rFonts w:hint="eastAsia" w:ascii="黑体" w:eastAsia="黑体"/>
          <w:b w:val="0"/>
          <w:color w:val="000000"/>
        </w:rPr>
        <w:t>二、</w:t>
      </w:r>
      <w:r>
        <w:rPr>
          <w:rStyle w:val="27"/>
          <w:rFonts w:hint="eastAsia" w:ascii="黑体" w:hAnsi="黑体" w:eastAsia="黑体"/>
          <w:b w:val="0"/>
          <w:bCs w:val="0"/>
        </w:rPr>
        <w:t>主要工作</w:t>
      </w:r>
      <w:bookmarkEnd w:id="18"/>
      <w:bookmarkEnd w:id="19"/>
    </w:p>
    <w:p>
      <w:pPr>
        <w:pStyle w:val="6"/>
        <w:adjustRightInd w:val="0"/>
        <w:snapToGrid w:val="0"/>
        <w:spacing w:before="93" w:line="600" w:lineRule="exact"/>
        <w:ind w:firstLine="672" w:firstLineChars="210"/>
        <w:outlineLvl w:val="2"/>
        <w:rPr>
          <w:rFonts w:ascii="仿宋" w:hAnsi="仿宋" w:eastAsia="仿宋"/>
          <w:bCs/>
          <w:color w:val="000000"/>
          <w:sz w:val="32"/>
          <w:szCs w:val="32"/>
        </w:rPr>
      </w:pPr>
      <w:bookmarkStart w:id="20" w:name="_Toc15378446"/>
      <w:bookmarkStart w:id="21" w:name="_Toc15377199"/>
      <w:r>
        <w:rPr>
          <w:rFonts w:ascii="仿宋" w:hAnsi="仿宋" w:eastAsia="仿宋"/>
          <w:bCs/>
          <w:color w:val="000000"/>
          <w:sz w:val="32"/>
          <w:szCs w:val="32"/>
        </w:rPr>
        <w:t>20</w:t>
      </w:r>
      <w:r>
        <w:rPr>
          <w:rFonts w:hint="eastAsia" w:ascii="仿宋" w:hAnsi="仿宋" w:eastAsia="仿宋"/>
          <w:bCs/>
          <w:color w:val="000000"/>
          <w:sz w:val="32"/>
          <w:szCs w:val="32"/>
        </w:rPr>
        <w:t>21年重点工作完成情况。</w:t>
      </w:r>
      <w:bookmarkEnd w:id="20"/>
      <w:bookmarkEnd w:id="21"/>
    </w:p>
    <w:p>
      <w:pPr>
        <w:spacing w:line="590" w:lineRule="exact"/>
        <w:ind w:firstLine="660" w:firstLineChars="200"/>
        <w:jc w:val="left"/>
        <w:rPr>
          <w:rFonts w:eastAsia="方正仿宋_GBK"/>
          <w:sz w:val="33"/>
          <w:szCs w:val="33"/>
        </w:rPr>
      </w:pPr>
      <w:r>
        <w:rPr>
          <w:rFonts w:hint="eastAsia" w:eastAsia="方正仿宋_GBK"/>
          <w:sz w:val="33"/>
          <w:szCs w:val="33"/>
        </w:rPr>
        <w:t>（一）抓</w:t>
      </w:r>
      <w:r>
        <w:rPr>
          <w:rFonts w:eastAsia="方正仿宋_GBK"/>
          <w:sz w:val="33"/>
          <w:szCs w:val="33"/>
        </w:rPr>
        <w:t>党史学习教</w:t>
      </w:r>
      <w:r>
        <w:rPr>
          <w:rFonts w:hint="eastAsia" w:eastAsia="方正仿宋_GBK"/>
          <w:sz w:val="33"/>
          <w:szCs w:val="33"/>
        </w:rPr>
        <w:t>育筑牢为民初心</w:t>
      </w:r>
      <w:r>
        <w:rPr>
          <w:rFonts w:eastAsia="方正仿宋_GBK"/>
          <w:sz w:val="33"/>
          <w:szCs w:val="33"/>
        </w:rPr>
        <w:t>。</w:t>
      </w:r>
      <w:r>
        <w:rPr>
          <w:rFonts w:hint="eastAsia" w:eastAsia="方正仿宋_GBK"/>
          <w:sz w:val="33"/>
          <w:szCs w:val="33"/>
        </w:rPr>
        <w:t>一是领导带引促学。采取理论学习中心组专题学、党委成员讲党课、聆听专家讲座等深入开展“四书”“四史”学习。二是依托阵地全员学。在官网、官微、办公区、微信群开设专栏，线上线下联动，诵读红色经典、分享学史心得、传递榜样精神、记录学习实践。三是搭建平台体验学。开展知识竞赛，共同回顾党筚路蓝缕伟业；前往黄继光、陈毅故里、小平故居，探寻先辈革命足迹；赴岳池阳光馆和武胜红色文化园接受廉政警示教育濯洗心灵。从“党史”中汲取力量，以坚强党性滋养精神，</w:t>
      </w:r>
      <w:r>
        <w:rPr>
          <w:rFonts w:eastAsia="方正仿宋_GBK"/>
          <w:sz w:val="33"/>
          <w:szCs w:val="33"/>
        </w:rPr>
        <w:t>引导全体干部职工增强“四个意识”、坚定“四个自信”、做到“两个维护”。</w:t>
      </w:r>
    </w:p>
    <w:p>
      <w:pPr>
        <w:spacing w:line="590" w:lineRule="exact"/>
        <w:ind w:firstLine="660" w:firstLineChars="200"/>
        <w:jc w:val="left"/>
        <w:rPr>
          <w:rFonts w:eastAsia="方正仿宋_GBK"/>
          <w:sz w:val="33"/>
          <w:szCs w:val="33"/>
        </w:rPr>
      </w:pPr>
      <w:r>
        <w:rPr>
          <w:rFonts w:hint="eastAsia" w:eastAsia="方正仿宋_GBK"/>
          <w:sz w:val="33"/>
          <w:szCs w:val="33"/>
        </w:rPr>
        <w:t>（二）抓疫情常态防控坚守抗疫恒心。一是强监测。2021年，</w:t>
      </w:r>
      <w:r>
        <w:rPr>
          <w:rFonts w:eastAsia="方正仿宋_GBK"/>
          <w:sz w:val="33"/>
          <w:szCs w:val="33"/>
        </w:rPr>
        <w:t>全市累计完成重点人群核酸</w:t>
      </w:r>
      <w:r>
        <w:rPr>
          <w:rFonts w:hint="eastAsia" w:eastAsia="方正仿宋_GBK"/>
          <w:sz w:val="33"/>
          <w:szCs w:val="33"/>
        </w:rPr>
        <w:t>检测137.6</w:t>
      </w:r>
      <w:r>
        <w:rPr>
          <w:rFonts w:eastAsia="方正仿宋_GBK"/>
          <w:sz w:val="33"/>
          <w:szCs w:val="33"/>
        </w:rPr>
        <w:t>万余人次，环境样本监测</w:t>
      </w:r>
      <w:r>
        <w:rPr>
          <w:rFonts w:hint="eastAsia" w:eastAsia="方正仿宋_GBK"/>
          <w:sz w:val="33"/>
          <w:szCs w:val="33"/>
        </w:rPr>
        <w:t>15.2</w:t>
      </w:r>
      <w:r>
        <w:rPr>
          <w:rFonts w:eastAsia="方正仿宋_GBK"/>
          <w:sz w:val="33"/>
          <w:szCs w:val="33"/>
        </w:rPr>
        <w:t>万余份；累计排查密接、次密接</w:t>
      </w:r>
      <w:r>
        <w:rPr>
          <w:rFonts w:hint="eastAsia" w:eastAsia="方正仿宋_GBK"/>
          <w:sz w:val="33"/>
          <w:szCs w:val="33"/>
        </w:rPr>
        <w:t>、</w:t>
      </w:r>
      <w:r>
        <w:rPr>
          <w:rFonts w:eastAsia="方正仿宋_GBK"/>
          <w:sz w:val="33"/>
          <w:szCs w:val="33"/>
        </w:rPr>
        <w:t>入境</w:t>
      </w:r>
      <w:r>
        <w:rPr>
          <w:rFonts w:hint="eastAsia" w:eastAsia="方正仿宋_GBK"/>
          <w:sz w:val="33"/>
          <w:szCs w:val="33"/>
        </w:rPr>
        <w:t>和</w:t>
      </w:r>
      <w:r>
        <w:rPr>
          <w:rFonts w:eastAsia="方正仿宋_GBK"/>
          <w:sz w:val="33"/>
          <w:szCs w:val="33"/>
        </w:rPr>
        <w:t>国内中高风险地区返广人员662人</w:t>
      </w:r>
      <w:r>
        <w:rPr>
          <w:rFonts w:hint="eastAsia" w:eastAsia="方正仿宋_GBK"/>
          <w:sz w:val="33"/>
          <w:szCs w:val="33"/>
        </w:rPr>
        <w:t>；</w:t>
      </w:r>
      <w:r>
        <w:rPr>
          <w:rFonts w:eastAsia="方正仿宋_GBK"/>
          <w:sz w:val="33"/>
          <w:szCs w:val="33"/>
        </w:rPr>
        <w:t>编印风险评估研判报告</w:t>
      </w:r>
      <w:r>
        <w:rPr>
          <w:rFonts w:hint="eastAsia" w:eastAsia="方正仿宋_GBK"/>
          <w:sz w:val="33"/>
          <w:szCs w:val="33"/>
        </w:rPr>
        <w:t>94</w:t>
      </w:r>
      <w:r>
        <w:rPr>
          <w:rFonts w:eastAsia="方正仿宋_GBK"/>
          <w:sz w:val="33"/>
          <w:szCs w:val="33"/>
        </w:rPr>
        <w:t>期，为</w:t>
      </w:r>
      <w:r>
        <w:rPr>
          <w:rFonts w:hint="eastAsia" w:eastAsia="方正仿宋_GBK"/>
          <w:sz w:val="33"/>
          <w:szCs w:val="33"/>
        </w:rPr>
        <w:t>我</w:t>
      </w:r>
      <w:r>
        <w:rPr>
          <w:rFonts w:eastAsia="方正仿宋_GBK"/>
          <w:sz w:val="33"/>
          <w:szCs w:val="33"/>
        </w:rPr>
        <w:t>市</w:t>
      </w:r>
      <w:r>
        <w:rPr>
          <w:rFonts w:hint="eastAsia" w:eastAsia="方正仿宋_GBK"/>
          <w:sz w:val="33"/>
          <w:szCs w:val="33"/>
        </w:rPr>
        <w:t>快速落实</w:t>
      </w:r>
      <w:r>
        <w:rPr>
          <w:rFonts w:eastAsia="方正仿宋_GBK"/>
          <w:sz w:val="33"/>
          <w:szCs w:val="33"/>
        </w:rPr>
        <w:t>精准防控</w:t>
      </w:r>
      <w:r>
        <w:rPr>
          <w:rFonts w:hint="eastAsia" w:eastAsia="方正仿宋_GBK"/>
          <w:sz w:val="33"/>
          <w:szCs w:val="33"/>
        </w:rPr>
        <w:t>措施</w:t>
      </w:r>
      <w:r>
        <w:rPr>
          <w:rFonts w:eastAsia="方正仿宋_GBK"/>
          <w:sz w:val="33"/>
          <w:szCs w:val="33"/>
        </w:rPr>
        <w:t>提供</w:t>
      </w:r>
      <w:r>
        <w:rPr>
          <w:rFonts w:hint="eastAsia" w:eastAsia="方正仿宋_GBK"/>
          <w:sz w:val="33"/>
          <w:szCs w:val="33"/>
        </w:rPr>
        <w:t>专业咨政参考。二是强指导。出动</w:t>
      </w:r>
      <w:r>
        <w:rPr>
          <w:rFonts w:eastAsia="方正仿宋_GBK"/>
          <w:sz w:val="33"/>
          <w:szCs w:val="33"/>
        </w:rPr>
        <w:t>专业技术人员</w:t>
      </w:r>
      <w:r>
        <w:rPr>
          <w:rFonts w:hint="eastAsia" w:eastAsia="方正仿宋_GBK"/>
          <w:sz w:val="33"/>
          <w:szCs w:val="33"/>
        </w:rPr>
        <w:t>450余人次分别对</w:t>
      </w:r>
      <w:r>
        <w:rPr>
          <w:rFonts w:eastAsia="方正仿宋_GBK"/>
          <w:sz w:val="33"/>
          <w:szCs w:val="33"/>
        </w:rPr>
        <w:t>全市</w:t>
      </w:r>
      <w:r>
        <w:rPr>
          <w:rFonts w:hint="eastAsia" w:eastAsia="方正仿宋_GBK"/>
          <w:sz w:val="33"/>
          <w:szCs w:val="33"/>
        </w:rPr>
        <w:t>13个医疗卫生机构、</w:t>
      </w:r>
      <w:r>
        <w:rPr>
          <w:rFonts w:eastAsia="方正仿宋_GBK"/>
          <w:sz w:val="33"/>
          <w:szCs w:val="33"/>
        </w:rPr>
        <w:t>78个新冠疫苗接种点位</w:t>
      </w:r>
      <w:r>
        <w:rPr>
          <w:rFonts w:hint="eastAsia" w:eastAsia="方正仿宋_GBK"/>
          <w:sz w:val="33"/>
          <w:szCs w:val="33"/>
        </w:rPr>
        <w:t>、21个核酸检测实验室、116集中医学隔离点、296个冷链食品集中监管仓等重点场所开展多轮次疫情防控、疫苗接种、实验室生物安全、消杀等专业技术指导</w:t>
      </w:r>
      <w:r>
        <w:rPr>
          <w:rFonts w:eastAsia="方正仿宋_GBK"/>
          <w:sz w:val="33"/>
          <w:szCs w:val="33"/>
        </w:rPr>
        <w:t>，</w:t>
      </w:r>
      <w:r>
        <w:rPr>
          <w:rFonts w:hint="eastAsia" w:eastAsia="方正仿宋_GBK"/>
          <w:sz w:val="33"/>
          <w:szCs w:val="33"/>
        </w:rPr>
        <w:t>牵头组织、参与全市卫生应急演练和多区县核酸检测、流调溯源等应急演练，为落细落实防控措施提供有力技术支撑。三是强处置。及时</w:t>
      </w:r>
      <w:r>
        <w:rPr>
          <w:rFonts w:eastAsia="方正仿宋_GBK"/>
          <w:sz w:val="33"/>
          <w:szCs w:val="33"/>
        </w:rPr>
        <w:t>妥善处置涉疫汽配、物流货物</w:t>
      </w:r>
      <w:r>
        <w:rPr>
          <w:rFonts w:hint="eastAsia" w:eastAsia="方正仿宋_GBK"/>
          <w:sz w:val="33"/>
          <w:szCs w:val="33"/>
        </w:rPr>
        <w:t>、</w:t>
      </w:r>
      <w:r>
        <w:rPr>
          <w:rFonts w:eastAsia="方正仿宋_GBK"/>
          <w:sz w:val="33"/>
          <w:szCs w:val="33"/>
        </w:rPr>
        <w:t>奶枣</w:t>
      </w:r>
      <w:r>
        <w:rPr>
          <w:rFonts w:hint="eastAsia" w:eastAsia="方正仿宋_GBK"/>
          <w:sz w:val="33"/>
          <w:szCs w:val="33"/>
        </w:rPr>
        <w:t>，以及区人民医院等新冠监测阳性报告</w:t>
      </w:r>
      <w:r>
        <w:rPr>
          <w:rFonts w:eastAsia="方正仿宋_GBK"/>
          <w:sz w:val="33"/>
          <w:szCs w:val="33"/>
        </w:rPr>
        <w:t>事件，均未造成人员感染和社会舆情扩大。</w:t>
      </w:r>
      <w:r>
        <w:rPr>
          <w:rFonts w:hint="eastAsia" w:eastAsia="方正仿宋_GBK"/>
          <w:sz w:val="33"/>
          <w:szCs w:val="33"/>
        </w:rPr>
        <w:t>四是强引导。依托官微通过多维度科普宣传，强频次预警提示，不断提高公众对疫情常态化防控的认知，引导公众慎终如始，坚定信念，自觉防控，为疫情防控稳人心、鼓士气、聚能量发挥了重要作用。目前，公众号开设1周年，粉丝突破1万人，其中多条疫情防控提示阅读量突破2万人次。</w:t>
      </w:r>
    </w:p>
    <w:p>
      <w:pPr>
        <w:spacing w:line="590" w:lineRule="exact"/>
        <w:ind w:firstLine="660" w:firstLineChars="200"/>
        <w:jc w:val="left"/>
        <w:rPr>
          <w:rFonts w:eastAsia="方正仿宋_GBK"/>
          <w:sz w:val="33"/>
          <w:szCs w:val="33"/>
        </w:rPr>
      </w:pPr>
      <w:r>
        <w:rPr>
          <w:rFonts w:hint="eastAsia" w:eastAsia="方正仿宋_GBK"/>
          <w:sz w:val="33"/>
          <w:szCs w:val="33"/>
        </w:rPr>
        <w:t>（三）抓业务提质增效彰显发展决</w:t>
      </w:r>
      <w:r>
        <w:rPr>
          <w:rFonts w:eastAsia="方正仿宋_GBK"/>
          <w:sz w:val="33"/>
          <w:szCs w:val="33"/>
        </w:rPr>
        <w:t>心。</w:t>
      </w:r>
      <w:r>
        <w:rPr>
          <w:rFonts w:hint="eastAsia" w:eastAsia="方正仿宋_GBK"/>
          <w:sz w:val="33"/>
          <w:szCs w:val="33"/>
        </w:rPr>
        <w:t>一是全力推进</w:t>
      </w:r>
      <w:r>
        <w:rPr>
          <w:rFonts w:eastAsia="方正仿宋_GBK"/>
          <w:sz w:val="33"/>
          <w:szCs w:val="33"/>
        </w:rPr>
        <w:t>疾病防控和应急处置能力提升项目</w:t>
      </w:r>
      <w:r>
        <w:rPr>
          <w:rFonts w:hint="eastAsia" w:eastAsia="方正仿宋_GBK"/>
          <w:sz w:val="33"/>
          <w:szCs w:val="33"/>
        </w:rPr>
        <w:t>建设</w:t>
      </w:r>
      <w:r>
        <w:rPr>
          <w:rFonts w:eastAsia="方正仿宋_GBK"/>
          <w:sz w:val="33"/>
          <w:szCs w:val="33"/>
        </w:rPr>
        <w:t>，3个P2实验室</w:t>
      </w:r>
      <w:r>
        <w:rPr>
          <w:rFonts w:hint="eastAsia" w:eastAsia="方正仿宋_GBK"/>
          <w:sz w:val="33"/>
          <w:szCs w:val="33"/>
        </w:rPr>
        <w:t>、</w:t>
      </w:r>
      <w:r>
        <w:rPr>
          <w:rFonts w:eastAsia="方正仿宋_GBK"/>
          <w:sz w:val="33"/>
          <w:szCs w:val="33"/>
        </w:rPr>
        <w:t>3座冷库</w:t>
      </w:r>
      <w:r>
        <w:rPr>
          <w:rFonts w:hint="eastAsia" w:eastAsia="方正仿宋_GBK"/>
          <w:sz w:val="33"/>
          <w:szCs w:val="33"/>
        </w:rPr>
        <w:t>建成投</w:t>
      </w:r>
      <w:r>
        <w:rPr>
          <w:rFonts w:eastAsia="方正仿宋_GBK"/>
          <w:sz w:val="33"/>
          <w:szCs w:val="33"/>
        </w:rPr>
        <w:t>用，</w:t>
      </w:r>
      <w:r>
        <w:rPr>
          <w:rFonts w:hint="eastAsia" w:eastAsia="方正仿宋_GBK"/>
          <w:sz w:val="33"/>
          <w:szCs w:val="33"/>
        </w:rPr>
        <w:t>81</w:t>
      </w:r>
      <w:r>
        <w:rPr>
          <w:rFonts w:eastAsia="方正仿宋_GBK"/>
          <w:sz w:val="33"/>
          <w:szCs w:val="33"/>
        </w:rPr>
        <w:t>台件</w:t>
      </w:r>
      <w:r>
        <w:rPr>
          <w:rFonts w:hint="eastAsia" w:eastAsia="方正仿宋_GBK"/>
          <w:sz w:val="33"/>
          <w:szCs w:val="33"/>
        </w:rPr>
        <w:t>900余万元设备采购完成并投入使用，6000余平方米业务用房改扩建正在施工</w:t>
      </w:r>
      <w:r>
        <w:rPr>
          <w:rFonts w:eastAsia="方正仿宋_GBK"/>
          <w:sz w:val="33"/>
          <w:szCs w:val="33"/>
        </w:rPr>
        <w:t>。</w:t>
      </w:r>
      <w:r>
        <w:rPr>
          <w:rFonts w:hint="eastAsia" w:eastAsia="方正仿宋_GBK"/>
          <w:sz w:val="33"/>
          <w:szCs w:val="33"/>
        </w:rPr>
        <w:t>二是顺利通过国</w:t>
      </w:r>
      <w:r>
        <w:rPr>
          <w:rFonts w:eastAsia="方正仿宋_GBK"/>
          <w:sz w:val="33"/>
          <w:szCs w:val="33"/>
        </w:rPr>
        <w:t>家致病菌识别网络实验室认可</w:t>
      </w:r>
      <w:r>
        <w:rPr>
          <w:rFonts w:hint="eastAsia" w:eastAsia="方正仿宋_GBK"/>
          <w:sz w:val="33"/>
          <w:szCs w:val="33"/>
        </w:rPr>
        <w:t>现场评审，结束我市无国</w:t>
      </w:r>
      <w:r>
        <w:rPr>
          <w:rFonts w:eastAsia="方正仿宋_GBK"/>
          <w:sz w:val="33"/>
          <w:szCs w:val="33"/>
        </w:rPr>
        <w:t>家致病菌识别网络实验室</w:t>
      </w:r>
      <w:r>
        <w:rPr>
          <w:rFonts w:hint="eastAsia" w:eastAsia="方正仿宋_GBK"/>
          <w:sz w:val="33"/>
          <w:szCs w:val="33"/>
        </w:rPr>
        <w:t>历史。三是</w:t>
      </w:r>
      <w:r>
        <w:rPr>
          <w:rFonts w:eastAsia="方正仿宋_GBK"/>
          <w:sz w:val="33"/>
          <w:szCs w:val="33"/>
        </w:rPr>
        <w:t>传染病发病率持续保持较低水平</w:t>
      </w:r>
      <w:r>
        <w:rPr>
          <w:rFonts w:hint="eastAsia" w:eastAsia="方正仿宋_GBK"/>
          <w:sz w:val="33"/>
          <w:szCs w:val="33"/>
        </w:rPr>
        <w:t>，</w:t>
      </w:r>
      <w:r>
        <w:rPr>
          <w:rFonts w:eastAsia="方正仿宋_GBK"/>
          <w:sz w:val="33"/>
          <w:szCs w:val="33"/>
        </w:rPr>
        <w:t>2021年</w:t>
      </w:r>
      <w:r>
        <w:rPr>
          <w:rFonts w:hint="eastAsia" w:eastAsia="方正仿宋_GBK"/>
          <w:sz w:val="33"/>
          <w:szCs w:val="33"/>
        </w:rPr>
        <w:t>，</w:t>
      </w:r>
      <w:r>
        <w:rPr>
          <w:rFonts w:eastAsia="方正仿宋_GBK"/>
          <w:sz w:val="33"/>
          <w:szCs w:val="33"/>
        </w:rPr>
        <w:t>报告现住址为广安市法定传染病11931例，报告发病率367.00/10万，连续10年低于全省平均水平。</w:t>
      </w:r>
      <w:r>
        <w:rPr>
          <w:rFonts w:hint="eastAsia" w:eastAsia="方正仿宋_GBK"/>
          <w:sz w:val="33"/>
          <w:szCs w:val="33"/>
        </w:rPr>
        <w:t>四</w:t>
      </w:r>
      <w:r>
        <w:rPr>
          <w:rFonts w:eastAsia="方正仿宋_GBK"/>
          <w:sz w:val="33"/>
          <w:szCs w:val="33"/>
        </w:rPr>
        <w:t>是重大传染病防控有序。全市艾滋病各项考核指标均超额完成省定</w:t>
      </w:r>
      <w:r>
        <w:rPr>
          <w:rFonts w:hint="eastAsia" w:eastAsia="方正仿宋_GBK"/>
          <w:sz w:val="33"/>
          <w:szCs w:val="33"/>
        </w:rPr>
        <w:t>进度</w:t>
      </w:r>
      <w:r>
        <w:rPr>
          <w:rFonts w:eastAsia="方正仿宋_GBK"/>
          <w:sz w:val="33"/>
          <w:szCs w:val="33"/>
        </w:rPr>
        <w:t>目标任务，结核病报告发病率较去年同期下降</w:t>
      </w:r>
      <w:r>
        <w:rPr>
          <w:rFonts w:hint="eastAsia" w:eastAsia="方正仿宋_GBK"/>
          <w:sz w:val="33"/>
          <w:szCs w:val="33"/>
        </w:rPr>
        <w:t>7.78</w:t>
      </w:r>
      <w:r>
        <w:rPr>
          <w:rFonts w:eastAsia="方正仿宋_GBK"/>
          <w:sz w:val="33"/>
          <w:szCs w:val="33"/>
        </w:rPr>
        <w:t>%。</w:t>
      </w:r>
      <w:r>
        <w:rPr>
          <w:rFonts w:hint="eastAsia" w:eastAsia="方正仿宋_GBK"/>
          <w:sz w:val="33"/>
          <w:szCs w:val="33"/>
        </w:rPr>
        <w:t>五</w:t>
      </w:r>
      <w:r>
        <w:rPr>
          <w:rFonts w:eastAsia="方正仿宋_GBK"/>
          <w:sz w:val="33"/>
          <w:szCs w:val="33"/>
        </w:rPr>
        <w:t>是</w:t>
      </w:r>
      <w:r>
        <w:rPr>
          <w:rFonts w:hint="eastAsia" w:eastAsia="方正仿宋_GBK"/>
          <w:sz w:val="33"/>
          <w:szCs w:val="33"/>
        </w:rPr>
        <w:t>地方病与慢性病综合防治工</w:t>
      </w:r>
      <w:r>
        <w:rPr>
          <w:rFonts w:eastAsia="方正仿宋_GBK"/>
          <w:sz w:val="33"/>
          <w:szCs w:val="33"/>
        </w:rPr>
        <w:t>作</w:t>
      </w:r>
      <w:r>
        <w:rPr>
          <w:rFonts w:hint="eastAsia" w:eastAsia="方正仿宋_GBK"/>
          <w:sz w:val="33"/>
          <w:szCs w:val="33"/>
        </w:rPr>
        <w:t>稳步推进</w:t>
      </w:r>
      <w:r>
        <w:rPr>
          <w:rFonts w:eastAsia="方正仿宋_GBK"/>
          <w:sz w:val="33"/>
          <w:szCs w:val="33"/>
        </w:rPr>
        <w:t>。顺利完成世卫组织对我国消除疟疾认证线上视频评估</w:t>
      </w:r>
      <w:r>
        <w:rPr>
          <w:rFonts w:hint="eastAsia" w:eastAsia="方正仿宋_GBK"/>
          <w:sz w:val="33"/>
          <w:szCs w:val="33"/>
        </w:rPr>
        <w:t>，全市地方病（碘缺乏病、燃煤污染性氟中毒、克山病）保持持续消除状态，慢性病监测提前完成省定目标任务。</w:t>
      </w:r>
    </w:p>
    <w:p>
      <w:pPr>
        <w:spacing w:line="590" w:lineRule="exact"/>
        <w:ind w:firstLine="660" w:firstLineChars="200"/>
        <w:jc w:val="left"/>
        <w:rPr>
          <w:rFonts w:eastAsia="方正仿宋_GBK"/>
          <w:sz w:val="33"/>
          <w:szCs w:val="33"/>
        </w:rPr>
      </w:pPr>
      <w:r>
        <w:rPr>
          <w:rFonts w:hint="eastAsia" w:eastAsia="方正仿宋_GBK"/>
          <w:sz w:val="33"/>
          <w:szCs w:val="33"/>
        </w:rPr>
        <w:t>（四）抓</w:t>
      </w:r>
      <w:r>
        <w:rPr>
          <w:rFonts w:eastAsia="方正仿宋_GBK"/>
          <w:sz w:val="33"/>
          <w:szCs w:val="33"/>
        </w:rPr>
        <w:t>队伍</w:t>
      </w:r>
      <w:r>
        <w:rPr>
          <w:rFonts w:hint="eastAsia" w:eastAsia="方正仿宋_GBK"/>
          <w:sz w:val="33"/>
          <w:szCs w:val="33"/>
        </w:rPr>
        <w:t>优化培养增强奋进信心</w:t>
      </w:r>
      <w:r>
        <w:rPr>
          <w:rFonts w:eastAsia="方正仿宋_GBK"/>
          <w:sz w:val="33"/>
          <w:szCs w:val="33"/>
        </w:rPr>
        <w:t>。</w:t>
      </w:r>
      <w:r>
        <w:rPr>
          <w:rFonts w:hint="eastAsia" w:eastAsia="方正仿宋_GBK"/>
          <w:sz w:val="33"/>
          <w:szCs w:val="33"/>
        </w:rPr>
        <w:t>一是壮大队伍。实际</w:t>
      </w:r>
      <w:r>
        <w:rPr>
          <w:rFonts w:eastAsia="方正仿宋_GBK"/>
          <w:sz w:val="33"/>
          <w:szCs w:val="33"/>
        </w:rPr>
        <w:t>招录</w:t>
      </w:r>
      <w:r>
        <w:rPr>
          <w:rFonts w:hint="eastAsia" w:eastAsia="方正仿宋_GBK"/>
          <w:sz w:val="33"/>
          <w:szCs w:val="33"/>
        </w:rPr>
        <w:t>检验、预防医学等核心专业人</w:t>
      </w:r>
      <w:r>
        <w:rPr>
          <w:rFonts w:eastAsia="方正仿宋_GBK"/>
          <w:sz w:val="33"/>
          <w:szCs w:val="33"/>
        </w:rPr>
        <w:t>员10名</w:t>
      </w:r>
      <w:r>
        <w:rPr>
          <w:rFonts w:hint="eastAsia" w:eastAsia="方正仿宋_GBK"/>
          <w:sz w:val="33"/>
          <w:szCs w:val="33"/>
        </w:rPr>
        <w:t>，中心职工总数达到66名。二是优化激励。</w:t>
      </w:r>
      <w:r>
        <w:rPr>
          <w:rFonts w:eastAsia="方正仿宋_GBK"/>
          <w:sz w:val="33"/>
          <w:szCs w:val="33"/>
        </w:rPr>
        <w:t>提拔任用3名</w:t>
      </w:r>
      <w:r>
        <w:rPr>
          <w:rFonts w:hint="eastAsia" w:eastAsia="方正仿宋_GBK"/>
          <w:sz w:val="33"/>
          <w:szCs w:val="33"/>
        </w:rPr>
        <w:t>优秀年轻干部担任</w:t>
      </w:r>
      <w:r>
        <w:rPr>
          <w:rFonts w:eastAsia="方正仿宋_GBK"/>
          <w:sz w:val="33"/>
          <w:szCs w:val="33"/>
        </w:rPr>
        <w:t>中层干部，</w:t>
      </w:r>
      <w:r>
        <w:rPr>
          <w:rFonts w:hint="eastAsia" w:eastAsia="方正仿宋_GBK"/>
          <w:sz w:val="33"/>
          <w:szCs w:val="33"/>
        </w:rPr>
        <w:t>修订岗位聘用管理、内部绩效分配办法等，鼓励引导14</w:t>
      </w:r>
      <w:r>
        <w:rPr>
          <w:rFonts w:eastAsia="方正仿宋_GBK"/>
          <w:sz w:val="33"/>
          <w:szCs w:val="33"/>
        </w:rPr>
        <w:t>名</w:t>
      </w:r>
      <w:r>
        <w:rPr>
          <w:rFonts w:hint="eastAsia" w:eastAsia="方正仿宋_GBK"/>
          <w:sz w:val="33"/>
          <w:szCs w:val="33"/>
        </w:rPr>
        <w:t>专技人员晋升中高级职称，</w:t>
      </w:r>
      <w:r>
        <w:rPr>
          <w:rFonts w:eastAsia="方正仿宋_GBK"/>
          <w:sz w:val="33"/>
          <w:szCs w:val="33"/>
        </w:rPr>
        <w:t>队伍年龄、职称结构持续优化</w:t>
      </w:r>
      <w:r>
        <w:rPr>
          <w:rFonts w:hint="eastAsia" w:eastAsia="方正仿宋_GBK"/>
          <w:sz w:val="33"/>
          <w:szCs w:val="33"/>
        </w:rPr>
        <w:t>。三是学习提升。</w:t>
      </w:r>
      <w:r>
        <w:rPr>
          <w:rFonts w:eastAsia="方正仿宋_GBK"/>
          <w:sz w:val="33"/>
          <w:szCs w:val="33"/>
        </w:rPr>
        <w:t>选派</w:t>
      </w:r>
      <w:r>
        <w:rPr>
          <w:rFonts w:hint="eastAsia" w:eastAsia="方正仿宋_GBK"/>
          <w:sz w:val="33"/>
          <w:szCs w:val="33"/>
        </w:rPr>
        <w:t>27</w:t>
      </w:r>
      <w:r>
        <w:rPr>
          <w:rFonts w:eastAsia="方正仿宋_GBK"/>
          <w:sz w:val="33"/>
          <w:szCs w:val="33"/>
        </w:rPr>
        <w:t>名</w:t>
      </w:r>
      <w:r>
        <w:rPr>
          <w:rFonts w:hint="eastAsia" w:eastAsia="方正仿宋_GBK"/>
          <w:sz w:val="33"/>
          <w:szCs w:val="33"/>
        </w:rPr>
        <w:t>中青年骨干参加全省</w:t>
      </w:r>
      <w:r>
        <w:rPr>
          <w:rFonts w:eastAsia="方正仿宋_GBK"/>
          <w:sz w:val="33"/>
          <w:szCs w:val="33"/>
        </w:rPr>
        <w:t>流行病学调查、职业卫生、</w:t>
      </w:r>
      <w:r>
        <w:rPr>
          <w:rFonts w:hint="eastAsia" w:eastAsia="方正仿宋_GBK"/>
          <w:sz w:val="33"/>
          <w:szCs w:val="33"/>
        </w:rPr>
        <w:t>检验检测</w:t>
      </w:r>
      <w:r>
        <w:rPr>
          <w:rFonts w:eastAsia="方正仿宋_GBK"/>
          <w:sz w:val="33"/>
          <w:szCs w:val="33"/>
        </w:rPr>
        <w:t>内审等培训，</w:t>
      </w:r>
      <w:r>
        <w:rPr>
          <w:rFonts w:hint="eastAsia" w:eastAsia="方正仿宋_GBK"/>
          <w:sz w:val="33"/>
          <w:szCs w:val="33"/>
        </w:rPr>
        <w:t>3名业务骨干赴</w:t>
      </w:r>
      <w:r>
        <w:rPr>
          <w:rFonts w:eastAsia="方正仿宋_GBK"/>
          <w:sz w:val="33"/>
          <w:szCs w:val="33"/>
        </w:rPr>
        <w:t>省疾控</w:t>
      </w:r>
      <w:r>
        <w:rPr>
          <w:rFonts w:hint="eastAsia" w:eastAsia="方正仿宋_GBK"/>
          <w:sz w:val="33"/>
          <w:szCs w:val="33"/>
        </w:rPr>
        <w:t>进行6个月以上</w:t>
      </w:r>
      <w:r>
        <w:rPr>
          <w:rFonts w:eastAsia="方正仿宋_GBK"/>
          <w:sz w:val="33"/>
          <w:szCs w:val="33"/>
        </w:rPr>
        <w:t>进修学习，组织</w:t>
      </w:r>
      <w:r>
        <w:rPr>
          <w:rFonts w:hint="eastAsia" w:eastAsia="方正仿宋_GBK"/>
          <w:sz w:val="33"/>
          <w:szCs w:val="33"/>
        </w:rPr>
        <w:t>30余</w:t>
      </w:r>
      <w:r>
        <w:rPr>
          <w:rFonts w:eastAsia="方正仿宋_GBK"/>
          <w:sz w:val="33"/>
          <w:szCs w:val="33"/>
        </w:rPr>
        <w:t>名</w:t>
      </w:r>
      <w:r>
        <w:rPr>
          <w:rFonts w:hint="eastAsia" w:eastAsia="方正仿宋_GBK"/>
          <w:sz w:val="33"/>
          <w:szCs w:val="33"/>
        </w:rPr>
        <w:t>工作</w:t>
      </w:r>
      <w:r>
        <w:rPr>
          <w:rFonts w:eastAsia="方正仿宋_GBK"/>
          <w:sz w:val="33"/>
          <w:szCs w:val="33"/>
        </w:rPr>
        <w:t>人员</w:t>
      </w:r>
      <w:r>
        <w:rPr>
          <w:rFonts w:hint="eastAsia" w:eastAsia="方正仿宋_GBK"/>
          <w:sz w:val="33"/>
          <w:szCs w:val="33"/>
        </w:rPr>
        <w:t>赴</w:t>
      </w:r>
      <w:r>
        <w:rPr>
          <w:rFonts w:eastAsia="方正仿宋_GBK"/>
          <w:sz w:val="33"/>
          <w:szCs w:val="33"/>
        </w:rPr>
        <w:t>自贡、德阳、南充等地对标学习，</w:t>
      </w:r>
      <w:r>
        <w:rPr>
          <w:rFonts w:hint="eastAsia" w:eastAsia="方正仿宋_GBK"/>
          <w:sz w:val="33"/>
          <w:szCs w:val="33"/>
        </w:rPr>
        <w:t>拓展队伍视野。四是严肃作风。理论学习严把思想关、制度建设严把执行关、公正透明严把用人关、规范程序严把效率关、逗硬考核严把效能关、强化纪律严把廉洁关，激发全员干事创业热情，营造清朗健康成长氛围</w:t>
      </w:r>
      <w:r>
        <w:rPr>
          <w:rFonts w:eastAsia="方正仿宋_GBK"/>
          <w:sz w:val="33"/>
          <w:szCs w:val="33"/>
        </w:rPr>
        <w:t>。</w:t>
      </w:r>
    </w:p>
    <w:p>
      <w:pPr>
        <w:pStyle w:val="12"/>
        <w:ind w:left="426" w:hanging="213"/>
      </w:pPr>
    </w:p>
    <w:p>
      <w:pPr>
        <w:pStyle w:val="4"/>
        <w:rPr>
          <w:rFonts w:ascii="黑体" w:eastAsia="黑体"/>
          <w:b w:val="0"/>
          <w:color w:val="000000"/>
        </w:rPr>
      </w:pPr>
      <w:r>
        <w:rPr>
          <w:rFonts w:hint="eastAsia" w:ascii="黑体" w:eastAsia="黑体"/>
          <w:b w:val="0"/>
          <w:color w:val="000000"/>
        </w:rPr>
        <w:t>三、机构设置</w:t>
      </w:r>
    </w:p>
    <w:p>
      <w:pPr>
        <w:spacing w:line="590" w:lineRule="exact"/>
        <w:ind w:firstLine="660" w:firstLineChars="200"/>
        <w:jc w:val="left"/>
        <w:rPr>
          <w:rFonts w:eastAsia="方正仿宋_GBK"/>
          <w:sz w:val="33"/>
          <w:szCs w:val="33"/>
        </w:rPr>
      </w:pPr>
      <w:r>
        <w:rPr>
          <w:rFonts w:hint="eastAsia" w:eastAsia="方正仿宋_GBK"/>
          <w:sz w:val="33"/>
          <w:szCs w:val="33"/>
        </w:rPr>
        <w:t>广安市疾病预防控制中心属财政全额拨款事业单位。内设13个科室，包括办公室、后勤保障科、规划财务科、急性传染病预防控制科、地方病与慢性非传染性疾病控制科、重大传染病防制科、免疫规划科、卫生科、信息与健康教育科、业务管理与质量控制科、职业健康科、理化检验科、微生物检验科等。</w:t>
      </w:r>
    </w:p>
    <w:p/>
    <w:p>
      <w:pPr>
        <w:pStyle w:val="12"/>
        <w:ind w:left="426" w:hanging="213"/>
      </w:pPr>
    </w:p>
    <w:p>
      <w:pPr>
        <w:pStyle w:val="3"/>
        <w:ind w:right="440"/>
        <w:jc w:val="right"/>
        <w:rPr>
          <w:rStyle w:val="26"/>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6"/>
          <w:rFonts w:hint="eastAsia" w:ascii="黑体" w:hAnsi="黑体" w:eastAsia="黑体"/>
          <w:b w:val="0"/>
          <w:bCs w:val="0"/>
        </w:rPr>
        <w:t>2021年度单位决算情况说明</w:t>
      </w:r>
      <w:bookmarkEnd w:id="22"/>
      <w:bookmarkEnd w:id="23"/>
    </w:p>
    <w:p/>
    <w:p>
      <w:pPr>
        <w:pStyle w:val="25"/>
        <w:numPr>
          <w:ilvl w:val="0"/>
          <w:numId w:val="1"/>
        </w:numPr>
        <w:spacing w:line="600" w:lineRule="exact"/>
        <w:ind w:firstLineChars="0"/>
        <w:outlineLvl w:val="1"/>
        <w:rPr>
          <w:rStyle w:val="27"/>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4"/>
      <w:bookmarkEnd w:id="25"/>
    </w:p>
    <w:p>
      <w:pPr>
        <w:spacing w:line="600" w:lineRule="exact"/>
        <w:ind w:firstLine="660" w:firstLineChars="200"/>
        <w:rPr>
          <w:rFonts w:ascii="仿宋" w:hAnsi="仿宋" w:eastAsia="仿宋"/>
          <w:color w:val="000000"/>
          <w:sz w:val="32"/>
          <w:szCs w:val="32"/>
        </w:rPr>
      </w:pPr>
      <w:r>
        <w:rPr>
          <w:rFonts w:hint="eastAsia" w:eastAsia="方正仿宋_GBK"/>
          <w:color w:val="000000"/>
          <w:sz w:val="33"/>
          <w:szCs w:val="33"/>
        </w:rPr>
        <w:t>2021年度收入总计4459.24万元，支出总计4459.24万元。与2020年相比，收入总计减少1183.8万元，下降20.98%，支出总计减少1183.8万元，下降20.98%。主要变动原因是2021年减少新冠疫情防控中省资金投入。</w:t>
      </w:r>
    </w:p>
    <w:p>
      <w:pPr>
        <w:pStyle w:val="32"/>
        <w:ind w:left="0" w:leftChars="0" w:firstLine="0" w:firstLineChars="0"/>
        <w:rPr>
          <w:rFonts w:ascii="仿宋" w:hAnsi="仿宋" w:eastAsia="仿宋"/>
          <w:color w:val="000000"/>
          <w:sz w:val="32"/>
          <w:szCs w:val="32"/>
        </w:rPr>
      </w:pPr>
    </w:p>
    <w:p>
      <w:r>
        <w:drawing>
          <wp:inline distT="0" distB="0" distL="114300" distR="114300">
            <wp:extent cx="5267960" cy="249555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67960" cy="2495550"/>
                    </a:xfrm>
                    <a:prstGeom prst="rect">
                      <a:avLst/>
                    </a:prstGeom>
                    <a:noFill/>
                    <a:ln>
                      <a:noFill/>
                    </a:ln>
                  </pic:spPr>
                </pic:pic>
              </a:graphicData>
            </a:graphic>
          </wp:inline>
        </w:drawing>
      </w:r>
    </w:p>
    <w:p>
      <w:pPr>
        <w:spacing w:line="600" w:lineRule="exact"/>
        <w:jc w:val="center"/>
        <w:rPr>
          <w:rFonts w:ascii="仿宋_GB2312" w:eastAsia="仿宋_GB2312"/>
          <w:color w:val="000000"/>
          <w:sz w:val="32"/>
          <w:szCs w:val="32"/>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w:t>
      </w:r>
    </w:p>
    <w:p>
      <w:pPr>
        <w:pStyle w:val="25"/>
        <w:numPr>
          <w:ilvl w:val="0"/>
          <w:numId w:val="1"/>
        </w:numPr>
        <w:spacing w:line="600" w:lineRule="exact"/>
        <w:ind w:firstLineChars="0"/>
        <w:outlineLvl w:val="1"/>
        <w:rPr>
          <w:rStyle w:val="27"/>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7"/>
          <w:rFonts w:hint="eastAsia" w:ascii="黑体" w:hAnsi="黑体" w:eastAsia="黑体"/>
          <w:b w:val="0"/>
        </w:rPr>
        <w:t>入决算情况说明</w:t>
      </w:r>
      <w:bookmarkEnd w:id="26"/>
      <w:bookmarkEnd w:id="27"/>
    </w:p>
    <w:p>
      <w:pPr>
        <w:spacing w:line="600" w:lineRule="exact"/>
        <w:ind w:firstLine="660" w:firstLineChars="200"/>
        <w:outlineLvl w:val="1"/>
        <w:rPr>
          <w:rFonts w:ascii="仿宋" w:hAnsi="仿宋" w:eastAsia="仿宋"/>
          <w:color w:val="000000"/>
          <w:sz w:val="32"/>
          <w:szCs w:val="32"/>
        </w:rPr>
      </w:pPr>
      <w:r>
        <w:rPr>
          <w:rFonts w:hint="eastAsia" w:eastAsia="方正仿宋_GBK"/>
          <w:color w:val="000000"/>
          <w:sz w:val="33"/>
          <w:szCs w:val="33"/>
        </w:rPr>
        <w:t>2021年本年收入合计1038.31万元，其中：一般公共预算财政拨款收入1038.31万元，占100%；政府性基金预算财政拨款收入0万元，占0%；上级补助收入0万元，占0%；事业收入0万元，占0%；经营收入0万元，占0%；附属单位上缴收入0万元，占0%；其他收入0万元，占0%。本年收入与本年支出不相同主要原因为2021年部分支出由上年结转结余资金列支。</w:t>
      </w:r>
    </w:p>
    <w:p>
      <w:pPr>
        <w:pStyle w:val="32"/>
        <w:ind w:left="0" w:leftChars="0" w:firstLine="0" w:firstLineChars="0"/>
        <w:rPr>
          <w:rFonts w:ascii="仿宋" w:hAnsi="仿宋" w:eastAsia="仿宋"/>
          <w:color w:val="000000"/>
          <w:sz w:val="32"/>
          <w:szCs w:val="32"/>
        </w:rPr>
      </w:pPr>
      <w:r>
        <w:drawing>
          <wp:inline distT="0" distB="0" distL="114300" distR="114300">
            <wp:extent cx="5271135" cy="2405380"/>
            <wp:effectExtent l="0" t="0" r="0" b="139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5271135" cy="2405380"/>
                    </a:xfrm>
                    <a:prstGeom prst="rect">
                      <a:avLst/>
                    </a:prstGeom>
                    <a:noFill/>
                    <a:ln>
                      <a:noFill/>
                    </a:ln>
                  </pic:spPr>
                </pic:pic>
              </a:graphicData>
            </a:graphic>
          </wp:inline>
        </w:drawing>
      </w: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w:t>
      </w:r>
    </w:p>
    <w:p>
      <w:pPr>
        <w:pStyle w:val="12"/>
        <w:ind w:left="426" w:hanging="213"/>
      </w:pPr>
    </w:p>
    <w:p>
      <w:pPr>
        <w:pStyle w:val="25"/>
        <w:numPr>
          <w:ilvl w:val="0"/>
          <w:numId w:val="1"/>
        </w:numPr>
        <w:spacing w:line="600" w:lineRule="exact"/>
        <w:ind w:firstLineChars="0"/>
        <w:outlineLvl w:val="1"/>
        <w:rPr>
          <w:rStyle w:val="27"/>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7"/>
          <w:rFonts w:hint="eastAsia" w:ascii="黑体" w:hAnsi="黑体" w:eastAsia="黑体"/>
          <w:b w:val="0"/>
        </w:rPr>
        <w:t>出决算情况说明</w:t>
      </w:r>
      <w:bookmarkEnd w:id="28"/>
      <w:bookmarkEnd w:id="29"/>
    </w:p>
    <w:p>
      <w:pPr>
        <w:widowControl/>
        <w:ind w:firstLine="660" w:firstLineChars="200"/>
        <w:jc w:val="left"/>
        <w:rPr>
          <w:rFonts w:eastAsia="方正仿宋_GBK"/>
          <w:color w:val="000000"/>
          <w:sz w:val="33"/>
          <w:szCs w:val="33"/>
        </w:rPr>
      </w:pPr>
      <w:r>
        <w:rPr>
          <w:rFonts w:hint="eastAsia" w:eastAsia="方正仿宋_GBK"/>
          <w:color w:val="000000"/>
          <w:sz w:val="33"/>
          <w:szCs w:val="33"/>
        </w:rPr>
        <w:t>2021年本年支出合计4459.24万元，其中：基本支出738.16万元，占16.55%；项目支出3721.08万元，占83.45%；上缴上级支出0万元，占0%；经营支出0万元，占0%；对附属单位补助支出0万元，占0%。本年收入与本年支出不相同主要原因为2021年部分支出由上年结转结余资金列支。</w:t>
      </w:r>
    </w:p>
    <w:p>
      <w:pPr>
        <w:spacing w:line="600" w:lineRule="exact"/>
        <w:jc w:val="center"/>
      </w:pPr>
      <w:r>
        <w:drawing>
          <wp:anchor distT="0" distB="0" distL="114300" distR="114300" simplePos="0" relativeHeight="251659264" behindDoc="0" locked="0" layoutInCell="1" allowOverlap="1">
            <wp:simplePos x="0" y="0"/>
            <wp:positionH relativeFrom="column">
              <wp:posOffset>28575</wp:posOffset>
            </wp:positionH>
            <wp:positionV relativeFrom="paragraph">
              <wp:posOffset>356235</wp:posOffset>
            </wp:positionV>
            <wp:extent cx="4984750" cy="2706370"/>
            <wp:effectExtent l="0" t="0" r="0" b="1778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4984750" cy="2706370"/>
                    </a:xfrm>
                    <a:prstGeom prst="rect">
                      <a:avLst/>
                    </a:prstGeom>
                    <a:noFill/>
                    <a:ln>
                      <a:noFill/>
                    </a:ln>
                  </pic:spPr>
                </pic:pic>
              </a:graphicData>
            </a:graphic>
          </wp:anchor>
        </w:drawing>
      </w:r>
      <w:r>
        <w:rPr>
          <w:rFonts w:hint="eastAsia" w:ascii="仿宋" w:hAnsi="仿宋" w:eastAsia="仿宋"/>
          <w:color w:val="000000" w:themeColor="text1"/>
          <w:sz w:val="32"/>
          <w:szCs w:val="32"/>
          <w14:textFill>
            <w14:solidFill>
              <w14:schemeClr w14:val="tx1"/>
            </w14:solidFill>
          </w14:textFill>
        </w:rPr>
        <w:t>（图3：支出决算结构图）</w:t>
      </w:r>
    </w:p>
    <w:p>
      <w:pPr>
        <w:spacing w:line="600" w:lineRule="exact"/>
        <w:ind w:firstLine="640" w:firstLineChars="200"/>
        <w:outlineLvl w:val="1"/>
        <w:rPr>
          <w:rStyle w:val="27"/>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30"/>
      <w:bookmarkEnd w:id="31"/>
    </w:p>
    <w:p>
      <w:pPr>
        <w:widowControl/>
        <w:ind w:firstLine="660" w:firstLineChars="200"/>
        <w:jc w:val="left"/>
        <w:rPr>
          <w:rFonts w:eastAsia="方正仿宋_GBK"/>
          <w:color w:val="000000"/>
          <w:sz w:val="33"/>
          <w:szCs w:val="33"/>
        </w:rPr>
      </w:pPr>
      <w:r>
        <w:rPr>
          <w:rFonts w:hint="eastAsia" w:eastAsia="方正仿宋_GBK"/>
          <w:color w:val="000000"/>
          <w:sz w:val="33"/>
          <w:szCs w:val="33"/>
        </w:rPr>
        <w:t>2021年财政拨款收入总计4459.24万元，财政拨款支出总计4459.24万元。与2020年相比，财政拨款收入总计减少1183.8万元，下降20.98%，财政拨款支出总计减少1183.8万元，下降20.98%。主要变动原因是2021年减少新冠疫情防控中省资金投入。</w:t>
      </w:r>
    </w:p>
    <w:p>
      <w:pPr>
        <w:pStyle w:val="32"/>
        <w:ind w:left="0" w:leftChars="0" w:firstLine="0" w:firstLineChars="0"/>
      </w:pPr>
      <w:r>
        <w:drawing>
          <wp:inline distT="0" distB="0" distL="114300" distR="114300">
            <wp:extent cx="5270500" cy="2769235"/>
            <wp:effectExtent l="0" t="0" r="0" b="1206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a:stretch>
                      <a:fillRect/>
                    </a:stretch>
                  </pic:blipFill>
                  <pic:spPr>
                    <a:xfrm>
                      <a:off x="0" y="0"/>
                      <a:ext cx="5270500" cy="2769235"/>
                    </a:xfrm>
                    <a:prstGeom prst="rect">
                      <a:avLst/>
                    </a:prstGeom>
                    <a:noFill/>
                    <a:ln>
                      <a:noFill/>
                    </a:ln>
                  </pic:spPr>
                </pic:pic>
              </a:graphicData>
            </a:graphic>
          </wp:inline>
        </w:drawing>
      </w:r>
    </w:p>
    <w:p>
      <w:pPr>
        <w:spacing w:line="600" w:lineRule="exact"/>
        <w:jc w:val="center"/>
      </w:pPr>
      <w:r>
        <w:rPr>
          <w:rFonts w:hint="eastAsia" w:ascii="仿宋" w:hAnsi="仿宋" w:eastAsia="仿宋"/>
          <w:color w:val="000000" w:themeColor="text1"/>
          <w:sz w:val="32"/>
          <w:szCs w:val="32"/>
          <w14:textFill>
            <w14:solidFill>
              <w14:schemeClr w14:val="tx1"/>
            </w14:solidFill>
          </w14:textFill>
        </w:rPr>
        <w:t>（图4：财政拨款收、支决算总计变动情况）</w:t>
      </w:r>
    </w:p>
    <w:p>
      <w:pPr>
        <w:spacing w:line="600" w:lineRule="exact"/>
        <w:ind w:firstLine="640" w:firstLineChars="200"/>
        <w:outlineLvl w:val="1"/>
        <w:rPr>
          <w:rStyle w:val="27"/>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widowControl/>
        <w:ind w:firstLine="660" w:firstLineChars="200"/>
        <w:jc w:val="left"/>
        <w:rPr>
          <w:rFonts w:eastAsia="方正仿宋_GBK"/>
          <w:color w:val="000000"/>
          <w:sz w:val="33"/>
          <w:szCs w:val="33"/>
        </w:rPr>
      </w:pPr>
      <w:r>
        <w:rPr>
          <w:rFonts w:hint="eastAsia" w:eastAsia="方正仿宋_GBK"/>
          <w:color w:val="000000"/>
          <w:sz w:val="33"/>
          <w:szCs w:val="33"/>
        </w:rPr>
        <w:t>2021年一般公共预算财政拨款支出2558.27万元，占本年支出合计的57.37%。与2020年相比，一般公共预算财政拨款增加912.17万元，增长55.41%。</w:t>
      </w:r>
    </w:p>
    <w:p>
      <w:pPr>
        <w:widowControl/>
        <w:ind w:firstLine="660" w:firstLineChars="200"/>
        <w:jc w:val="left"/>
        <w:rPr>
          <w:rFonts w:ascii="仿宋" w:hAnsi="仿宋" w:eastAsia="仿宋"/>
          <w:color w:val="000000" w:themeColor="text1"/>
          <w:sz w:val="32"/>
          <w:szCs w:val="32"/>
          <w14:textFill>
            <w14:solidFill>
              <w14:schemeClr w14:val="tx1"/>
            </w14:solidFill>
          </w14:textFill>
        </w:rPr>
      </w:pPr>
      <w:r>
        <w:rPr>
          <w:rFonts w:hint="eastAsia" w:eastAsia="方正仿宋_GBK"/>
          <w:color w:val="000000"/>
          <w:sz w:val="33"/>
          <w:szCs w:val="33"/>
        </w:rPr>
        <w:t>主要变动原因是2021年增加艾滋病防治、会议消杀及公共卫生体系设备购置支出。</w:t>
      </w:r>
    </w:p>
    <w:p>
      <w:pPr>
        <w:pStyle w:val="32"/>
        <w:ind w:left="0" w:leftChars="0" w:firstLine="0" w:firstLineChars="0"/>
        <w:rPr>
          <w:rFonts w:ascii="仿宋" w:hAnsi="仿宋" w:eastAsia="仿宋"/>
          <w:color w:val="000000" w:themeColor="text1"/>
          <w:sz w:val="32"/>
          <w:szCs w:val="32"/>
          <w14:textFill>
            <w14:solidFill>
              <w14:schemeClr w14:val="tx1"/>
            </w14:solidFill>
          </w14:textFill>
        </w:rPr>
      </w:pPr>
      <w:r>
        <w:drawing>
          <wp:inline distT="0" distB="0" distL="114300" distR="114300">
            <wp:extent cx="5270500" cy="3140075"/>
            <wp:effectExtent l="0" t="0" r="0" b="31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5270500" cy="3140075"/>
                    </a:xfrm>
                    <a:prstGeom prst="rect">
                      <a:avLst/>
                    </a:prstGeom>
                    <a:noFill/>
                    <a:ln>
                      <a:noFill/>
                    </a:ln>
                  </pic:spPr>
                </pic:pic>
              </a:graphicData>
            </a:graphic>
          </wp:inline>
        </w:drawing>
      </w: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w:t>
      </w: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eastAsia="方正仿宋_GBK"/>
          <w:color w:val="000000"/>
          <w:sz w:val="33"/>
          <w:szCs w:val="33"/>
        </w:rPr>
      </w:pPr>
      <w:r>
        <w:rPr>
          <w:rFonts w:hint="eastAsia" w:eastAsia="方正仿宋_GBK"/>
          <w:color w:val="000000"/>
          <w:sz w:val="33"/>
          <w:szCs w:val="33"/>
        </w:rPr>
        <w:t>2021年一般公共预算财政拨款支出2558.27万元，主要用于以下方面:</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eastAsia="方正仿宋_GBK"/>
          <w:color w:val="000000"/>
          <w:sz w:val="33"/>
          <w:szCs w:val="33"/>
        </w:rPr>
        <w:t>支出66.43万元，占2.60%；</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b/>
          <w:color w:val="000000" w:themeColor="text1"/>
          <w:sz w:val="32"/>
          <w:szCs w:val="32"/>
          <w14:textFill>
            <w14:solidFill>
              <w14:schemeClr w14:val="tx1"/>
            </w14:solidFill>
          </w14:textFill>
        </w:rPr>
        <w:t>（类）</w:t>
      </w:r>
      <w:r>
        <w:rPr>
          <w:rFonts w:hint="eastAsia" w:eastAsia="方正仿宋_GBK"/>
          <w:color w:val="000000"/>
          <w:sz w:val="33"/>
          <w:szCs w:val="33"/>
        </w:rPr>
        <w:t>2491.84万元，占97.4%。</w:t>
      </w:r>
    </w:p>
    <w:p>
      <w:pPr>
        <w:rPr>
          <w:rFonts w:ascii="仿宋" w:hAnsi="仿宋" w:eastAsia="仿宋"/>
          <w:color w:val="000000" w:themeColor="text1"/>
          <w:sz w:val="32"/>
          <w:szCs w:val="32"/>
          <w14:textFill>
            <w14:solidFill>
              <w14:schemeClr w14:val="tx1"/>
            </w14:solidFill>
          </w14:textFill>
        </w:rPr>
      </w:pPr>
      <w:r>
        <w:drawing>
          <wp:inline distT="0" distB="0" distL="114300" distR="114300">
            <wp:extent cx="5273040" cy="2306955"/>
            <wp:effectExtent l="0" t="0" r="0" b="171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1"/>
                    <a:stretch>
                      <a:fillRect/>
                    </a:stretch>
                  </pic:blipFill>
                  <pic:spPr>
                    <a:xfrm>
                      <a:off x="0" y="0"/>
                      <a:ext cx="5273040" cy="2306955"/>
                    </a:xfrm>
                    <a:prstGeom prst="rect">
                      <a:avLst/>
                    </a:prstGeom>
                    <a:noFill/>
                    <a:ln>
                      <a:noFill/>
                    </a:ln>
                  </pic:spPr>
                </pic:pic>
              </a:graphicData>
            </a:graphic>
          </wp:inline>
        </w:drawing>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w:t>
      </w: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14:textFill>
            <w14:solidFill>
              <w14:schemeClr w14:val="tx1"/>
            </w14:solidFill>
          </w14:textFill>
        </w:rPr>
        <w:t>2021年一般公共预算支出决算数为2558.27</w:t>
      </w:r>
      <w:r>
        <w:rPr>
          <w:rFonts w:hint="eastAsia" w:ascii="仿宋" w:hAnsi="仿宋" w:eastAsia="仿宋"/>
          <w:color w:val="000000" w:themeColor="text1"/>
          <w:sz w:val="32"/>
          <w:szCs w:val="32"/>
          <w14:textFill>
            <w14:solidFill>
              <w14:schemeClr w14:val="tx1"/>
            </w14:solidFill>
          </w14:textFill>
        </w:rPr>
        <w:t>，</w:t>
      </w:r>
      <w:r>
        <w:rPr>
          <w:rStyle w:val="16"/>
          <w:rFonts w:hint="eastAsia" w:ascii="仿宋" w:hAnsi="仿宋" w:eastAsia="仿宋"/>
          <w:bCs/>
          <w:color w:val="000000" w:themeColor="text1"/>
          <w:sz w:val="32"/>
          <w:szCs w:val="32"/>
          <w14:textFill>
            <w14:solidFill>
              <w14:schemeClr w14:val="tx1"/>
            </w14:solidFill>
          </w14:textFill>
        </w:rPr>
        <w:t>完成</w:t>
      </w:r>
      <w:r>
        <w:rPr>
          <w:rStyle w:val="16"/>
          <w:rFonts w:hint="eastAsia" w:ascii="仿宋" w:hAnsi="仿宋" w:eastAsia="仿宋"/>
          <w:bCs/>
          <w:color w:val="000000"/>
          <w:sz w:val="32"/>
          <w:szCs w:val="32"/>
        </w:rPr>
        <w:t>预算100</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。其中：</w:t>
      </w:r>
      <w:bookmarkEnd w:id="37"/>
      <w:bookmarkEnd w:id="38"/>
      <w:bookmarkEnd w:id="39"/>
    </w:p>
    <w:p>
      <w:pPr>
        <w:spacing w:line="590" w:lineRule="exact"/>
        <w:ind w:firstLine="642" w:firstLineChars="200"/>
        <w:rPr>
          <w:rFonts w:eastAsia="方正仿宋_GBK"/>
          <w:color w:val="000000"/>
          <w:sz w:val="33"/>
          <w:szCs w:val="33"/>
        </w:rPr>
      </w:pPr>
      <w:r>
        <w:rPr>
          <w:rStyle w:val="16"/>
          <w:rFonts w:ascii="仿宋" w:hAnsi="仿宋" w:eastAsia="仿宋"/>
          <w:bCs/>
          <w:color w:val="000000"/>
          <w:sz w:val="32"/>
          <w:szCs w:val="32"/>
        </w:rPr>
        <w:t>1.</w:t>
      </w:r>
      <w:r>
        <w:rPr>
          <w:rFonts w:hint="eastAsia" w:eastAsia="方正仿宋_GBK"/>
          <w:b/>
          <w:bCs/>
          <w:color w:val="000000"/>
          <w:sz w:val="33"/>
          <w:szCs w:val="33"/>
        </w:rPr>
        <w:t>社会保障和就业（类）行政事业单位离退休（款）机关事业单位基本养老保险缴费支出（项）：</w:t>
      </w:r>
      <w:r>
        <w:rPr>
          <w:rFonts w:hint="eastAsia" w:eastAsia="方正仿宋_GBK"/>
          <w:color w:val="000000"/>
          <w:sz w:val="33"/>
          <w:szCs w:val="33"/>
        </w:rPr>
        <w:t>支出决算为66.43万元，完成预算100%，决算数等于预算数，主要原因是按照预算执行支出</w:t>
      </w:r>
      <w:r>
        <w:rPr>
          <w:rFonts w:eastAsia="方正仿宋_GBK"/>
          <w:color w:val="000000"/>
          <w:sz w:val="33"/>
          <w:szCs w:val="33"/>
        </w:rPr>
        <w:t>。</w:t>
      </w:r>
    </w:p>
    <w:p>
      <w:pPr>
        <w:spacing w:line="590" w:lineRule="exact"/>
        <w:ind w:firstLine="642" w:firstLineChars="200"/>
        <w:rPr>
          <w:rFonts w:eastAsia="方正仿宋_GBK"/>
          <w:color w:val="000000"/>
          <w:sz w:val="33"/>
          <w:szCs w:val="33"/>
        </w:rPr>
      </w:pPr>
      <w:r>
        <w:rPr>
          <w:rStyle w:val="16"/>
          <w:rFonts w:hint="eastAsia" w:ascii="仿宋" w:hAnsi="仿宋" w:eastAsia="仿宋"/>
          <w:bCs/>
          <w:color w:val="000000"/>
          <w:sz w:val="32"/>
          <w:szCs w:val="32"/>
        </w:rPr>
        <w:t>2.</w:t>
      </w:r>
      <w:r>
        <w:rPr>
          <w:rFonts w:hint="eastAsia" w:eastAsia="方正仿宋_GBK"/>
          <w:b/>
          <w:bCs/>
          <w:color w:val="000000"/>
          <w:sz w:val="33"/>
          <w:szCs w:val="33"/>
        </w:rPr>
        <w:t>卫生健康支出（类）公共卫生（款）疾病预防控制机构（项）:</w:t>
      </w:r>
      <w:r>
        <w:rPr>
          <w:rFonts w:hint="eastAsia" w:eastAsia="方正仿宋_GBK"/>
          <w:color w:val="000000"/>
          <w:sz w:val="33"/>
          <w:szCs w:val="33"/>
        </w:rPr>
        <w:t>支出决算为667.49万元，完成预算100%，决算数等于预算数，主要原因是按照预算执行支出</w:t>
      </w:r>
      <w:r>
        <w:rPr>
          <w:rFonts w:eastAsia="方正仿宋_GBK"/>
          <w:color w:val="000000"/>
          <w:sz w:val="33"/>
          <w:szCs w:val="33"/>
        </w:rPr>
        <w:t>。</w:t>
      </w:r>
    </w:p>
    <w:p>
      <w:pPr>
        <w:spacing w:line="590" w:lineRule="exact"/>
        <w:ind w:firstLine="662" w:firstLineChars="200"/>
        <w:rPr>
          <w:rFonts w:eastAsia="方正仿宋_GBK"/>
          <w:color w:val="000000"/>
          <w:sz w:val="33"/>
          <w:szCs w:val="33"/>
        </w:rPr>
      </w:pPr>
      <w:r>
        <w:rPr>
          <w:rFonts w:hint="eastAsia" w:eastAsia="方正仿宋_GBK"/>
          <w:b/>
          <w:bCs/>
          <w:color w:val="000000"/>
          <w:sz w:val="33"/>
          <w:szCs w:val="33"/>
        </w:rPr>
        <w:t>3.卫生健康支出（类）公共卫生（款）基本公共卫生服务（项）:</w:t>
      </w:r>
      <w:r>
        <w:rPr>
          <w:rFonts w:hint="eastAsia" w:eastAsia="方正仿宋_GBK"/>
          <w:color w:val="000000"/>
          <w:sz w:val="33"/>
          <w:szCs w:val="33"/>
        </w:rPr>
        <w:t>支出决算为331.96万元，完成预算100%，决算数等于预算数，主要原因是按照预算执行支出</w:t>
      </w:r>
      <w:r>
        <w:rPr>
          <w:rFonts w:eastAsia="方正仿宋_GBK"/>
          <w:color w:val="000000"/>
          <w:sz w:val="33"/>
          <w:szCs w:val="33"/>
        </w:rPr>
        <w:t>。</w:t>
      </w:r>
    </w:p>
    <w:p>
      <w:pPr>
        <w:spacing w:line="590" w:lineRule="exact"/>
        <w:ind w:firstLine="662" w:firstLineChars="200"/>
        <w:rPr>
          <w:rFonts w:eastAsia="方正仿宋_GBK"/>
          <w:color w:val="000000"/>
          <w:sz w:val="33"/>
          <w:szCs w:val="33"/>
        </w:rPr>
      </w:pPr>
      <w:r>
        <w:rPr>
          <w:rFonts w:hint="eastAsia" w:eastAsia="方正仿宋_GBK"/>
          <w:b/>
          <w:bCs/>
          <w:color w:val="000000"/>
          <w:sz w:val="33"/>
          <w:szCs w:val="33"/>
        </w:rPr>
        <w:t>4.卫生健康支出（类）公共卫生（款）重大公共卫生专项（项）:</w:t>
      </w:r>
      <w:r>
        <w:rPr>
          <w:rFonts w:hint="eastAsia" w:eastAsia="方正仿宋_GBK"/>
          <w:color w:val="000000"/>
          <w:sz w:val="33"/>
          <w:szCs w:val="33"/>
        </w:rPr>
        <w:t>支出决算为353.84万元，完成预算100%，决算数等于预算数，主要原因是按照预算执行支出</w:t>
      </w:r>
      <w:r>
        <w:rPr>
          <w:rFonts w:eastAsia="方正仿宋_GBK"/>
          <w:color w:val="000000"/>
          <w:sz w:val="33"/>
          <w:szCs w:val="33"/>
        </w:rPr>
        <w:t>。</w:t>
      </w:r>
    </w:p>
    <w:p>
      <w:pPr>
        <w:spacing w:line="590" w:lineRule="exact"/>
        <w:ind w:firstLine="662" w:firstLineChars="200"/>
        <w:rPr>
          <w:rFonts w:eastAsia="方正仿宋_GBK"/>
          <w:color w:val="000000"/>
          <w:sz w:val="33"/>
          <w:szCs w:val="33"/>
        </w:rPr>
      </w:pPr>
      <w:r>
        <w:rPr>
          <w:rFonts w:hint="eastAsia" w:eastAsia="方正仿宋_GBK"/>
          <w:b/>
          <w:bCs/>
          <w:color w:val="000000"/>
          <w:sz w:val="33"/>
          <w:szCs w:val="33"/>
        </w:rPr>
        <w:t>5.卫生健康支出（类）公共卫生（款）突发公共卫生事件应急处理（项）:</w:t>
      </w:r>
      <w:r>
        <w:rPr>
          <w:rFonts w:hint="eastAsia" w:eastAsia="方正仿宋_GBK"/>
          <w:color w:val="000000"/>
          <w:sz w:val="33"/>
          <w:szCs w:val="33"/>
        </w:rPr>
        <w:t>支出决算为172.04万元，完成预算100%，决算数等于预算数，主要原因是按照预算执行支出</w:t>
      </w:r>
      <w:r>
        <w:rPr>
          <w:rFonts w:eastAsia="方正仿宋_GBK"/>
          <w:color w:val="000000"/>
          <w:sz w:val="33"/>
          <w:szCs w:val="33"/>
        </w:rPr>
        <w:t>。</w:t>
      </w:r>
    </w:p>
    <w:p>
      <w:pPr>
        <w:spacing w:line="600" w:lineRule="exact"/>
        <w:ind w:firstLine="640"/>
        <w:rPr>
          <w:rFonts w:eastAsia="方正仿宋_GBK"/>
          <w:color w:val="000000"/>
          <w:sz w:val="33"/>
          <w:szCs w:val="33"/>
        </w:rPr>
      </w:pPr>
      <w:r>
        <w:rPr>
          <w:rFonts w:hint="eastAsia" w:eastAsia="方正仿宋_GBK"/>
          <w:b/>
          <w:bCs/>
          <w:color w:val="000000"/>
          <w:sz w:val="33"/>
          <w:szCs w:val="33"/>
        </w:rPr>
        <w:t>6.卫生健康支出（类）公共卫生（款）其他公共卫生支出（项）:</w:t>
      </w:r>
      <w:r>
        <w:rPr>
          <w:rFonts w:hint="eastAsia" w:eastAsia="方正仿宋_GBK"/>
          <w:color w:val="000000"/>
          <w:sz w:val="33"/>
          <w:szCs w:val="33"/>
        </w:rPr>
        <w:t>支出决算为22.59万元，完成预算100%，决算数等于预算数，主要原因是按照预算执行支出</w:t>
      </w:r>
      <w:r>
        <w:rPr>
          <w:rFonts w:eastAsia="方正仿宋_GBK"/>
          <w:color w:val="000000"/>
          <w:sz w:val="33"/>
          <w:szCs w:val="33"/>
        </w:rPr>
        <w:t>。</w:t>
      </w:r>
    </w:p>
    <w:p>
      <w:pPr>
        <w:spacing w:line="590" w:lineRule="exact"/>
        <w:ind w:firstLine="662" w:firstLineChars="200"/>
        <w:rPr>
          <w:rFonts w:eastAsia="方正仿宋_GBK"/>
          <w:color w:val="000000"/>
          <w:sz w:val="33"/>
          <w:szCs w:val="33"/>
        </w:rPr>
      </w:pPr>
      <w:r>
        <w:rPr>
          <w:rFonts w:hint="eastAsia" w:eastAsia="方正仿宋_GBK"/>
          <w:b/>
          <w:bCs/>
          <w:color w:val="000000"/>
          <w:sz w:val="33"/>
          <w:szCs w:val="33"/>
        </w:rPr>
        <w:t>7.卫生健康支出（类）行政事业单位医疗（款）事业单位医疗（项）:</w:t>
      </w:r>
      <w:r>
        <w:rPr>
          <w:rFonts w:hint="eastAsia" w:eastAsia="方正仿宋_GBK"/>
          <w:color w:val="000000"/>
          <w:sz w:val="33"/>
          <w:szCs w:val="33"/>
        </w:rPr>
        <w:t>支出决算为29.74万元，完成预算100%，决算数等于预算数，主要原因是按照预算执行支出</w:t>
      </w:r>
      <w:r>
        <w:rPr>
          <w:rFonts w:eastAsia="方正仿宋_GBK"/>
          <w:color w:val="000000"/>
          <w:sz w:val="33"/>
          <w:szCs w:val="33"/>
        </w:rPr>
        <w:t>。</w:t>
      </w:r>
    </w:p>
    <w:p>
      <w:pPr>
        <w:spacing w:line="590" w:lineRule="exact"/>
        <w:ind w:firstLine="662" w:firstLineChars="200"/>
        <w:rPr>
          <w:rFonts w:eastAsia="方正仿宋_GBK"/>
          <w:color w:val="000000"/>
          <w:sz w:val="33"/>
          <w:szCs w:val="33"/>
        </w:rPr>
      </w:pPr>
      <w:r>
        <w:rPr>
          <w:rFonts w:hint="eastAsia" w:eastAsia="方正仿宋_GBK"/>
          <w:b/>
          <w:bCs/>
          <w:color w:val="000000"/>
          <w:sz w:val="33"/>
          <w:szCs w:val="33"/>
        </w:rPr>
        <w:t>8.卫生健康支出（类）其他卫生健康支出（款）其他卫生健康支出（项）:</w:t>
      </w:r>
      <w:r>
        <w:rPr>
          <w:rFonts w:hint="eastAsia" w:eastAsia="方正仿宋_GBK"/>
          <w:color w:val="000000"/>
          <w:sz w:val="33"/>
          <w:szCs w:val="33"/>
        </w:rPr>
        <w:t>支出决算为914.18万元，完成预算100%，决算数等于预算数，主要原因是按照预算执行支出</w:t>
      </w:r>
      <w:r>
        <w:rPr>
          <w:rFonts w:eastAsia="方正仿宋_GBK"/>
          <w:color w:val="000000"/>
          <w:sz w:val="33"/>
          <w:szCs w:val="33"/>
        </w:rPr>
        <w:t>。</w:t>
      </w:r>
    </w:p>
    <w:p>
      <w:pPr>
        <w:tabs>
          <w:tab w:val="right" w:pos="8306"/>
        </w:tabs>
        <w:spacing w:line="600" w:lineRule="exact"/>
        <w:ind w:firstLine="640"/>
        <w:outlineLvl w:val="1"/>
        <w:rPr>
          <w:rStyle w:val="27"/>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40"/>
      <w:bookmarkEnd w:id="41"/>
      <w:r>
        <w:rPr>
          <w:rStyle w:val="27"/>
          <w:rFonts w:ascii="黑体" w:hAnsi="黑体" w:eastAsia="黑体"/>
          <w:b w:val="0"/>
        </w:rPr>
        <w:tab/>
      </w:r>
    </w:p>
    <w:p>
      <w:pPr>
        <w:spacing w:line="600" w:lineRule="exact"/>
        <w:ind w:firstLine="660" w:firstLineChars="200"/>
        <w:rPr>
          <w:rFonts w:eastAsia="方正仿宋_GBK"/>
          <w:color w:val="000000"/>
          <w:sz w:val="33"/>
          <w:szCs w:val="33"/>
        </w:rPr>
      </w:pPr>
      <w:r>
        <w:rPr>
          <w:rFonts w:hint="eastAsia" w:eastAsia="方正仿宋_GBK"/>
          <w:color w:val="000000"/>
          <w:sz w:val="33"/>
          <w:szCs w:val="33"/>
        </w:rPr>
        <w:t>2021年一般公共预算财政拨款基本支出738.16万元，其中：</w:t>
      </w:r>
    </w:p>
    <w:p>
      <w:pPr>
        <w:spacing w:line="600" w:lineRule="exact"/>
        <w:ind w:firstLine="660" w:firstLineChars="200"/>
      </w:pPr>
      <w:r>
        <w:rPr>
          <w:rFonts w:hint="eastAsia" w:eastAsia="方正仿宋_GBK"/>
          <w:color w:val="000000"/>
          <w:sz w:val="33"/>
          <w:szCs w:val="33"/>
        </w:rPr>
        <w:t>人员经费608.85万元，主要包括：基本工资、津贴补贴、奖金、绩效工资、机关事业单位基本养老保险缴费、其他社会保障缴费、生活补助、奖励金、其他对个人和家庭的补助支出等。</w:t>
      </w:r>
      <w:r>
        <w:rPr>
          <w:rFonts w:hint="eastAsia" w:eastAsia="方正仿宋_GBK"/>
          <w:color w:val="000000"/>
          <w:sz w:val="33"/>
          <w:szCs w:val="33"/>
        </w:rPr>
        <w:br w:type="textWrapping"/>
      </w:r>
      <w:r>
        <w:rPr>
          <w:rFonts w:hint="eastAsia" w:eastAsia="方正仿宋_GBK"/>
          <w:color w:val="000000"/>
          <w:sz w:val="33"/>
          <w:szCs w:val="33"/>
        </w:rPr>
        <w:t>　　日常公用经费129.31万元，主要包括：办公费、印刷费、水费、电费、邮电费、物业管理费、差旅费、维修（护）费、会议费、培训费、公务接待费、劳务费、工会经费、福利费、公务用车运行维护费、其他商品和服务支出、办公设备购置等。</w:t>
      </w:r>
    </w:p>
    <w:p>
      <w:pPr>
        <w:numPr>
          <w:ilvl w:val="0"/>
          <w:numId w:val="2"/>
        </w:numPr>
        <w:spacing w:line="600" w:lineRule="exact"/>
        <w:ind w:firstLine="640"/>
        <w:rPr>
          <w:rStyle w:val="27"/>
          <w:rFonts w:ascii="黑体" w:hAnsi="黑体" w:eastAsia="黑体"/>
          <w:b w:val="0"/>
        </w:rPr>
      </w:pPr>
      <w:r>
        <w:rPr>
          <w:rFonts w:hint="eastAsia" w:ascii="黑体" w:hAnsi="黑体" w:eastAsia="黑体"/>
          <w:bCs/>
          <w:color w:val="000000"/>
          <w:sz w:val="32"/>
          <w:szCs w:val="32"/>
        </w:rPr>
        <w:t>一</w:t>
      </w:r>
      <w:r>
        <w:rPr>
          <w:rStyle w:val="27"/>
          <w:rFonts w:hint="eastAsia" w:ascii="黑体" w:hAnsi="黑体" w:eastAsia="黑体"/>
          <w:b w:val="0"/>
        </w:rPr>
        <w:t>般公共预算财政拨款项目支出决算情况说明</w:t>
      </w:r>
    </w:p>
    <w:p>
      <w:pPr>
        <w:spacing w:line="600" w:lineRule="exact"/>
        <w:ind w:firstLine="640"/>
        <w:rPr>
          <w:rFonts w:eastAsia="方正仿宋_GBK"/>
          <w:color w:val="000000"/>
          <w:sz w:val="33"/>
          <w:szCs w:val="33"/>
        </w:rPr>
      </w:pPr>
      <w:r>
        <w:rPr>
          <w:rFonts w:hint="eastAsia" w:eastAsia="方正仿宋_GBK"/>
          <w:color w:val="000000"/>
          <w:sz w:val="33"/>
          <w:szCs w:val="33"/>
        </w:rPr>
        <w:t>2021年一般公共预算财政拨款项目支出1820.11万元，其中：</w:t>
      </w:r>
    </w:p>
    <w:p>
      <w:pPr>
        <w:spacing w:line="600" w:lineRule="exact"/>
        <w:ind w:firstLine="640"/>
        <w:rPr>
          <w:rFonts w:eastAsia="方正仿宋_GBK"/>
          <w:color w:val="000000"/>
          <w:sz w:val="33"/>
          <w:szCs w:val="33"/>
        </w:rPr>
      </w:pPr>
      <w:r>
        <w:rPr>
          <w:rFonts w:hint="eastAsia" w:eastAsia="方正仿宋_GBK"/>
          <w:color w:val="000000"/>
          <w:sz w:val="33"/>
          <w:szCs w:val="33"/>
        </w:rPr>
        <w:t>职业病资质申请设备购置项目支出25.5万元，主要用于：项目经费支出25.5万元，为专用设备购置支出。</w:t>
      </w:r>
    </w:p>
    <w:p>
      <w:pPr>
        <w:spacing w:line="600" w:lineRule="exact"/>
        <w:ind w:firstLine="640"/>
        <w:rPr>
          <w:rFonts w:eastAsia="方正仿宋_GBK"/>
          <w:color w:val="000000"/>
          <w:sz w:val="33"/>
          <w:szCs w:val="33"/>
        </w:rPr>
      </w:pPr>
      <w:r>
        <w:rPr>
          <w:rFonts w:hint="eastAsia" w:eastAsia="方正仿宋_GBK"/>
          <w:color w:val="000000"/>
          <w:sz w:val="33"/>
          <w:szCs w:val="33"/>
        </w:rPr>
        <w:t>食风、水质等基本公共卫生服务项目支出331.96万元，主要用于：项目经费支出331.96万元，包括办公费、印刷费、电费、邮电费、差旅费、维修（护）费、培训费、专用材料费、劳务费、委托业务费、公务用车运行维护费、其他交通费、其他商品和服务支出、办公设备购置、专用设备购置等。</w:t>
      </w:r>
    </w:p>
    <w:p>
      <w:pPr>
        <w:spacing w:line="600" w:lineRule="exact"/>
        <w:ind w:firstLine="640"/>
        <w:rPr>
          <w:rFonts w:eastAsia="方正仿宋_GBK"/>
          <w:color w:val="000000"/>
          <w:sz w:val="33"/>
          <w:szCs w:val="33"/>
        </w:rPr>
      </w:pPr>
      <w:r>
        <w:rPr>
          <w:rFonts w:hint="eastAsia" w:eastAsia="方正仿宋_GBK"/>
          <w:color w:val="000000"/>
          <w:sz w:val="33"/>
          <w:szCs w:val="33"/>
        </w:rPr>
        <w:t>艾滋、结核等重大公共卫生项目支出353.84万元，主要用于：项目经费支出353.84万元，包括办公费、电费、邮电费、差旅费、维修（护）费、培训费、专用材料费、劳务费、公务用车运行维护费、其他交通费、其他商品和服务支出、办公设备购置、专用设备购置等。</w:t>
      </w:r>
    </w:p>
    <w:p>
      <w:pPr>
        <w:spacing w:line="600" w:lineRule="exact"/>
        <w:ind w:firstLine="640"/>
        <w:rPr>
          <w:rFonts w:eastAsia="方正仿宋_GBK"/>
          <w:color w:val="000000"/>
          <w:sz w:val="33"/>
          <w:szCs w:val="33"/>
        </w:rPr>
      </w:pPr>
      <w:r>
        <w:rPr>
          <w:rFonts w:hint="eastAsia" w:eastAsia="方正仿宋_GBK"/>
          <w:color w:val="000000"/>
          <w:sz w:val="33"/>
          <w:szCs w:val="33"/>
        </w:rPr>
        <w:t>新冠、两会及重大活动消杀等项目支出172.04万元，主要用于：项目人员支出21.74万元，包含其他工资福利支出；项目经费支出150.3万元，包括印刷费、电费、差旅费、因公出国（境）费用、维修（护）费、专用材料费、劳务费、委托业务费、公务用车运行维护费、其他交通费、其他商品和服务支出、办公设备购置、专用设备购置等。</w:t>
      </w:r>
    </w:p>
    <w:p>
      <w:pPr>
        <w:spacing w:line="600" w:lineRule="exact"/>
        <w:ind w:firstLine="640"/>
        <w:rPr>
          <w:rFonts w:eastAsia="方正仿宋_GBK"/>
          <w:color w:val="000000"/>
          <w:sz w:val="33"/>
          <w:szCs w:val="33"/>
        </w:rPr>
      </w:pPr>
      <w:r>
        <w:rPr>
          <w:rFonts w:hint="eastAsia" w:eastAsia="方正仿宋_GBK"/>
          <w:color w:val="000000"/>
          <w:sz w:val="33"/>
          <w:szCs w:val="33"/>
        </w:rPr>
        <w:t>传染病报告等市级项目支出22.59万元，主要用于：项目经费支出22.59万元，包括办公费、电费、维修（护）费、劳务费、公务用车运行维护费、其他交通费等。</w:t>
      </w:r>
    </w:p>
    <w:p>
      <w:pPr>
        <w:spacing w:line="600" w:lineRule="exact"/>
        <w:ind w:firstLine="640"/>
      </w:pPr>
      <w:r>
        <w:rPr>
          <w:rFonts w:hint="eastAsia" w:eastAsia="方正仿宋_GBK"/>
          <w:color w:val="000000"/>
          <w:sz w:val="33"/>
          <w:szCs w:val="33"/>
        </w:rPr>
        <w:t>公共卫生体系建设设备购置支出项目支出914.18万元，主要用于：项目经费支出914.18万元，包括办差旅费、培训费、专用材料费、劳务费、其他商品和服务支出、专用设备购置等。</w:t>
      </w:r>
    </w:p>
    <w:p>
      <w:pPr>
        <w:spacing w:line="600" w:lineRule="exact"/>
        <w:ind w:firstLine="640"/>
        <w:outlineLvl w:val="1"/>
        <w:rPr>
          <w:rStyle w:val="27"/>
          <w:rFonts w:ascii="黑体" w:hAnsi="黑体" w:eastAsia="黑体"/>
          <w:b w:val="0"/>
        </w:rPr>
      </w:pPr>
      <w:bookmarkStart w:id="42" w:name="_Toc15396609"/>
      <w:bookmarkStart w:id="43" w:name="_Toc15377215"/>
      <w:r>
        <w:rPr>
          <w:rFonts w:hint="eastAsia" w:ascii="黑体" w:eastAsia="黑体"/>
          <w:color w:val="000000"/>
          <w:sz w:val="32"/>
          <w:szCs w:val="32"/>
        </w:rPr>
        <w:t>八、</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eastAsia="方正仿宋_GBK"/>
          <w:color w:val="000000"/>
          <w:sz w:val="33"/>
          <w:szCs w:val="33"/>
        </w:rPr>
      </w:pPr>
      <w:r>
        <w:rPr>
          <w:rFonts w:hint="eastAsia" w:eastAsia="方正仿宋_GBK"/>
          <w:color w:val="000000"/>
          <w:sz w:val="33"/>
          <w:szCs w:val="33"/>
        </w:rPr>
        <w:t>2021年“三公”经费财政拨款支出决算为20.71万元，完成预算92.3</w:t>
      </w:r>
      <w:r>
        <w:rPr>
          <w:rFonts w:hint="eastAsia" w:eastAsia="方正仿宋_GBK"/>
          <w:sz w:val="33"/>
          <w:szCs w:val="33"/>
        </w:rPr>
        <w:t>7%，比2020年增加4.35万元，增长26.59%，主要原因是2021年项目工作增加，督导、培训及采样等工作增加，用车次</w:t>
      </w:r>
      <w:r>
        <w:rPr>
          <w:rFonts w:hint="eastAsia" w:eastAsia="方正仿宋_GBK"/>
          <w:color w:val="000000"/>
          <w:sz w:val="33"/>
          <w:szCs w:val="33"/>
        </w:rPr>
        <w:t>数增多，公务用车运行维护费同步增加。决算数小于预算数的主要原因是受疫情影响，2021年公务接待次数减少。</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eastAsia="方正仿宋_GBK"/>
          <w:color w:val="000000"/>
          <w:sz w:val="33"/>
          <w:szCs w:val="33"/>
        </w:rPr>
      </w:pPr>
      <w:r>
        <w:rPr>
          <w:rFonts w:hint="eastAsia" w:eastAsia="方正仿宋_GBK"/>
          <w:sz w:val="33"/>
          <w:szCs w:val="33"/>
        </w:rPr>
        <w:t>2021年“三公”经费财政拨款支出20.71</w:t>
      </w:r>
      <w:r>
        <w:rPr>
          <w:rFonts w:hint="eastAsia" w:ascii="仿宋_GB2312" w:eastAsia="仿宋_GB2312"/>
          <w:sz w:val="32"/>
          <w:szCs w:val="32"/>
        </w:rPr>
        <w:t>万元</w:t>
      </w:r>
      <w:r>
        <w:rPr>
          <w:rFonts w:hint="eastAsia" w:eastAsia="方正仿宋_GBK"/>
          <w:sz w:val="33"/>
          <w:szCs w:val="33"/>
        </w:rPr>
        <w:t>，比2020年增加4.35万元，增长26.59%，主要原因是2021年项目工作增加，督导、培训及采样等工作增加，用车次数增多，公务用车运行维护费同步增加</w:t>
      </w:r>
      <w:r>
        <w:rPr>
          <w:rFonts w:hint="eastAsia" w:ascii="仿宋" w:hAnsi="仿宋" w:eastAsia="仿宋"/>
          <w:sz w:val="32"/>
          <w:szCs w:val="32"/>
        </w:rPr>
        <w:t>。其中：</w:t>
      </w:r>
      <w:r>
        <w:rPr>
          <w:rFonts w:hint="eastAsia" w:eastAsia="方正仿宋_GBK"/>
          <w:sz w:val="33"/>
          <w:szCs w:val="33"/>
        </w:rPr>
        <w:t>因公出国（境）费支出决算0万元，占0%；公务用车购置及运行维护费支出</w:t>
      </w:r>
      <w:r>
        <w:rPr>
          <w:rFonts w:hint="eastAsia" w:eastAsia="方正仿宋_GBK"/>
          <w:color w:val="000000"/>
          <w:sz w:val="33"/>
          <w:szCs w:val="33"/>
        </w:rPr>
        <w:t>决算19.42万元，占93.77%；公务接待费支出决算1.29万元，占6.23%。具体情况如下：</w:t>
      </w:r>
    </w:p>
    <w:p>
      <w:pPr>
        <w:pStyle w:val="12"/>
        <w:ind w:left="0" w:leftChars="0" w:firstLine="0" w:firstLineChars="0"/>
        <w:jc w:val="center"/>
        <w:rPr>
          <w:rFonts w:ascii="仿宋" w:hAnsi="仿宋" w:eastAsia="仿宋"/>
          <w:color w:val="000000"/>
          <w:sz w:val="32"/>
          <w:szCs w:val="32"/>
        </w:rPr>
      </w:pPr>
      <w:r>
        <w:drawing>
          <wp:inline distT="0" distB="0" distL="114300" distR="114300">
            <wp:extent cx="5273675" cy="2296160"/>
            <wp:effectExtent l="0" t="0" r="0" b="889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2"/>
                    <a:stretch>
                      <a:fillRect/>
                    </a:stretch>
                  </pic:blipFill>
                  <pic:spPr>
                    <a:xfrm>
                      <a:off x="0" y="0"/>
                      <a:ext cx="5273675" cy="2296160"/>
                    </a:xfrm>
                    <a:prstGeom prst="rect">
                      <a:avLst/>
                    </a:prstGeom>
                    <a:noFill/>
                    <a:ln>
                      <a:noFill/>
                    </a:ln>
                  </pic:spPr>
                </pic:pic>
              </a:graphicData>
            </a:graphic>
          </wp:inline>
        </w:drawing>
      </w:r>
      <w:r>
        <w:rPr>
          <w:rFonts w:hint="eastAsia" w:ascii="仿宋" w:hAnsi="仿宋" w:eastAsia="仿宋"/>
          <w:color w:val="000000"/>
          <w:sz w:val="32"/>
          <w:szCs w:val="32"/>
        </w:rPr>
        <w:t>（图7：“三公”经费财政拨款支出结构）</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eastAsia="方正仿宋_GBK"/>
          <w:color w:val="000000"/>
          <w:sz w:val="33"/>
          <w:szCs w:val="33"/>
        </w:rPr>
        <w:t>0万元，完成预算100%。比2020年增加0万元，增长0%，主要原因是未安排因公出国（境）经费。全年安排因公出国（境）团组0次，出国（境）0人。因公出国（境）支出决算与2020年持平。</w:t>
      </w:r>
    </w:p>
    <w:p>
      <w:pPr>
        <w:spacing w:line="600" w:lineRule="exact"/>
        <w:ind w:firstLine="640"/>
        <w:rPr>
          <w:rFonts w:eastAsia="方正仿宋_GBK"/>
          <w:color w:val="000000"/>
          <w:sz w:val="33"/>
          <w:szCs w:val="33"/>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eastAsia="方正仿宋_GBK"/>
          <w:color w:val="000000"/>
          <w:sz w:val="33"/>
          <w:szCs w:val="33"/>
        </w:rPr>
        <w:t>19.42万元,完成预算100%。公务用车购置及运行维护费支出决算比2020年增加4.4万元，增长29.29%。主要原因是2021年艾滋防治、地方病防治、新冠疫情监测等工作任务量增加。</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eastAsia="方正仿宋_GBK"/>
          <w:color w:val="000000"/>
          <w:sz w:val="33"/>
          <w:szCs w:val="33"/>
        </w:rPr>
        <w:t>0万元，比2020年增加0万元，增长0%，主要原因是未安排公务用车购置经费。</w:t>
      </w:r>
    </w:p>
    <w:p>
      <w:pPr>
        <w:spacing w:line="600" w:lineRule="exact"/>
        <w:ind w:firstLine="640"/>
        <w:rPr>
          <w:rFonts w:eastAsia="方正仿宋_GBK"/>
          <w:color w:val="000000"/>
          <w:sz w:val="33"/>
          <w:szCs w:val="33"/>
        </w:rPr>
      </w:pPr>
      <w:r>
        <w:rPr>
          <w:rFonts w:hint="eastAsia" w:ascii="仿宋_GB2312" w:eastAsia="仿宋_GB2312"/>
          <w:b/>
          <w:color w:val="000000"/>
          <w:sz w:val="32"/>
          <w:szCs w:val="32"/>
        </w:rPr>
        <w:t>公务用车运行维护费</w:t>
      </w:r>
      <w:r>
        <w:rPr>
          <w:rFonts w:hint="eastAsia" w:eastAsia="方正仿宋_GBK"/>
          <w:color w:val="000000"/>
          <w:sz w:val="33"/>
          <w:szCs w:val="33"/>
        </w:rPr>
        <w:t>支出19.42万元，比2020年增加4.4万元，增长29.29%，主要原因是2021年艾滋防治、地方病防治、新冠疫情监测等工作任务量增加。主要用于新冠疫情防控、艾滋病、结核病等疾病防治及食品安全风险监测等所需的公务用车燃料费、维修费、过路过桥费、保险费等支出。</w:t>
      </w:r>
    </w:p>
    <w:p>
      <w:pPr>
        <w:spacing w:line="600" w:lineRule="exact"/>
        <w:ind w:firstLine="640"/>
        <w:rPr>
          <w:rFonts w:eastAsia="方正仿宋_GBK"/>
          <w:color w:val="000000"/>
          <w:sz w:val="33"/>
          <w:szCs w:val="33"/>
        </w:rPr>
      </w:pPr>
      <w:r>
        <w:rPr>
          <w:rFonts w:hint="eastAsia" w:eastAsia="方正仿宋_GBK"/>
          <w:color w:val="000000"/>
          <w:sz w:val="33"/>
          <w:szCs w:val="33"/>
        </w:rPr>
        <w:t>截</w:t>
      </w:r>
      <w:r>
        <w:rPr>
          <w:rFonts w:hint="eastAsia" w:eastAsia="方正仿宋_GBK"/>
          <w:color w:val="000000"/>
          <w:sz w:val="33"/>
          <w:szCs w:val="33"/>
          <w:lang w:eastAsia="zh-CN"/>
        </w:rPr>
        <w:t>至</w:t>
      </w:r>
      <w:r>
        <w:rPr>
          <w:rFonts w:hint="eastAsia" w:eastAsia="方正仿宋_GBK"/>
          <w:color w:val="000000"/>
          <w:sz w:val="33"/>
          <w:szCs w:val="33"/>
        </w:rPr>
        <w:t>2021年底，广安市疾病预防控制中心共有车辆5辆，其中：领导干部用车0辆、一般公务用车</w:t>
      </w:r>
      <w:r>
        <w:rPr>
          <w:rFonts w:hint="eastAsia" w:eastAsia="方正仿宋_GBK"/>
          <w:color w:val="000000"/>
          <w:sz w:val="33"/>
          <w:szCs w:val="33"/>
          <w:lang w:val="en-US" w:eastAsia="zh-CN"/>
        </w:rPr>
        <w:t>1</w:t>
      </w:r>
      <w:r>
        <w:rPr>
          <w:rFonts w:hint="eastAsia" w:eastAsia="方正仿宋_GBK"/>
          <w:color w:val="000000"/>
          <w:sz w:val="33"/>
          <w:szCs w:val="33"/>
        </w:rPr>
        <w:t>辆、一般执法执勤用车0辆、特种专业技术用车4辆。</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eastAsia="方正仿宋_GBK"/>
          <w:color w:val="000000"/>
          <w:sz w:val="33"/>
          <w:szCs w:val="33"/>
        </w:rPr>
        <w:t>1.29万元，完成预算43.00%。公务接待费支出决算比2020年减少0.05万元，下降3</w:t>
      </w:r>
      <w:bookmarkStart w:id="73" w:name="_GoBack"/>
      <w:bookmarkEnd w:id="73"/>
      <w:r>
        <w:rPr>
          <w:rFonts w:hint="eastAsia" w:eastAsia="方正仿宋_GBK"/>
          <w:color w:val="000000"/>
          <w:sz w:val="33"/>
          <w:szCs w:val="33"/>
        </w:rPr>
        <w:t>.73%。主要原因是公务接待支出压减。其中：</w:t>
      </w:r>
    </w:p>
    <w:p>
      <w:pPr>
        <w:spacing w:line="600" w:lineRule="exact"/>
        <w:ind w:firstLine="640"/>
        <w:rPr>
          <w:rFonts w:eastAsia="方正仿宋_GBK"/>
          <w:color w:val="000000"/>
          <w:sz w:val="33"/>
          <w:szCs w:val="33"/>
        </w:rPr>
      </w:pPr>
      <w:r>
        <w:rPr>
          <w:rFonts w:hint="eastAsia" w:ascii="仿宋" w:hAnsi="仿宋" w:eastAsia="仿宋"/>
          <w:b/>
          <w:color w:val="000000"/>
          <w:sz w:val="32"/>
          <w:szCs w:val="32"/>
        </w:rPr>
        <w:t>国内公务接待支出</w:t>
      </w:r>
      <w:r>
        <w:rPr>
          <w:rFonts w:hint="eastAsia" w:eastAsia="方正仿宋_GBK"/>
          <w:color w:val="000000"/>
          <w:sz w:val="33"/>
          <w:szCs w:val="33"/>
        </w:rPr>
        <w:t>1.29万元，比2020年减少0.05万元，下降3.73%，主要原因是公务接待支出压减。主要用于执行公务、开展业务活动开支的用餐费等。国内公务接待17批次，98人次（不包括陪同人员），共计支出1.29万元，具体内容包括：接待上级以及其他市州等交流学习、检查指导相关人员1.29万元。</w:t>
      </w:r>
    </w:p>
    <w:p>
      <w:pPr>
        <w:spacing w:line="600" w:lineRule="exact"/>
        <w:ind w:firstLine="640"/>
        <w:outlineLvl w:val="1"/>
        <w:rPr>
          <w:rFonts w:eastAsia="方正仿宋_GBK"/>
          <w:color w:val="000000"/>
          <w:sz w:val="33"/>
          <w:szCs w:val="33"/>
        </w:rPr>
      </w:pPr>
      <w:r>
        <w:rPr>
          <w:rFonts w:hint="eastAsia" w:ascii="仿宋" w:hAnsi="仿宋" w:eastAsia="仿宋"/>
          <w:b/>
          <w:color w:val="000000"/>
          <w:sz w:val="32"/>
          <w:szCs w:val="32"/>
        </w:rPr>
        <w:t>外事接待支出</w:t>
      </w:r>
      <w:r>
        <w:rPr>
          <w:rFonts w:hint="eastAsia" w:eastAsia="方正仿宋_GBK"/>
          <w:color w:val="000000"/>
          <w:sz w:val="33"/>
          <w:szCs w:val="33"/>
        </w:rPr>
        <w:t>0万元，比2020年减少0万元，下降0%，主要原因是未安排外事接待。外事接待0批次，0人，共计支出0万元</w:t>
      </w:r>
      <w:bookmarkStart w:id="46" w:name="_Toc15396610"/>
      <w:bookmarkStart w:id="47" w:name="_Toc15377218"/>
      <w:r>
        <w:rPr>
          <w:rFonts w:hint="eastAsia" w:eastAsia="方正仿宋_GBK"/>
          <w:color w:val="000000"/>
          <w:sz w:val="33"/>
          <w:szCs w:val="33"/>
        </w:rPr>
        <w:t>。</w:t>
      </w:r>
    </w:p>
    <w:p>
      <w:pPr>
        <w:spacing w:line="600" w:lineRule="exact"/>
        <w:ind w:firstLine="640"/>
        <w:outlineLvl w:val="1"/>
        <w:rPr>
          <w:rStyle w:val="27"/>
          <w:rFonts w:ascii="黑体" w:hAnsi="黑体" w:eastAsia="黑体"/>
        </w:rPr>
      </w:pPr>
      <w:r>
        <w:rPr>
          <w:rFonts w:hint="eastAsia" w:ascii="黑体" w:eastAsia="黑体"/>
          <w:color w:val="000000"/>
          <w:sz w:val="32"/>
          <w:szCs w:val="32"/>
        </w:rPr>
        <w:t>九、</w:t>
      </w:r>
      <w:r>
        <w:rPr>
          <w:rStyle w:val="27"/>
          <w:rFonts w:hint="eastAsia" w:ascii="黑体" w:hAnsi="黑体" w:eastAsia="黑体"/>
          <w:b w:val="0"/>
        </w:rPr>
        <w:t>政府性基金预算支出决算情况说明</w:t>
      </w:r>
      <w:bookmarkEnd w:id="46"/>
      <w:bookmarkEnd w:id="47"/>
    </w:p>
    <w:p>
      <w:pPr>
        <w:spacing w:line="600" w:lineRule="exact"/>
        <w:ind w:firstLine="660" w:firstLineChars="200"/>
        <w:rPr>
          <w:rFonts w:eastAsia="方正仿宋_GBK"/>
          <w:color w:val="000000"/>
          <w:sz w:val="33"/>
          <w:szCs w:val="33"/>
        </w:rPr>
      </w:pPr>
      <w:r>
        <w:rPr>
          <w:rFonts w:hint="eastAsia" w:eastAsia="方正仿宋_GBK"/>
          <w:color w:val="000000"/>
          <w:sz w:val="33"/>
          <w:szCs w:val="33"/>
        </w:rPr>
        <w:t>2021年政府性基金预算拨款支出1900.97万元。</w:t>
      </w:r>
    </w:p>
    <w:p>
      <w:pPr>
        <w:spacing w:line="600" w:lineRule="exact"/>
        <w:ind w:firstLine="640" w:firstLineChars="200"/>
        <w:outlineLvl w:val="1"/>
        <w:rPr>
          <w:rStyle w:val="27"/>
          <w:rFonts w:ascii="黑体" w:hAnsi="黑体" w:eastAsia="黑体"/>
          <w:b w:val="0"/>
        </w:rPr>
      </w:pPr>
      <w:bookmarkStart w:id="48" w:name="_Toc15377219"/>
      <w:bookmarkStart w:id="49" w:name="_Toc15396611"/>
      <w:r>
        <w:rPr>
          <w:rStyle w:val="27"/>
          <w:rFonts w:hint="eastAsia" w:ascii="黑体" w:hAnsi="黑体" w:eastAsia="黑体"/>
          <w:b w:val="0"/>
        </w:rPr>
        <w:t>十、国有资本经营预算支出决算情况说明</w:t>
      </w:r>
      <w:bookmarkEnd w:id="48"/>
      <w:bookmarkEnd w:id="49"/>
    </w:p>
    <w:p>
      <w:pPr>
        <w:spacing w:line="600" w:lineRule="exact"/>
        <w:ind w:firstLine="660" w:firstLineChars="200"/>
        <w:rPr>
          <w:rFonts w:eastAsia="方正仿宋_GBK"/>
          <w:color w:val="000000"/>
          <w:sz w:val="33"/>
          <w:szCs w:val="33"/>
        </w:rPr>
      </w:pPr>
      <w:r>
        <w:rPr>
          <w:rFonts w:hint="eastAsia" w:eastAsia="方正仿宋_GBK"/>
          <w:color w:val="000000"/>
          <w:sz w:val="33"/>
          <w:szCs w:val="33"/>
        </w:rPr>
        <w:t>2021年国有资本经营预算拨款支出0万元。</w:t>
      </w:r>
    </w:p>
    <w:p>
      <w:pPr>
        <w:spacing w:line="600" w:lineRule="exact"/>
        <w:ind w:firstLine="640" w:firstLineChars="200"/>
        <w:outlineLvl w:val="1"/>
        <w:rPr>
          <w:rStyle w:val="27"/>
          <w:rFonts w:ascii="黑体" w:hAnsi="黑体" w:eastAsia="黑体"/>
        </w:rPr>
      </w:pPr>
      <w:bookmarkStart w:id="50" w:name="_Toc15396612"/>
      <w:bookmarkStart w:id="51" w:name="_Toc15377221"/>
      <w:r>
        <w:rPr>
          <w:rFonts w:hint="eastAsia" w:ascii="黑体" w:hAnsi="黑体" w:eastAsia="黑体"/>
          <w:color w:val="000000"/>
          <w:sz w:val="32"/>
          <w:szCs w:val="32"/>
        </w:rPr>
        <w:t>十一</w:t>
      </w:r>
      <w:r>
        <w:rPr>
          <w:rStyle w:val="27"/>
          <w:rFonts w:hint="eastAsia" w:ascii="黑体" w:hAnsi="黑体" w:eastAsia="黑体"/>
        </w:rPr>
        <w:t>、</w:t>
      </w:r>
      <w:r>
        <w:rPr>
          <w:rStyle w:val="27"/>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60" w:firstLineChars="200"/>
        <w:rPr>
          <w:rFonts w:ascii="仿宋" w:hAnsi="仿宋" w:eastAsia="仿宋"/>
          <w:b/>
          <w:color w:val="FF0000"/>
          <w:sz w:val="32"/>
          <w:szCs w:val="32"/>
        </w:rPr>
      </w:pPr>
      <w:r>
        <w:rPr>
          <w:rFonts w:hint="eastAsia" w:eastAsia="方正仿宋_GBK"/>
          <w:color w:val="000000"/>
          <w:sz w:val="33"/>
          <w:szCs w:val="33"/>
        </w:rPr>
        <w:t>2021年，广安市疾病预防控制中心机关运行经费支出0万元，与2020年决算数持平，</w:t>
      </w:r>
      <w:r>
        <w:rPr>
          <w:rFonts w:hint="eastAsia" w:ascii="仿宋_GB2312" w:eastAsia="仿宋_GB2312"/>
          <w:color w:val="000000" w:themeColor="text1"/>
          <w:sz w:val="32"/>
          <w:szCs w:val="32"/>
          <w14:textFill>
            <w14:solidFill>
              <w14:schemeClr w14:val="tx1"/>
            </w14:solidFill>
          </w14:textFill>
        </w:rPr>
        <w:t>主要原因是</w:t>
      </w:r>
      <w:r>
        <w:rPr>
          <w:rFonts w:hint="eastAsia" w:eastAsia="方正仿宋_GBK"/>
          <w:color w:val="000000"/>
          <w:sz w:val="33"/>
          <w:szCs w:val="33"/>
        </w:rPr>
        <w:t>广安市疾病预防控制中心为事业单位，未安排机关运行经费。</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60" w:firstLineChars="200"/>
        <w:rPr>
          <w:rFonts w:eastAsia="方正仿宋_GBK"/>
          <w:color w:val="000000"/>
          <w:sz w:val="33"/>
          <w:szCs w:val="33"/>
        </w:rPr>
      </w:pPr>
      <w:r>
        <w:rPr>
          <w:rFonts w:hint="eastAsia" w:eastAsia="方正仿宋_GBK"/>
          <w:color w:val="000000"/>
          <w:sz w:val="33"/>
          <w:szCs w:val="33"/>
        </w:rPr>
        <w:t>2021年，广安市疾病预防控制中心政府采购支出总额847.83万元，其中：政府采购货物支出847.83万元、政府采购工程支出0万元、政府采购服务支出0万元。主要用于艾滋、结核、新冠等疾病防控检测试剂耗材及检测设备购置。授予中小企业合同金额847.83万元，占政府采购支出总额的100%，其中：授予小微企业合同金额847.83万元，占政府采购支出总额的100%。</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spacing w:line="600" w:lineRule="exact"/>
        <w:ind w:firstLine="640"/>
        <w:rPr>
          <w:rFonts w:eastAsia="方正仿宋_GBK"/>
          <w:color w:val="000000"/>
          <w:sz w:val="33"/>
          <w:szCs w:val="33"/>
        </w:rPr>
      </w:pPr>
      <w:r>
        <w:rPr>
          <w:rFonts w:hint="eastAsia" w:eastAsia="方正仿宋_GBK"/>
          <w:color w:val="000000"/>
          <w:sz w:val="33"/>
          <w:szCs w:val="33"/>
        </w:rPr>
        <w:t>截至202</w:t>
      </w:r>
      <w:r>
        <w:rPr>
          <w:rFonts w:hint="eastAsia" w:eastAsia="方正仿宋_GBK"/>
          <w:color w:val="000000"/>
          <w:sz w:val="33"/>
          <w:szCs w:val="33"/>
          <w:lang w:val="en-US" w:eastAsia="zh-CN"/>
        </w:rPr>
        <w:t>1</w:t>
      </w:r>
      <w:r>
        <w:rPr>
          <w:rFonts w:hint="eastAsia" w:eastAsia="方正仿宋_GBK"/>
          <w:color w:val="000000"/>
          <w:sz w:val="33"/>
          <w:szCs w:val="33"/>
        </w:rPr>
        <w:t>年12月31日，广安市疾病预防控制中心共有</w:t>
      </w:r>
      <w:r>
        <w:rPr>
          <w:rFonts w:hint="eastAsia" w:eastAsia="方正仿宋_GBK"/>
          <w:color w:val="000000"/>
          <w:sz w:val="33"/>
          <w:szCs w:val="33"/>
          <w:lang w:eastAsia="zh-CN"/>
        </w:rPr>
        <w:t>公务用车</w:t>
      </w:r>
      <w:r>
        <w:rPr>
          <w:rFonts w:hint="eastAsia" w:eastAsia="方正仿宋_GBK"/>
          <w:color w:val="000000"/>
          <w:sz w:val="33"/>
          <w:szCs w:val="33"/>
        </w:rPr>
        <w:t>5辆，其中：领导干部用车0辆、一般公务用车</w:t>
      </w:r>
      <w:r>
        <w:rPr>
          <w:rFonts w:hint="eastAsia" w:eastAsia="方正仿宋_GBK"/>
          <w:color w:val="000000"/>
          <w:sz w:val="33"/>
          <w:szCs w:val="33"/>
          <w:lang w:val="en-US" w:eastAsia="zh-CN"/>
        </w:rPr>
        <w:t>1</w:t>
      </w:r>
      <w:r>
        <w:rPr>
          <w:rFonts w:hint="eastAsia" w:eastAsia="方正仿宋_GBK"/>
          <w:color w:val="000000"/>
          <w:sz w:val="33"/>
          <w:szCs w:val="33"/>
        </w:rPr>
        <w:t>辆、一般执法执勤用车0辆、特种专业技术用车4辆</w:t>
      </w:r>
      <w:r>
        <w:rPr>
          <w:rFonts w:hint="eastAsia" w:eastAsia="方正仿宋_GBK"/>
          <w:sz w:val="33"/>
          <w:szCs w:val="33"/>
        </w:rPr>
        <w:t>。单价50万元以上通用设备1台（套），单价100万元以上专用设备3台（套）。</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600" w:lineRule="exact"/>
        <w:ind w:firstLine="640"/>
        <w:rPr>
          <w:rFonts w:eastAsia="方正仿宋_GBK"/>
          <w:color w:val="000000"/>
          <w:sz w:val="33"/>
          <w:szCs w:val="33"/>
        </w:rPr>
      </w:pPr>
      <w:r>
        <w:rPr>
          <w:rFonts w:hint="eastAsia" w:eastAsia="方正仿宋_GBK"/>
          <w:color w:val="000000"/>
          <w:sz w:val="33"/>
          <w:szCs w:val="33"/>
        </w:rPr>
        <w:t>根据预算绩效管理要求，本单位在年初预算编制阶段，组织对艾滋病防治、生活饮用水监测等项目开展了预算事前绩效评估，对8个项目全部编制了绩效目标，预算执行过程中，对8个项目全部开展绩效监控，年终执行完毕后，对8个项目全部开展了绩效目标完成情况自评。</w:t>
      </w:r>
    </w:p>
    <w:p>
      <w:pPr>
        <w:spacing w:line="600" w:lineRule="exact"/>
        <w:ind w:firstLine="640"/>
        <w:rPr>
          <w:rFonts w:eastAsia="方正仿宋_GBK"/>
          <w:color w:val="000000"/>
          <w:sz w:val="33"/>
          <w:szCs w:val="33"/>
        </w:rPr>
      </w:pPr>
      <w:r>
        <w:rPr>
          <w:rFonts w:hint="eastAsia" w:eastAsia="方正仿宋_GBK"/>
          <w:color w:val="000000"/>
          <w:sz w:val="33"/>
          <w:szCs w:val="33"/>
        </w:rPr>
        <w:t>本单位按要求对2021年单位整体支出开展绩效自评，从评价情况来看，我中心2021年单位整体支出运行良好，从预算编制到执行，均按相关规定严格控制并及时公开，有效保证了机构运转，出色完成了新冠疫情防控、艾滋、结核等重大传染病和其他疾病防控、健康危害因素监测和疾控机构能力建设等工作，</w:t>
      </w:r>
      <w:r>
        <w:rPr>
          <w:rFonts w:hint="eastAsia" w:eastAsia="方正仿宋_GBK"/>
          <w:color w:val="000000"/>
          <w:sz w:val="33"/>
          <w:szCs w:val="33"/>
          <w:lang w:val="zh-CN"/>
        </w:rPr>
        <w:t>较好地完成本年度工作</w:t>
      </w:r>
      <w:r>
        <w:rPr>
          <w:rFonts w:hint="eastAsia" w:eastAsia="方正仿宋_GBK"/>
          <w:color w:val="000000"/>
          <w:sz w:val="33"/>
          <w:szCs w:val="33"/>
        </w:rPr>
        <w:t>任务</w:t>
      </w:r>
      <w:r>
        <w:rPr>
          <w:rFonts w:hint="eastAsia" w:eastAsia="方正仿宋_GBK"/>
          <w:color w:val="000000"/>
          <w:sz w:val="33"/>
          <w:szCs w:val="33"/>
          <w:lang w:val="zh-CN"/>
        </w:rPr>
        <w:t>，实现了202</w:t>
      </w:r>
      <w:r>
        <w:rPr>
          <w:rFonts w:hint="eastAsia" w:eastAsia="方正仿宋_GBK"/>
          <w:color w:val="000000"/>
          <w:sz w:val="33"/>
          <w:szCs w:val="33"/>
        </w:rPr>
        <w:t>1</w:t>
      </w:r>
      <w:r>
        <w:rPr>
          <w:rFonts w:hint="eastAsia" w:eastAsia="方正仿宋_GBK"/>
          <w:color w:val="000000"/>
          <w:sz w:val="33"/>
          <w:szCs w:val="33"/>
          <w:lang w:val="zh-CN"/>
        </w:rPr>
        <w:t>年财政预算支出的绩效目标。</w:t>
      </w:r>
      <w:r>
        <w:rPr>
          <w:rFonts w:hint="eastAsia" w:eastAsia="方正仿宋_GBK"/>
          <w:color w:val="000000"/>
          <w:sz w:val="33"/>
          <w:szCs w:val="33"/>
        </w:rPr>
        <w:t>本单位还自行组织了8个项目支出绩效评价，从评价情况来看，从评价情况来看全部严格遵守相关项目资金管理规定，按规定用途、开支范围使用，项目管理制度健全、制度执行有效、项目质量可控，较好地实现了项目年度目标。</w:t>
      </w:r>
    </w:p>
    <w:p>
      <w:pPr>
        <w:spacing w:line="600" w:lineRule="exact"/>
        <w:ind w:firstLine="640"/>
      </w:pPr>
      <w:r>
        <w:rPr>
          <w:rFonts w:hint="eastAsia" w:eastAsia="方正仿宋_GBK"/>
          <w:color w:val="000000"/>
          <w:sz w:val="33"/>
          <w:szCs w:val="33"/>
        </w:rPr>
        <w:t>1.项目绩效目标完成情况。</w:t>
      </w:r>
      <w:r>
        <w:rPr>
          <w:rFonts w:hint="eastAsia" w:eastAsia="方正仿宋_GBK"/>
          <w:color w:val="000000"/>
          <w:sz w:val="33"/>
          <w:szCs w:val="33"/>
        </w:rPr>
        <w:br w:type="textWrapping"/>
      </w:r>
      <w:r>
        <w:rPr>
          <w:rFonts w:hint="eastAsia" w:eastAsia="方正仿宋_GBK"/>
          <w:color w:val="000000"/>
          <w:sz w:val="33"/>
          <w:szCs w:val="33"/>
        </w:rPr>
        <w:t xml:space="preserve">    本单位在2021年度单位决算中反映“艾滋病防治项目”“食品安全风险监测”“生活饮用水”等8个项目绩效目标实际完成情况。</w:t>
      </w:r>
    </w:p>
    <w:p>
      <w:pPr>
        <w:spacing w:line="600" w:lineRule="exact"/>
        <w:ind w:firstLine="640"/>
        <w:rPr>
          <w:rFonts w:eastAsia="方正仿宋_GBK"/>
          <w:color w:val="000000"/>
          <w:sz w:val="33"/>
          <w:szCs w:val="33"/>
        </w:rPr>
      </w:pPr>
      <w:r>
        <w:rPr>
          <w:rFonts w:hint="eastAsia" w:eastAsia="方正仿宋_GBK"/>
          <w:color w:val="000000"/>
          <w:sz w:val="33"/>
          <w:szCs w:val="33"/>
        </w:rPr>
        <w:t>（1）艾滋病防治项目绩效目标完成情况综述。项目全年预算数89.5万元，执行数为65.65万元，完成预算的73.35%，未执行部分已签订合同，因未完成供货，年底暂未执行支出。通过项目实施积极推广艾滋病防控新技术和新方法，提高了艾滋病防治工作水平和质量，诊断方面，继续优化合理使用检测技术和分子生物学方法；治疗方面，加速新药新方案引入和探索；管理方面，优化对贫困艾滋病感染者及病人管理，将其纳入基本公共卫生服务范畴。发现的主要问题：一是配偶告知困难，很难减少配偶间传播；二是新冠疫情压力下，乡镇工作人员身兼数职，对艾防工作精力投入有限；三是高危人群检测困难，外出务工人员检测较少。下一步改进措施：一是积极争取政府支持，出台相应配套政策，要求配偶履行告知相关义务；二是加强基层艾防工作队伍建设，按质按时保证完成艾滋病相关工作指标；三是努力加强高危人群HIV检测，提高其检测覆盖率。</w:t>
      </w:r>
    </w:p>
    <w:p>
      <w:pPr>
        <w:spacing w:line="600" w:lineRule="exact"/>
        <w:ind w:firstLine="640"/>
        <w:rPr>
          <w:rFonts w:eastAsia="方正仿宋_GBK"/>
          <w:color w:val="000000"/>
          <w:sz w:val="33"/>
          <w:szCs w:val="33"/>
        </w:rPr>
      </w:pPr>
      <w:r>
        <w:rPr>
          <w:rFonts w:hint="eastAsia" w:eastAsia="方正仿宋_GBK"/>
          <w:color w:val="000000"/>
          <w:sz w:val="33"/>
          <w:szCs w:val="33"/>
        </w:rPr>
        <w:t>（2）结核病防治项目绩效目标完成情况综述。项目全年预算数2万元，执行数为2万元，完成预算的100%。通过项目实施，进一步提高全市结核病防治工作质量，全面提升结核病防控效果，2021年全市结核病发病率持续降低，最大限度的发现结核病患者并进行规范管理，居民结核病防治核心知识知晓率显著提升，居民健康素养进一步提升。发现的主要问题：部门沟通机制不畅，学校结核病防控工作有待加强；实验室检验检测能力不足；结核病防治宣传教育仍待持续加强。项目实施进展与项目资金使用支出进度存在一定差距。下一步改进措施：加强与教育部门的沟通合作，明确职责分工，建立长期、有效的学校结核病防控运行机制；加强实验室能力建设，强化技术学习和培训，提高痰检质量；进一步加强宣传教育，组织开展多种形式结核病防治宣传活动；建议加大项目资金投入支持力度。</w:t>
      </w:r>
    </w:p>
    <w:p>
      <w:pPr>
        <w:spacing w:line="600" w:lineRule="exact"/>
        <w:ind w:firstLine="640"/>
        <w:rPr>
          <w:rFonts w:eastAsia="方正仿宋_GBK"/>
          <w:color w:val="000000"/>
          <w:sz w:val="33"/>
          <w:szCs w:val="33"/>
        </w:rPr>
      </w:pPr>
      <w:r>
        <w:rPr>
          <w:rFonts w:hint="eastAsia" w:eastAsia="方正仿宋_GBK"/>
          <w:color w:val="000000"/>
          <w:sz w:val="33"/>
          <w:szCs w:val="33"/>
        </w:rPr>
        <w:t>（3）生活饮用水监测项目绩效目标完成情况综述。项目全年预算数4万元，执行数为4万元，完成预算的100%。通过项目实施，通过对生活饮用水的监测，与其它部门联动，了解掌握主城区饮用水卫生基本情况，指导饮用水供水单位严把质量关，切实保障人民群众的健康安全。发现的主要问题：监测结果显示，监测水样微生物和消毒剂指标合格率仍有待提高；中心监测能力有限，对监测结果的开发利用还有待提高。下一步改进措施：加强监测队伍培养培训、设备配备和实验室能力建设，持续推动监测能力提升；进一步加强监测数据的分析利用；建议加大项目资金支持力度。</w:t>
      </w:r>
    </w:p>
    <w:p>
      <w:pPr>
        <w:spacing w:line="600" w:lineRule="exact"/>
        <w:ind w:firstLine="640"/>
        <w:rPr>
          <w:rFonts w:eastAsia="方正仿宋_GBK"/>
          <w:color w:val="000000"/>
          <w:sz w:val="33"/>
          <w:szCs w:val="33"/>
        </w:rPr>
      </w:pPr>
      <w:r>
        <w:rPr>
          <w:rFonts w:hint="eastAsia" w:eastAsia="方正仿宋_GBK"/>
          <w:color w:val="000000"/>
          <w:sz w:val="33"/>
          <w:szCs w:val="33"/>
        </w:rPr>
        <w:t>（4）食饮具监测项目绩效目标完成情况综述。项目全年预算数5万元，执行数为5万元，完成预算的100%。通过项目实施，积极贯彻落实《广安市公共餐具饮具消毒管理条例》，制定年度工作计划，按计划定期组织对集中式餐饮具消毒单位进行抽样检测，并对抽检情况进行分析与评估，以进一步促进公共餐饮具清洗消毒管理更加规范有序，切实保障食品安全和公众身体健康。发现的主要问题：2021年，我市集中消毒餐饮具合格率总体不高，存在一定的安全风险隐患。下一步改进措施：监督部门加大对生产单位整改督促，切实规范清洗消毒管理，加强质量管理与控制，有效提高集中消毒餐饮具合格率，保障群众用餐安全。</w:t>
      </w:r>
    </w:p>
    <w:p>
      <w:pPr>
        <w:spacing w:line="600" w:lineRule="exact"/>
        <w:ind w:firstLine="640"/>
        <w:rPr>
          <w:rFonts w:eastAsia="方正仿宋_GBK"/>
          <w:color w:val="000000"/>
          <w:sz w:val="33"/>
          <w:szCs w:val="33"/>
        </w:rPr>
      </w:pPr>
      <w:r>
        <w:rPr>
          <w:rFonts w:hint="eastAsia" w:eastAsia="方正仿宋_GBK"/>
          <w:color w:val="000000"/>
          <w:sz w:val="33"/>
          <w:szCs w:val="33"/>
        </w:rPr>
        <w:t>（5）食品安全风险监测项目绩效目标完成情况综述。项目全年预算数5万元，执行数为4.6万元，完成预算的92.00%。通过项目实施，进一步了解我市食品中主要污染物及有害因素的污染水平和趋势，为及时发现食品安全风险和食源性疾病暴发隐患，及时采取相应的风险管控和监管措施提供了有力的技术支持。发现的主要问题：无。下一步改进措施：建议相关部门在食品安全工作中，有效利用监测数据信息等，切实加强食品安全监管。</w:t>
      </w:r>
    </w:p>
    <w:p>
      <w:pPr>
        <w:spacing w:line="600" w:lineRule="exact"/>
        <w:ind w:firstLine="640"/>
        <w:rPr>
          <w:rFonts w:eastAsia="方正仿宋_GBK"/>
          <w:color w:val="000000"/>
          <w:sz w:val="33"/>
          <w:szCs w:val="33"/>
        </w:rPr>
      </w:pPr>
      <w:r>
        <w:rPr>
          <w:rFonts w:hint="eastAsia" w:eastAsia="方正仿宋_GBK"/>
          <w:color w:val="000000"/>
          <w:sz w:val="33"/>
          <w:szCs w:val="33"/>
        </w:rPr>
        <w:t>（6）仪器设备维护及维修项目目标完成情况综述。项目全年预算数5万元，执行数为5万元，完成预算的100%。通过项目实施，保持专业仪器设备在功能状态并达到量值溯源要求，确保了各项检验检测结果的准确可靠，没有因为仪器设备不在功能状态影响检验检测结果的事件或是事故发生，也未因此造成试剂耗材的浪费和损失。发现的主要问题：项目资金预算额度较少，无法满足实际工作需要；随着疾病防控工作的发展，中心检验检测项目将持续扩展，专业仪器设备配备的类别、数量，特别是大型精密仪器设备配备还将持续增加，设备的检定校准和维修维护费用增速在一定时期内将会大幅增长，目前此项目资金预算与实际需求之间的缺口将进一步加大。下一步改进措施：建议持续增加项目资金预算，以满足实际工作需要。</w:t>
      </w:r>
    </w:p>
    <w:p>
      <w:pPr>
        <w:spacing w:line="600" w:lineRule="exact"/>
        <w:ind w:firstLine="640"/>
        <w:rPr>
          <w:rFonts w:ascii="仿宋_GB2312" w:hAnsi="仿宋_GB2312" w:eastAsia="仿宋_GB2312" w:cs="仿宋_GB2312"/>
          <w:sz w:val="32"/>
          <w:szCs w:val="32"/>
        </w:rPr>
      </w:pPr>
      <w:r>
        <w:rPr>
          <w:rFonts w:hint="eastAsia" w:eastAsia="方正仿宋_GBK"/>
          <w:color w:val="000000"/>
          <w:sz w:val="33"/>
          <w:szCs w:val="33"/>
        </w:rPr>
        <w:t>（7）传染病报告质量管理项目目标完成情况综述。项目全年预算数1万元，执行数为1万元，完成预算的100%。通过项目实施，组织开展传染病报告疫情和网络舆情监测、数据分析与利用、技术指导与培训等确保2021年全市传染病诊疗机构传传染病网络直报工作顺利开展，数据质量明显改善。发现的主要问题：项目资金投入较少，在支撑传染病报告管理提质增效方面作用有限。下一步改进措施：继续规范使用专项经费，完成相应绩效目标；建议根据工作需要逐年增加传染病报告管理项目预算，为更加高效有序开展传染病报告管理提供有力支撑。</w:t>
      </w:r>
    </w:p>
    <w:p>
      <w:pPr>
        <w:spacing w:line="580" w:lineRule="exact"/>
        <w:ind w:firstLine="660" w:firstLineChars="200"/>
        <w:rPr>
          <w:rFonts w:eastAsia="方正仿宋_GBK"/>
          <w:color w:val="000000"/>
          <w:sz w:val="33"/>
          <w:szCs w:val="33"/>
        </w:rPr>
      </w:pPr>
      <w:r>
        <w:rPr>
          <w:rFonts w:hint="eastAsia" w:eastAsia="方正仿宋_GBK"/>
          <w:color w:val="000000"/>
          <w:sz w:val="33"/>
          <w:szCs w:val="33"/>
        </w:rPr>
        <w:t>（8）疾病监测项目绩效目标完成情况综述。项目全年预算数3万元，执行数为3万元，完成预算的100%。通过项目实施，开展新冠肺炎监测及相关技术培训指导，主要目的在于及时发现、科学识别和分析研判，为我市快速落实精准防控措施、努力降低疫情发生风险和迅速处置控制疫情，提供专业咨政参考，以期用最少的投入获得最大的社会经济效益，其经济和社会效益巨大。2021年，我市未发生1例新冠本土疫情。发现的主要问题：项目资金投入较少，在支撑新冠等急性传染病监测方面作用有限。下一步改进措施：建议根据工作需要适当增加项目预算，为更加优质高效开展传染病监测提供更加有力支撑。</w:t>
      </w:r>
    </w:p>
    <w:p>
      <w:pPr>
        <w:pStyle w:val="12"/>
        <w:ind w:left="873" w:hanging="660"/>
        <w:rPr>
          <w:rFonts w:eastAsia="方正仿宋_GBK"/>
          <w:color w:val="000000"/>
          <w:sz w:val="33"/>
          <w:szCs w:val="33"/>
        </w:rPr>
      </w:pPr>
    </w:p>
    <w:p/>
    <w:p>
      <w:pPr>
        <w:pStyle w:val="12"/>
        <w:ind w:left="873" w:hanging="660"/>
        <w:rPr>
          <w:rFonts w:eastAsia="方正仿宋_GBK"/>
          <w:color w:val="000000"/>
          <w:sz w:val="33"/>
          <w:szCs w:val="33"/>
        </w:rPr>
      </w:pPr>
    </w:p>
    <w:p>
      <w:pPr>
        <w:spacing w:line="580" w:lineRule="exact"/>
        <w:rPr>
          <w:rFonts w:ascii="仿宋_GB2312" w:hAnsi="仿宋_GB2312" w:eastAsia="仿宋_GB2312" w:cs="仿宋_GB2312"/>
          <w:sz w:val="32"/>
          <w:szCs w:val="32"/>
        </w:rPr>
      </w:pPr>
    </w:p>
    <w:p>
      <w:pPr>
        <w:pStyle w:val="6"/>
        <w:spacing w:before="93"/>
        <w:rPr>
          <w:rFonts w:hAnsi="仿宋_GB2312" w:cs="仿宋_GB2312"/>
          <w:sz w:val="32"/>
          <w:szCs w:val="32"/>
        </w:rPr>
      </w:pPr>
    </w:p>
    <w:p>
      <w:pPr>
        <w:pStyle w:val="6"/>
        <w:spacing w:before="93"/>
        <w:rPr>
          <w:rFonts w:hAnsi="仿宋_GB2312" w:cs="仿宋_GB2312"/>
          <w:sz w:val="32"/>
          <w:szCs w:val="32"/>
        </w:rPr>
      </w:pPr>
    </w:p>
    <w:p>
      <w:pPr>
        <w:pStyle w:val="6"/>
        <w:spacing w:before="93"/>
        <w:rPr>
          <w:rFonts w:hAnsi="仿宋_GB2312" w:cs="仿宋_GB2312"/>
          <w:sz w:val="32"/>
          <w:szCs w:val="32"/>
        </w:rPr>
      </w:pPr>
    </w:p>
    <w:p>
      <w:pPr>
        <w:pStyle w:val="6"/>
        <w:spacing w:before="93"/>
        <w:rPr>
          <w:rFonts w:hAnsi="仿宋_GB2312" w:cs="仿宋_GB2312"/>
          <w:sz w:val="32"/>
          <w:szCs w:val="32"/>
        </w:rPr>
      </w:pPr>
    </w:p>
    <w:p>
      <w:pPr>
        <w:pStyle w:val="6"/>
        <w:spacing w:before="93"/>
        <w:rPr>
          <w:rFonts w:hAnsi="仿宋_GB2312" w:cs="仿宋_GB2312"/>
          <w:sz w:val="32"/>
          <w:szCs w:val="32"/>
        </w:rPr>
      </w:pPr>
    </w:p>
    <w:p>
      <w:pPr>
        <w:pStyle w:val="6"/>
        <w:spacing w:before="93"/>
        <w:rPr>
          <w:rFonts w:hAnsi="仿宋_GB2312" w:cs="仿宋_GB2312"/>
          <w:sz w:val="32"/>
          <w:szCs w:val="32"/>
        </w:rPr>
      </w:pPr>
    </w:p>
    <w:p>
      <w:pPr>
        <w:pStyle w:val="6"/>
        <w:spacing w:before="93"/>
        <w:rPr>
          <w:rFonts w:hAnsi="仿宋_GB2312" w:cs="仿宋_GB2312"/>
          <w:sz w:val="32"/>
          <w:szCs w:val="32"/>
        </w:rPr>
      </w:pPr>
    </w:p>
    <w:p>
      <w:pPr>
        <w:pStyle w:val="6"/>
        <w:spacing w:before="93"/>
        <w:rPr>
          <w:rFonts w:hAnsi="仿宋_GB2312" w:cs="仿宋_GB2312"/>
          <w:sz w:val="32"/>
          <w:szCs w:val="32"/>
        </w:rPr>
      </w:pP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624"/>
        <w:gridCol w:w="1244"/>
        <w:gridCol w:w="914"/>
        <w:gridCol w:w="2387"/>
        <w:gridCol w:w="2399"/>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(2021年度)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艾滋病防治工作</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广安市疾病预防控制中心</w:t>
            </w:r>
          </w:p>
        </w:tc>
      </w:tr>
      <w:tr>
        <w:tblPrEx>
          <w:tblCellMar>
            <w:top w:w="0" w:type="dxa"/>
            <w:left w:w="0" w:type="dxa"/>
            <w:bottom w:w="0" w:type="dxa"/>
            <w:right w:w="0" w:type="dxa"/>
          </w:tblCellMar>
        </w:tblPrEx>
        <w:trPr>
          <w:trHeight w:val="276"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预算执行情况(万元)</w:t>
            </w:r>
          </w:p>
        </w:tc>
        <w:tc>
          <w:tcPr>
            <w:tcW w:w="21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预算数:</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89.5</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65.65</w:t>
            </w:r>
          </w:p>
        </w:tc>
      </w:tr>
      <w:tr>
        <w:tblPrEx>
          <w:tblCellMar>
            <w:top w:w="0" w:type="dxa"/>
            <w:left w:w="0" w:type="dxa"/>
            <w:bottom w:w="0" w:type="dxa"/>
            <w:right w:w="0" w:type="dxa"/>
          </w:tblCellMar>
        </w:tblPrEx>
        <w:trPr>
          <w:trHeight w:val="276"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21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其中-财政拨款:</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89.5</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65.65</w:t>
            </w:r>
          </w:p>
        </w:tc>
      </w:tr>
      <w:tr>
        <w:tblPrEx>
          <w:tblCellMar>
            <w:top w:w="0" w:type="dxa"/>
            <w:left w:w="0" w:type="dxa"/>
            <w:bottom w:w="0" w:type="dxa"/>
            <w:right w:w="0" w:type="dxa"/>
          </w:tblCellMar>
        </w:tblPrEx>
        <w:trPr>
          <w:trHeight w:val="90"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21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其它资金:</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0</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r>
      <w:tr>
        <w:tblPrEx>
          <w:tblCellMar>
            <w:top w:w="0" w:type="dxa"/>
            <w:left w:w="0" w:type="dxa"/>
            <w:bottom w:w="0" w:type="dxa"/>
            <w:right w:w="0" w:type="dxa"/>
          </w:tblCellMar>
        </w:tblPrEx>
        <w:trPr>
          <w:trHeight w:val="276"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年度目标完成情况</w:t>
            </w:r>
          </w:p>
        </w:tc>
        <w:tc>
          <w:tcPr>
            <w:tcW w:w="45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预期目标</w:t>
            </w:r>
          </w:p>
        </w:tc>
        <w:tc>
          <w:tcPr>
            <w:tcW w:w="47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实际完成目标</w:t>
            </w:r>
          </w:p>
        </w:tc>
      </w:tr>
      <w:tr>
        <w:tblPrEx>
          <w:tblCellMar>
            <w:top w:w="0" w:type="dxa"/>
            <w:left w:w="0" w:type="dxa"/>
            <w:bottom w:w="0" w:type="dxa"/>
            <w:right w:w="0" w:type="dxa"/>
          </w:tblCellMar>
        </w:tblPrEx>
        <w:trPr>
          <w:trHeight w:val="174"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45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做好艾滋病监测、检测，推广艾滋病快速检测替代确证检测策略。开展艾滋病病毒感染者和病人的随访管理。开展吸毒者、暗娼、男男性行为人群高危行为干预工作。为艾滋病病毒感染者和病人提供抗病毒治疗。做好艾滋病相关知识培训及对县区开展技术指导工作。</w:t>
            </w:r>
          </w:p>
        </w:tc>
        <w:tc>
          <w:tcPr>
            <w:tcW w:w="47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做好了艾滋病监测、检测，推广艾滋病快速检测替代确证检测策略。开展艾滋病病毒感染者和病人的随访管理。开展吸毒者、暗娼、男男性行为人群高危行为干预工作。为艾滋病病毒感染者和病人提供抗病毒治疗。做好艾滋病相关知识培训及对县区开展技术指导工作。</w:t>
            </w:r>
          </w:p>
        </w:tc>
      </w:tr>
      <w:tr>
        <w:tblPrEx>
          <w:tblCellMar>
            <w:top w:w="0" w:type="dxa"/>
            <w:left w:w="0" w:type="dxa"/>
            <w:bottom w:w="0" w:type="dxa"/>
            <w:right w:w="0" w:type="dxa"/>
          </w:tblCellMar>
        </w:tblPrEx>
        <w:trPr>
          <w:trHeight w:val="172" w:hRule="atLeast"/>
          <w:jc w:val="center"/>
        </w:trPr>
        <w:tc>
          <w:tcPr>
            <w:tcW w:w="62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绩效指标完成情况</w:t>
            </w: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一级指标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二级指标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三级指标</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实际完成指标值(包含数字及文字描述)</w:t>
            </w:r>
          </w:p>
        </w:tc>
      </w:tr>
      <w:tr>
        <w:tblPrEx>
          <w:tblCellMar>
            <w:top w:w="0" w:type="dxa"/>
            <w:left w:w="0" w:type="dxa"/>
            <w:bottom w:w="0" w:type="dxa"/>
            <w:right w:w="0" w:type="dxa"/>
          </w:tblCellMar>
        </w:tblPrEx>
        <w:trPr>
          <w:trHeight w:val="273"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数量指标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HIV检测覆盖率</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37.08%</w:t>
            </w:r>
          </w:p>
        </w:tc>
      </w:tr>
      <w:tr>
        <w:tblPrEx>
          <w:tblCellMar>
            <w:top w:w="0" w:type="dxa"/>
            <w:left w:w="0" w:type="dxa"/>
            <w:bottom w:w="0" w:type="dxa"/>
            <w:right w:w="0" w:type="dxa"/>
          </w:tblCellMar>
        </w:tblPrEx>
        <w:trPr>
          <w:trHeight w:val="302"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数量指标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病毒载量检测率</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90.71%</w:t>
            </w:r>
          </w:p>
        </w:tc>
      </w:tr>
      <w:tr>
        <w:tblPrEx>
          <w:tblCellMar>
            <w:top w:w="0" w:type="dxa"/>
            <w:left w:w="0" w:type="dxa"/>
            <w:bottom w:w="0" w:type="dxa"/>
            <w:right w:w="0" w:type="dxa"/>
          </w:tblCellMar>
        </w:tblPrEx>
        <w:trPr>
          <w:trHeight w:val="227"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数量指标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召开艾滋病三线月例会</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12次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12次</w:t>
            </w:r>
          </w:p>
        </w:tc>
      </w:tr>
      <w:tr>
        <w:tblPrEx>
          <w:tblCellMar>
            <w:top w:w="0" w:type="dxa"/>
            <w:left w:w="0" w:type="dxa"/>
            <w:bottom w:w="0" w:type="dxa"/>
            <w:right w:w="0" w:type="dxa"/>
          </w:tblCellMar>
        </w:tblPrEx>
        <w:trPr>
          <w:trHeight w:val="302"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数量指标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开展艾滋病相关知识培训</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1-2次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1次</w:t>
            </w:r>
          </w:p>
        </w:tc>
      </w:tr>
      <w:tr>
        <w:tblPrEx>
          <w:tblCellMar>
            <w:top w:w="0" w:type="dxa"/>
            <w:left w:w="0" w:type="dxa"/>
            <w:bottom w:w="0" w:type="dxa"/>
            <w:right w:w="0" w:type="dxa"/>
          </w:tblCellMar>
        </w:tblPrEx>
        <w:trPr>
          <w:trHeight w:val="287"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数量指标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对县区技术指导</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2-4次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4次</w:t>
            </w:r>
          </w:p>
        </w:tc>
      </w:tr>
      <w:tr>
        <w:tblPrEx>
          <w:tblCellMar>
            <w:top w:w="0" w:type="dxa"/>
            <w:left w:w="0" w:type="dxa"/>
            <w:bottom w:w="0" w:type="dxa"/>
            <w:right w:w="0" w:type="dxa"/>
          </w:tblCellMar>
        </w:tblPrEx>
        <w:trPr>
          <w:trHeight w:val="377"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质量指标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艾滋病病毒感染者/病人随访干预检测比例</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91.66%</w:t>
            </w:r>
          </w:p>
        </w:tc>
      </w:tr>
      <w:tr>
        <w:tblPrEx>
          <w:tblCellMar>
            <w:top w:w="0" w:type="dxa"/>
            <w:left w:w="0" w:type="dxa"/>
            <w:bottom w:w="0" w:type="dxa"/>
            <w:right w:w="0" w:type="dxa"/>
          </w:tblCellMar>
        </w:tblPrEx>
        <w:trPr>
          <w:trHeight w:val="1042"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质量指标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艾滋病病毒感染者/病人的配偶/固定性伴的HIV抗体检测率</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≥85%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85.11%</w:t>
            </w:r>
          </w:p>
        </w:tc>
      </w:tr>
      <w:tr>
        <w:tblPrEx>
          <w:tblCellMar>
            <w:top w:w="0" w:type="dxa"/>
            <w:left w:w="0" w:type="dxa"/>
            <w:bottom w:w="0" w:type="dxa"/>
            <w:right w:w="0" w:type="dxa"/>
          </w:tblCellMar>
        </w:tblPrEx>
        <w:trPr>
          <w:trHeight w:val="90"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效益指标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时效指标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完成时间</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≤2021年底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w:t>
            </w:r>
          </w:p>
        </w:tc>
      </w:tr>
      <w:tr>
        <w:tblPrEx>
          <w:tblCellMar>
            <w:top w:w="0" w:type="dxa"/>
            <w:left w:w="0" w:type="dxa"/>
            <w:bottom w:w="0" w:type="dxa"/>
            <w:right w:w="0" w:type="dxa"/>
          </w:tblCellMar>
        </w:tblPrEx>
        <w:trPr>
          <w:trHeight w:val="90"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成本指标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劳务、维护等费</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≤89500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w:t>
            </w:r>
          </w:p>
        </w:tc>
      </w:tr>
      <w:tr>
        <w:tblPrEx>
          <w:tblCellMar>
            <w:top w:w="0" w:type="dxa"/>
            <w:left w:w="0" w:type="dxa"/>
            <w:bottom w:w="0" w:type="dxa"/>
            <w:right w:w="0" w:type="dxa"/>
          </w:tblCellMar>
        </w:tblPrEx>
        <w:trPr>
          <w:trHeight w:val="90"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社会效益</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艾滋病抗病毒治疗覆盖率</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95.8%</w:t>
            </w:r>
          </w:p>
        </w:tc>
      </w:tr>
      <w:tr>
        <w:tblPrEx>
          <w:tblCellMar>
            <w:top w:w="0" w:type="dxa"/>
            <w:left w:w="0" w:type="dxa"/>
            <w:bottom w:w="0" w:type="dxa"/>
            <w:right w:w="0" w:type="dxa"/>
          </w:tblCellMar>
        </w:tblPrEx>
        <w:trPr>
          <w:trHeight w:val="90"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社会效益</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艾滋病抗病毒治疗成功率</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92.54%</w:t>
            </w:r>
          </w:p>
        </w:tc>
      </w:tr>
      <w:tr>
        <w:tblPrEx>
          <w:tblCellMar>
            <w:top w:w="0" w:type="dxa"/>
            <w:left w:w="0" w:type="dxa"/>
            <w:bottom w:w="0" w:type="dxa"/>
            <w:right w:w="0" w:type="dxa"/>
          </w:tblCellMar>
        </w:tblPrEx>
        <w:trPr>
          <w:trHeight w:val="90"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可持续性</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提高对艾滋病感染者及病人生存期</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持续提高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持续提高</w:t>
            </w:r>
          </w:p>
        </w:tc>
      </w:tr>
      <w:tr>
        <w:tblPrEx>
          <w:tblCellMar>
            <w:top w:w="0" w:type="dxa"/>
            <w:left w:w="0" w:type="dxa"/>
            <w:bottom w:w="0" w:type="dxa"/>
            <w:right w:w="0" w:type="dxa"/>
          </w:tblCellMar>
        </w:tblPrEx>
        <w:trPr>
          <w:trHeight w:val="180" w:hRule="atLeast"/>
          <w:jc w:val="center"/>
        </w:trPr>
        <w:tc>
          <w:tcPr>
            <w:tcW w:w="62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满意度指标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满意度指标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培训人员满意度</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85%以上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
            <w:pPr>
              <w:pStyle w:val="6"/>
              <w:spacing w:before="93"/>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(2021年度)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结核病防治工作</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广安市疾病预防控制中心</w:t>
            </w:r>
          </w:p>
        </w:tc>
      </w:tr>
      <w:tr>
        <w:tblPrEx>
          <w:tblCellMar>
            <w:top w:w="0" w:type="dxa"/>
            <w:left w:w="0" w:type="dxa"/>
            <w:bottom w:w="0" w:type="dxa"/>
            <w:right w:w="0" w:type="dxa"/>
          </w:tblCellMar>
        </w:tblPrEx>
        <w:trPr>
          <w:trHeight w:val="276"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预算执行情况(万元)</w:t>
            </w:r>
          </w:p>
        </w:tc>
        <w:tc>
          <w:tcPr>
            <w:tcW w:w="21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预算数:</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w:t>
            </w:r>
          </w:p>
        </w:tc>
      </w:tr>
      <w:tr>
        <w:tblPrEx>
          <w:tblCellMar>
            <w:top w:w="0" w:type="dxa"/>
            <w:left w:w="0" w:type="dxa"/>
            <w:bottom w:w="0" w:type="dxa"/>
            <w:right w:w="0" w:type="dxa"/>
          </w:tblCellMar>
        </w:tblPrEx>
        <w:trPr>
          <w:trHeight w:val="276"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21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其中-财政拨款:</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w:t>
            </w:r>
          </w:p>
        </w:tc>
      </w:tr>
      <w:tr>
        <w:tblPrEx>
          <w:tblCellMar>
            <w:top w:w="0" w:type="dxa"/>
            <w:left w:w="0" w:type="dxa"/>
            <w:bottom w:w="0" w:type="dxa"/>
            <w:right w:w="0" w:type="dxa"/>
          </w:tblCellMar>
        </w:tblPrEx>
        <w:trPr>
          <w:trHeight w:val="151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21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其它资金:</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0</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0</w:t>
            </w:r>
          </w:p>
        </w:tc>
      </w:tr>
      <w:tr>
        <w:tblPrEx>
          <w:tblCellMar>
            <w:top w:w="0" w:type="dxa"/>
            <w:left w:w="0" w:type="dxa"/>
            <w:bottom w:w="0" w:type="dxa"/>
            <w:right w:w="0" w:type="dxa"/>
          </w:tblCellMar>
        </w:tblPrEx>
        <w:trPr>
          <w:trHeight w:val="276"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年度目标完成情况</w:t>
            </w:r>
          </w:p>
        </w:tc>
        <w:tc>
          <w:tcPr>
            <w:tcW w:w="45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预期目标</w:t>
            </w:r>
          </w:p>
        </w:tc>
        <w:tc>
          <w:tcPr>
            <w:tcW w:w="47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实际完成目标</w:t>
            </w:r>
          </w:p>
        </w:tc>
      </w:tr>
      <w:tr>
        <w:tblPrEx>
          <w:tblCellMar>
            <w:top w:w="0" w:type="dxa"/>
            <w:left w:w="0" w:type="dxa"/>
            <w:bottom w:w="0" w:type="dxa"/>
            <w:right w:w="0" w:type="dxa"/>
          </w:tblCellMar>
        </w:tblPrEx>
        <w:trPr>
          <w:trHeight w:val="1159"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45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目标1：做好肺结核患者转诊及追踪工作。目标2：做好病原学检查阳性肺结核患者的密切接触者筛查工作。目标3：提高肺结核患者成功治疗率。</w:t>
            </w:r>
          </w:p>
        </w:tc>
        <w:tc>
          <w:tcPr>
            <w:tcW w:w="47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目标1：做好了肺结核患者转诊及追踪工作。目标2：做好了病原学检查阳性肺结核患者的密切接触者筛查工作。目标3：提高了肺结核患者成功治疗率。</w:t>
            </w:r>
          </w:p>
        </w:tc>
      </w:tr>
      <w:tr>
        <w:tblPrEx>
          <w:tblCellMar>
            <w:top w:w="0" w:type="dxa"/>
            <w:left w:w="0" w:type="dxa"/>
            <w:bottom w:w="0" w:type="dxa"/>
            <w:right w:w="0" w:type="dxa"/>
          </w:tblCellMar>
        </w:tblPrEx>
        <w:trPr>
          <w:trHeight w:val="90" w:hRule="atLeast"/>
          <w:jc w:val="center"/>
        </w:trPr>
        <w:tc>
          <w:tcPr>
            <w:tcW w:w="62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绩效指标完成情况</w:t>
            </w: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一级指标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二级指标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三级指标</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实际完成指标值(包含数字及文字描述)</w:t>
            </w:r>
          </w:p>
        </w:tc>
      </w:tr>
      <w:tr>
        <w:tblPrEx>
          <w:tblCellMar>
            <w:top w:w="0" w:type="dxa"/>
            <w:left w:w="0" w:type="dxa"/>
            <w:bottom w:w="0" w:type="dxa"/>
            <w:right w:w="0" w:type="dxa"/>
          </w:tblCellMar>
        </w:tblPrEx>
        <w:trPr>
          <w:trHeight w:val="753"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数量指标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开展结核病防治相关知识培训</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1-2次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2次</w:t>
            </w:r>
          </w:p>
        </w:tc>
      </w:tr>
      <w:tr>
        <w:tblPrEx>
          <w:tblCellMar>
            <w:top w:w="0" w:type="dxa"/>
            <w:left w:w="0" w:type="dxa"/>
            <w:bottom w:w="0" w:type="dxa"/>
            <w:right w:w="0" w:type="dxa"/>
          </w:tblCellMar>
        </w:tblPrEx>
        <w:trPr>
          <w:trHeight w:val="472"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数量指标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对县区技术指导</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2-4次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2次</w:t>
            </w:r>
          </w:p>
        </w:tc>
      </w:tr>
      <w:tr>
        <w:tblPrEx>
          <w:tblCellMar>
            <w:top w:w="0" w:type="dxa"/>
            <w:left w:w="0" w:type="dxa"/>
            <w:bottom w:w="0" w:type="dxa"/>
            <w:right w:w="0" w:type="dxa"/>
          </w:tblCellMar>
        </w:tblPrEx>
        <w:trPr>
          <w:trHeight w:val="706"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质量指标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病原学检查阳性肺结核患者的密切接触者筛查率</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100%</w:t>
            </w:r>
          </w:p>
        </w:tc>
      </w:tr>
      <w:tr>
        <w:tblPrEx>
          <w:tblCellMar>
            <w:top w:w="0" w:type="dxa"/>
            <w:left w:w="0" w:type="dxa"/>
            <w:bottom w:w="0" w:type="dxa"/>
            <w:right w:w="0" w:type="dxa"/>
          </w:tblCellMar>
        </w:tblPrEx>
        <w:trPr>
          <w:trHeight w:val="212"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质量指标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总体到位率</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98.27%</w:t>
            </w:r>
          </w:p>
        </w:tc>
      </w:tr>
      <w:tr>
        <w:tblPrEx>
          <w:tblCellMar>
            <w:top w:w="0" w:type="dxa"/>
            <w:left w:w="0" w:type="dxa"/>
            <w:bottom w:w="0" w:type="dxa"/>
            <w:right w:w="0" w:type="dxa"/>
          </w:tblCellMar>
        </w:tblPrEx>
        <w:trPr>
          <w:trHeight w:val="227"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时效指标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完成时间</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≤2021年底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w:t>
            </w:r>
          </w:p>
        </w:tc>
      </w:tr>
      <w:tr>
        <w:tblPrEx>
          <w:tblCellMar>
            <w:top w:w="0" w:type="dxa"/>
            <w:left w:w="0" w:type="dxa"/>
            <w:bottom w:w="0" w:type="dxa"/>
            <w:right w:w="0" w:type="dxa"/>
          </w:tblCellMar>
        </w:tblPrEx>
        <w:trPr>
          <w:trHeight w:val="362"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成本指标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成本费</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≤20000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w:t>
            </w:r>
          </w:p>
        </w:tc>
      </w:tr>
      <w:tr>
        <w:tblPrEx>
          <w:tblCellMar>
            <w:top w:w="0" w:type="dxa"/>
            <w:left w:w="0" w:type="dxa"/>
            <w:bottom w:w="0" w:type="dxa"/>
            <w:right w:w="0" w:type="dxa"/>
          </w:tblCellMar>
        </w:tblPrEx>
        <w:trPr>
          <w:trHeight w:val="907"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效益指标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社会效益</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结核病成功治疗率</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91.34%</w:t>
            </w:r>
          </w:p>
        </w:tc>
      </w:tr>
      <w:tr>
        <w:tblPrEx>
          <w:tblCellMar>
            <w:top w:w="0" w:type="dxa"/>
            <w:left w:w="0" w:type="dxa"/>
            <w:bottom w:w="0" w:type="dxa"/>
            <w:right w:w="0" w:type="dxa"/>
          </w:tblCellMar>
        </w:tblPrEx>
        <w:trPr>
          <w:trHeight w:val="767"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效益指标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可持续性</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肺结核疾病防治</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持续提高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持续提高</w:t>
            </w:r>
          </w:p>
        </w:tc>
      </w:tr>
      <w:tr>
        <w:tblPrEx>
          <w:tblCellMar>
            <w:top w:w="0" w:type="dxa"/>
            <w:left w:w="0" w:type="dxa"/>
            <w:bottom w:w="0" w:type="dxa"/>
            <w:right w:w="0" w:type="dxa"/>
          </w:tblCellMar>
        </w:tblPrEx>
        <w:trPr>
          <w:trHeight w:val="819" w:hRule="atLeast"/>
          <w:jc w:val="center"/>
        </w:trPr>
        <w:tc>
          <w:tcPr>
            <w:tcW w:w="62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满意度指标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满意度指标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培训人员满意度</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85%以上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pStyle w:val="6"/>
              <w:spacing w:before="93"/>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(2021年度)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生活饮用水监测项目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广安市疾病预防控制中心</w:t>
            </w:r>
          </w:p>
        </w:tc>
      </w:tr>
      <w:tr>
        <w:tblPrEx>
          <w:tblCellMar>
            <w:top w:w="0" w:type="dxa"/>
            <w:left w:w="0" w:type="dxa"/>
            <w:bottom w:w="0" w:type="dxa"/>
            <w:right w:w="0" w:type="dxa"/>
          </w:tblCellMar>
        </w:tblPrEx>
        <w:trPr>
          <w:trHeight w:val="276"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预算执行情况(万元)</w:t>
            </w:r>
          </w:p>
        </w:tc>
        <w:tc>
          <w:tcPr>
            <w:tcW w:w="21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预算数:</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4</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4</w:t>
            </w:r>
          </w:p>
        </w:tc>
      </w:tr>
      <w:tr>
        <w:tblPrEx>
          <w:tblCellMar>
            <w:top w:w="0" w:type="dxa"/>
            <w:left w:w="0" w:type="dxa"/>
            <w:bottom w:w="0" w:type="dxa"/>
            <w:right w:w="0" w:type="dxa"/>
          </w:tblCellMar>
        </w:tblPrEx>
        <w:trPr>
          <w:trHeight w:val="276"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21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其中-财政拨款:</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4</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4</w:t>
            </w:r>
          </w:p>
        </w:tc>
      </w:tr>
      <w:tr>
        <w:tblPrEx>
          <w:tblCellMar>
            <w:top w:w="0" w:type="dxa"/>
            <w:left w:w="0" w:type="dxa"/>
            <w:bottom w:w="0" w:type="dxa"/>
            <w:right w:w="0" w:type="dxa"/>
          </w:tblCellMar>
        </w:tblPrEx>
        <w:trPr>
          <w:trHeight w:val="151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21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其它资金:</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0</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0</w:t>
            </w:r>
          </w:p>
        </w:tc>
      </w:tr>
      <w:tr>
        <w:tblPrEx>
          <w:tblCellMar>
            <w:top w:w="0" w:type="dxa"/>
            <w:left w:w="0" w:type="dxa"/>
            <w:bottom w:w="0" w:type="dxa"/>
            <w:right w:w="0" w:type="dxa"/>
          </w:tblCellMar>
        </w:tblPrEx>
        <w:trPr>
          <w:trHeight w:val="276"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年度目标完成情况</w:t>
            </w:r>
          </w:p>
        </w:tc>
        <w:tc>
          <w:tcPr>
            <w:tcW w:w="45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预期目标</w:t>
            </w:r>
          </w:p>
        </w:tc>
        <w:tc>
          <w:tcPr>
            <w:tcW w:w="47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实际完成目标</w:t>
            </w:r>
          </w:p>
        </w:tc>
      </w:tr>
      <w:tr>
        <w:tblPrEx>
          <w:tblCellMar>
            <w:top w:w="0" w:type="dxa"/>
            <w:left w:w="0" w:type="dxa"/>
            <w:bottom w:w="0" w:type="dxa"/>
            <w:right w:w="0" w:type="dxa"/>
          </w:tblCellMar>
        </w:tblPrEx>
        <w:trPr>
          <w:trHeight w:val="1309"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45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对广安区城区集中式饮用水末梢水进行布点监测</w:t>
            </w:r>
          </w:p>
        </w:tc>
        <w:tc>
          <w:tcPr>
            <w:tcW w:w="47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已完成对广安区城区集中式饮用水末梢水进行布点监测</w:t>
            </w:r>
          </w:p>
        </w:tc>
      </w:tr>
      <w:tr>
        <w:tblPrEx>
          <w:tblCellMar>
            <w:top w:w="0" w:type="dxa"/>
            <w:left w:w="0" w:type="dxa"/>
            <w:bottom w:w="0" w:type="dxa"/>
            <w:right w:w="0" w:type="dxa"/>
          </w:tblCellMar>
        </w:tblPrEx>
        <w:trPr>
          <w:trHeight w:val="547" w:hRule="atLeast"/>
          <w:jc w:val="center"/>
        </w:trPr>
        <w:tc>
          <w:tcPr>
            <w:tcW w:w="62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绩效指标完成情况</w:t>
            </w: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一级指标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二级指标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三级指标</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实际完成指标值(包含数字及文字描述)</w:t>
            </w:r>
          </w:p>
        </w:tc>
      </w:tr>
      <w:tr>
        <w:tblPrEx>
          <w:tblCellMar>
            <w:top w:w="0" w:type="dxa"/>
            <w:left w:w="0" w:type="dxa"/>
            <w:bottom w:w="0" w:type="dxa"/>
            <w:right w:w="0" w:type="dxa"/>
          </w:tblCellMar>
        </w:tblPrEx>
        <w:trPr>
          <w:trHeight w:val="363"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数量指标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每月末梢水监测国标9项</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10个点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w:t>
            </w:r>
          </w:p>
        </w:tc>
      </w:tr>
      <w:tr>
        <w:tblPrEx>
          <w:tblCellMar>
            <w:top w:w="0" w:type="dxa"/>
            <w:left w:w="0" w:type="dxa"/>
            <w:bottom w:w="0" w:type="dxa"/>
            <w:right w:w="0" w:type="dxa"/>
          </w:tblCellMar>
        </w:tblPrEx>
        <w:trPr>
          <w:trHeight w:val="392"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数量指标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每季度出厂水末梢水监测国标31项</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10个点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w:t>
            </w:r>
          </w:p>
        </w:tc>
      </w:tr>
      <w:tr>
        <w:tblPrEx>
          <w:tblCellMar>
            <w:top w:w="0" w:type="dxa"/>
            <w:left w:w="0" w:type="dxa"/>
            <w:bottom w:w="0" w:type="dxa"/>
            <w:right w:w="0" w:type="dxa"/>
          </w:tblCellMar>
        </w:tblPrEx>
        <w:trPr>
          <w:trHeight w:val="377"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数量指标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全年水样</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120份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271份</w:t>
            </w:r>
          </w:p>
        </w:tc>
      </w:tr>
      <w:tr>
        <w:tblPrEx>
          <w:tblCellMar>
            <w:top w:w="0" w:type="dxa"/>
            <w:left w:w="0" w:type="dxa"/>
            <w:bottom w:w="0" w:type="dxa"/>
            <w:right w:w="0" w:type="dxa"/>
          </w:tblCellMar>
        </w:tblPrEx>
        <w:trPr>
          <w:trHeight w:val="182"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质量指标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每月末梢水监测</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完成率100%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完成率100%</w:t>
            </w:r>
          </w:p>
        </w:tc>
      </w:tr>
      <w:tr>
        <w:tblPrEx>
          <w:tblCellMar>
            <w:top w:w="0" w:type="dxa"/>
            <w:left w:w="0" w:type="dxa"/>
            <w:bottom w:w="0" w:type="dxa"/>
            <w:right w:w="0" w:type="dxa"/>
          </w:tblCellMar>
        </w:tblPrEx>
        <w:trPr>
          <w:trHeight w:val="90"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质量指标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每季度出厂水末梢水监测</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完成率100%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完成率100%</w:t>
            </w:r>
          </w:p>
        </w:tc>
      </w:tr>
      <w:tr>
        <w:tblPrEx>
          <w:tblCellMar>
            <w:top w:w="0" w:type="dxa"/>
            <w:left w:w="0" w:type="dxa"/>
            <w:bottom w:w="0" w:type="dxa"/>
            <w:right w:w="0" w:type="dxa"/>
          </w:tblCellMar>
        </w:tblPrEx>
        <w:trPr>
          <w:trHeight w:val="90"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时效指标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月、季、半年</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按时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w:t>
            </w:r>
          </w:p>
        </w:tc>
      </w:tr>
      <w:tr>
        <w:tblPrEx>
          <w:tblCellMar>
            <w:top w:w="0" w:type="dxa"/>
            <w:left w:w="0" w:type="dxa"/>
            <w:bottom w:w="0" w:type="dxa"/>
            <w:right w:w="0" w:type="dxa"/>
          </w:tblCellMar>
        </w:tblPrEx>
        <w:trPr>
          <w:trHeight w:val="547"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效益指标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社会效益</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防控疾病保障健康</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发现饮用水安全风险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w:t>
            </w:r>
          </w:p>
        </w:tc>
      </w:tr>
      <w:tr>
        <w:tblPrEx>
          <w:tblCellMar>
            <w:top w:w="0" w:type="dxa"/>
            <w:left w:w="0" w:type="dxa"/>
            <w:bottom w:w="0" w:type="dxa"/>
            <w:right w:w="0" w:type="dxa"/>
          </w:tblCellMar>
        </w:tblPrEx>
        <w:trPr>
          <w:trHeight w:val="392"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效益指标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可持续性</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饮用水监测</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长期监测</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w:t>
            </w:r>
          </w:p>
        </w:tc>
      </w:tr>
      <w:tr>
        <w:tblPrEx>
          <w:tblCellMar>
            <w:top w:w="0" w:type="dxa"/>
            <w:left w:w="0" w:type="dxa"/>
            <w:bottom w:w="0" w:type="dxa"/>
            <w:right w:w="0" w:type="dxa"/>
          </w:tblCellMar>
        </w:tblPrEx>
        <w:trPr>
          <w:trHeight w:val="512"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效益指标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生态效益</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发现水污染隐患</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大于80%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w:t>
            </w:r>
          </w:p>
        </w:tc>
      </w:tr>
      <w:tr>
        <w:tblPrEx>
          <w:tblCellMar>
            <w:top w:w="0" w:type="dxa"/>
            <w:left w:w="0" w:type="dxa"/>
            <w:bottom w:w="0" w:type="dxa"/>
            <w:right w:w="0" w:type="dxa"/>
          </w:tblCellMar>
        </w:tblPrEx>
        <w:trPr>
          <w:trHeight w:val="615" w:hRule="atLeast"/>
          <w:jc w:val="center"/>
        </w:trPr>
        <w:tc>
          <w:tcPr>
            <w:tcW w:w="62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满意度指标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满意度指标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培训人员满意度</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85%以上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(2021年度)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 xml:space="preserve">  食饮具监测</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广安市疾病预防控制中心</w:t>
            </w:r>
          </w:p>
        </w:tc>
      </w:tr>
      <w:tr>
        <w:tblPrEx>
          <w:tblCellMar>
            <w:top w:w="0" w:type="dxa"/>
            <w:left w:w="0" w:type="dxa"/>
            <w:bottom w:w="0" w:type="dxa"/>
            <w:right w:w="0" w:type="dxa"/>
          </w:tblCellMar>
        </w:tblPrEx>
        <w:trPr>
          <w:trHeight w:val="276"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预算执行情况(万元)</w:t>
            </w:r>
          </w:p>
        </w:tc>
        <w:tc>
          <w:tcPr>
            <w:tcW w:w="21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预算数:</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5</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5</w:t>
            </w:r>
          </w:p>
        </w:tc>
      </w:tr>
      <w:tr>
        <w:tblPrEx>
          <w:tblCellMar>
            <w:top w:w="0" w:type="dxa"/>
            <w:left w:w="0" w:type="dxa"/>
            <w:bottom w:w="0" w:type="dxa"/>
            <w:right w:w="0" w:type="dxa"/>
          </w:tblCellMar>
        </w:tblPrEx>
        <w:trPr>
          <w:trHeight w:val="276"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21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其中-财政拨款:</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5</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5</w:t>
            </w:r>
          </w:p>
        </w:tc>
      </w:tr>
      <w:tr>
        <w:tblPrEx>
          <w:tblCellMar>
            <w:top w:w="0" w:type="dxa"/>
            <w:left w:w="0" w:type="dxa"/>
            <w:bottom w:w="0" w:type="dxa"/>
            <w:right w:w="0" w:type="dxa"/>
          </w:tblCellMar>
        </w:tblPrEx>
        <w:trPr>
          <w:trHeight w:val="151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21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其它资金:</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0</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0</w:t>
            </w:r>
          </w:p>
        </w:tc>
      </w:tr>
      <w:tr>
        <w:tblPrEx>
          <w:tblCellMar>
            <w:top w:w="0" w:type="dxa"/>
            <w:left w:w="0" w:type="dxa"/>
            <w:bottom w:w="0" w:type="dxa"/>
            <w:right w:w="0" w:type="dxa"/>
          </w:tblCellMar>
        </w:tblPrEx>
        <w:trPr>
          <w:trHeight w:val="276"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年度目标完成情况</w:t>
            </w:r>
          </w:p>
        </w:tc>
        <w:tc>
          <w:tcPr>
            <w:tcW w:w="45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预期目标</w:t>
            </w:r>
          </w:p>
        </w:tc>
        <w:tc>
          <w:tcPr>
            <w:tcW w:w="47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实际完成目标</w:t>
            </w:r>
          </w:p>
        </w:tc>
      </w:tr>
      <w:tr>
        <w:tblPrEx>
          <w:tblCellMar>
            <w:top w:w="0" w:type="dxa"/>
            <w:left w:w="0" w:type="dxa"/>
            <w:bottom w:w="0" w:type="dxa"/>
            <w:right w:w="0" w:type="dxa"/>
          </w:tblCellMar>
        </w:tblPrEx>
        <w:trPr>
          <w:trHeight w:val="1879"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45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对本辖区内所有餐饮具集中消毒单位进行全覆盖监测，市级卫生部门每季度抽样监测1次，每次连续监测3个批次，每次批次抽样不少于10件（套）。</w:t>
            </w:r>
          </w:p>
        </w:tc>
        <w:tc>
          <w:tcPr>
            <w:tcW w:w="47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完成了对本辖区内所有餐饮具集中消毒单位进行全覆盖监测，市级卫生部门每季度抽样监测1次，每次连续监测3个批次，每次批次抽样不少于10件（套）。</w:t>
            </w:r>
          </w:p>
        </w:tc>
      </w:tr>
      <w:tr>
        <w:tblPrEx>
          <w:tblCellMar>
            <w:top w:w="0" w:type="dxa"/>
            <w:left w:w="0" w:type="dxa"/>
            <w:bottom w:w="0" w:type="dxa"/>
            <w:right w:w="0" w:type="dxa"/>
          </w:tblCellMar>
        </w:tblPrEx>
        <w:trPr>
          <w:trHeight w:val="577" w:hRule="atLeast"/>
          <w:jc w:val="center"/>
        </w:trPr>
        <w:tc>
          <w:tcPr>
            <w:tcW w:w="62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绩效指标完成情况</w:t>
            </w: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一级指标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二级指标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三级指标</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实际完成指标值(包含数字及文字描述)</w:t>
            </w:r>
          </w:p>
        </w:tc>
      </w:tr>
      <w:tr>
        <w:tblPrEx>
          <w:tblCellMar>
            <w:top w:w="0" w:type="dxa"/>
            <w:left w:w="0" w:type="dxa"/>
            <w:bottom w:w="0" w:type="dxa"/>
            <w:right w:w="0" w:type="dxa"/>
          </w:tblCellMar>
        </w:tblPrEx>
        <w:trPr>
          <w:trHeight w:val="213"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数量指标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全市所有餐饮具集中消毒单位监测</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5-9家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5家</w:t>
            </w:r>
          </w:p>
        </w:tc>
      </w:tr>
      <w:tr>
        <w:tblPrEx>
          <w:tblCellMar>
            <w:top w:w="0" w:type="dxa"/>
            <w:left w:w="0" w:type="dxa"/>
            <w:bottom w:w="0" w:type="dxa"/>
            <w:right w:w="0" w:type="dxa"/>
          </w:tblCellMar>
        </w:tblPrEx>
        <w:trPr>
          <w:trHeight w:val="587"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数量指标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全年监测份数</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240-432份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300份</w:t>
            </w:r>
          </w:p>
        </w:tc>
      </w:tr>
      <w:tr>
        <w:tblPrEx>
          <w:tblCellMar>
            <w:top w:w="0" w:type="dxa"/>
            <w:left w:w="0" w:type="dxa"/>
            <w:bottom w:w="0" w:type="dxa"/>
            <w:right w:w="0" w:type="dxa"/>
          </w:tblCellMar>
        </w:tblPrEx>
        <w:trPr>
          <w:trHeight w:val="722"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质量指标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GB 14934-2016 食品安全国家标准 消毒餐（饮）具指标</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100%</w:t>
            </w:r>
          </w:p>
        </w:tc>
      </w:tr>
      <w:tr>
        <w:tblPrEx>
          <w:tblCellMar>
            <w:top w:w="0" w:type="dxa"/>
            <w:left w:w="0" w:type="dxa"/>
            <w:bottom w:w="0" w:type="dxa"/>
            <w:right w:w="0" w:type="dxa"/>
          </w:tblCellMar>
        </w:tblPrEx>
        <w:trPr>
          <w:trHeight w:val="362"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时效指标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完成时间</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≤2021年底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w:t>
            </w:r>
          </w:p>
        </w:tc>
      </w:tr>
      <w:tr>
        <w:tblPrEx>
          <w:tblCellMar>
            <w:top w:w="0" w:type="dxa"/>
            <w:left w:w="0" w:type="dxa"/>
            <w:bottom w:w="0" w:type="dxa"/>
            <w:right w:w="0" w:type="dxa"/>
          </w:tblCellMar>
        </w:tblPrEx>
        <w:trPr>
          <w:trHeight w:val="452"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成本指标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成本费</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≤50000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w:t>
            </w:r>
          </w:p>
        </w:tc>
      </w:tr>
      <w:tr>
        <w:tblPrEx>
          <w:tblCellMar>
            <w:top w:w="0" w:type="dxa"/>
            <w:left w:w="0" w:type="dxa"/>
            <w:bottom w:w="0" w:type="dxa"/>
            <w:right w:w="0" w:type="dxa"/>
          </w:tblCellMar>
        </w:tblPrEx>
        <w:trPr>
          <w:trHeight w:val="357"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效益指标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社会效益</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食饮具的安全卫生保障</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有效保障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w:t>
            </w:r>
          </w:p>
        </w:tc>
      </w:tr>
      <w:tr>
        <w:tblPrEx>
          <w:tblCellMar>
            <w:top w:w="0" w:type="dxa"/>
            <w:left w:w="0" w:type="dxa"/>
            <w:bottom w:w="0" w:type="dxa"/>
            <w:right w:w="0" w:type="dxa"/>
          </w:tblCellMar>
        </w:tblPrEx>
        <w:trPr>
          <w:trHeight w:val="817"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效益指标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可持续性</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食源性疾病暴发隐患</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持续降低</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w:t>
            </w:r>
          </w:p>
        </w:tc>
      </w:tr>
      <w:tr>
        <w:tblPrEx>
          <w:tblCellMar>
            <w:top w:w="0" w:type="dxa"/>
            <w:left w:w="0" w:type="dxa"/>
            <w:bottom w:w="0" w:type="dxa"/>
            <w:right w:w="0" w:type="dxa"/>
          </w:tblCellMar>
        </w:tblPrEx>
        <w:trPr>
          <w:trHeight w:val="1050" w:hRule="atLeast"/>
          <w:jc w:val="center"/>
        </w:trPr>
        <w:tc>
          <w:tcPr>
            <w:tcW w:w="62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满意度指标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满意度指标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培训人员满意度</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85%以上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w:t>
            </w:r>
          </w:p>
        </w:tc>
      </w:tr>
      <w:tr>
        <w:tblPrEx>
          <w:tblCellMar>
            <w:top w:w="0" w:type="dxa"/>
            <w:left w:w="0" w:type="dxa"/>
            <w:bottom w:w="0" w:type="dxa"/>
            <w:right w:w="0" w:type="dxa"/>
          </w:tblCellMar>
        </w:tblPrEx>
        <w:trPr>
          <w:trHeight w:val="1113"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(2021年度)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 xml:space="preserve">  食品安全风险监测</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广安市疾病预防控制中心</w:t>
            </w:r>
          </w:p>
        </w:tc>
      </w:tr>
      <w:tr>
        <w:tblPrEx>
          <w:tblCellMar>
            <w:top w:w="0" w:type="dxa"/>
            <w:left w:w="0" w:type="dxa"/>
            <w:bottom w:w="0" w:type="dxa"/>
            <w:right w:w="0" w:type="dxa"/>
          </w:tblCellMar>
        </w:tblPrEx>
        <w:trPr>
          <w:trHeight w:val="276"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预算执行情况(万元)</w:t>
            </w:r>
          </w:p>
        </w:tc>
        <w:tc>
          <w:tcPr>
            <w:tcW w:w="21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预算数:</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5</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4.6</w:t>
            </w:r>
          </w:p>
        </w:tc>
      </w:tr>
      <w:tr>
        <w:tblPrEx>
          <w:tblCellMar>
            <w:top w:w="0" w:type="dxa"/>
            <w:left w:w="0" w:type="dxa"/>
            <w:bottom w:w="0" w:type="dxa"/>
            <w:right w:w="0" w:type="dxa"/>
          </w:tblCellMar>
        </w:tblPrEx>
        <w:trPr>
          <w:trHeight w:val="276"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21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其中-财政拨款:</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5</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4.6</w:t>
            </w:r>
          </w:p>
        </w:tc>
      </w:tr>
      <w:tr>
        <w:tblPrEx>
          <w:tblCellMar>
            <w:top w:w="0" w:type="dxa"/>
            <w:left w:w="0" w:type="dxa"/>
            <w:bottom w:w="0" w:type="dxa"/>
            <w:right w:w="0" w:type="dxa"/>
          </w:tblCellMar>
        </w:tblPrEx>
        <w:trPr>
          <w:trHeight w:val="1187"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21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其它资金:</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0</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0</w:t>
            </w:r>
          </w:p>
        </w:tc>
      </w:tr>
      <w:tr>
        <w:tblPrEx>
          <w:tblCellMar>
            <w:top w:w="0" w:type="dxa"/>
            <w:left w:w="0" w:type="dxa"/>
            <w:bottom w:w="0" w:type="dxa"/>
            <w:right w:w="0" w:type="dxa"/>
          </w:tblCellMar>
        </w:tblPrEx>
        <w:trPr>
          <w:trHeight w:val="276"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年度目标完成情况</w:t>
            </w:r>
          </w:p>
        </w:tc>
        <w:tc>
          <w:tcPr>
            <w:tcW w:w="45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预期目标</w:t>
            </w:r>
          </w:p>
        </w:tc>
        <w:tc>
          <w:tcPr>
            <w:tcW w:w="47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实际完成目标</w:t>
            </w:r>
          </w:p>
        </w:tc>
      </w:tr>
      <w:tr>
        <w:tblPrEx>
          <w:tblCellMar>
            <w:top w:w="0" w:type="dxa"/>
            <w:left w:w="0" w:type="dxa"/>
            <w:bottom w:w="0" w:type="dxa"/>
            <w:right w:w="0" w:type="dxa"/>
          </w:tblCellMar>
        </w:tblPrEx>
        <w:trPr>
          <w:trHeight w:val="1044"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45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对本市食品安全风险进行监测</w:t>
            </w:r>
          </w:p>
        </w:tc>
        <w:tc>
          <w:tcPr>
            <w:tcW w:w="47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完成了对本市食品安全风险进行监测</w:t>
            </w:r>
          </w:p>
        </w:tc>
      </w:tr>
      <w:tr>
        <w:tblPrEx>
          <w:tblCellMar>
            <w:top w:w="0" w:type="dxa"/>
            <w:left w:w="0" w:type="dxa"/>
            <w:bottom w:w="0" w:type="dxa"/>
            <w:right w:w="0" w:type="dxa"/>
          </w:tblCellMar>
        </w:tblPrEx>
        <w:trPr>
          <w:trHeight w:val="90" w:hRule="atLeast"/>
          <w:jc w:val="center"/>
        </w:trPr>
        <w:tc>
          <w:tcPr>
            <w:tcW w:w="62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绩效指标完成情况</w:t>
            </w: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一级指标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二级指标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三级指标</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实际完成指标值(包含数字及文字描述)</w:t>
            </w:r>
          </w:p>
        </w:tc>
      </w:tr>
      <w:tr>
        <w:tblPrEx>
          <w:tblCellMar>
            <w:top w:w="0" w:type="dxa"/>
            <w:left w:w="0" w:type="dxa"/>
            <w:bottom w:w="0" w:type="dxa"/>
            <w:right w:w="0" w:type="dxa"/>
          </w:tblCellMar>
        </w:tblPrEx>
        <w:trPr>
          <w:trHeight w:val="183"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数量指标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食品中污染物及有害因素监测</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购买样品约30份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396份</w:t>
            </w:r>
          </w:p>
        </w:tc>
      </w:tr>
      <w:tr>
        <w:tblPrEx>
          <w:tblCellMar>
            <w:top w:w="0" w:type="dxa"/>
            <w:left w:w="0" w:type="dxa"/>
            <w:bottom w:w="0" w:type="dxa"/>
            <w:right w:w="0" w:type="dxa"/>
          </w:tblCellMar>
        </w:tblPrEx>
        <w:trPr>
          <w:trHeight w:val="332"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数量指标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食品中食源性致病菌监测</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购买样品约30份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w:t>
            </w:r>
          </w:p>
        </w:tc>
      </w:tr>
      <w:tr>
        <w:tblPrEx>
          <w:tblCellMar>
            <w:top w:w="0" w:type="dxa"/>
            <w:left w:w="0" w:type="dxa"/>
            <w:bottom w:w="0" w:type="dxa"/>
            <w:right w:w="0" w:type="dxa"/>
          </w:tblCellMar>
        </w:tblPrEx>
        <w:trPr>
          <w:trHeight w:val="137"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数量指标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食源性疾病监测监测</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审核病例约1000例</w:t>
            </w:r>
            <w:r>
              <w:rPr>
                <w:rFonts w:hint="eastAsia" w:ascii="宋体" w:hAnsi="宋体" w:cs="宋体"/>
                <w:color w:val="000000"/>
                <w:sz w:val="20"/>
                <w:szCs w:val="20"/>
              </w:rPr>
              <w:tab/>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w:t>
            </w:r>
          </w:p>
        </w:tc>
      </w:tr>
      <w:tr>
        <w:tblPrEx>
          <w:tblCellMar>
            <w:top w:w="0" w:type="dxa"/>
            <w:left w:w="0" w:type="dxa"/>
            <w:bottom w:w="0" w:type="dxa"/>
            <w:right w:w="0" w:type="dxa"/>
          </w:tblCellMar>
        </w:tblPrEx>
        <w:trPr>
          <w:trHeight w:val="362"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质量指标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食品中污染物及有害因素监测</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完成率90%以上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w:t>
            </w:r>
          </w:p>
        </w:tc>
      </w:tr>
      <w:tr>
        <w:tblPrEx>
          <w:tblCellMar>
            <w:top w:w="0" w:type="dxa"/>
            <w:left w:w="0" w:type="dxa"/>
            <w:bottom w:w="0" w:type="dxa"/>
            <w:right w:w="0" w:type="dxa"/>
          </w:tblCellMar>
        </w:tblPrEx>
        <w:trPr>
          <w:trHeight w:val="227"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质量指标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食品中食源性致病菌监测</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完成率90%以上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w:t>
            </w:r>
          </w:p>
        </w:tc>
      </w:tr>
      <w:tr>
        <w:tblPrEx>
          <w:tblCellMar>
            <w:top w:w="0" w:type="dxa"/>
            <w:left w:w="0" w:type="dxa"/>
            <w:bottom w:w="0" w:type="dxa"/>
            <w:right w:w="0" w:type="dxa"/>
          </w:tblCellMar>
        </w:tblPrEx>
        <w:trPr>
          <w:trHeight w:val="364"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质量指标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食源性疾病监测监测</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完成率90%以上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w:t>
            </w:r>
          </w:p>
        </w:tc>
      </w:tr>
      <w:tr>
        <w:tblPrEx>
          <w:tblCellMar>
            <w:top w:w="0" w:type="dxa"/>
            <w:left w:w="0" w:type="dxa"/>
            <w:bottom w:w="0" w:type="dxa"/>
            <w:right w:w="0" w:type="dxa"/>
          </w:tblCellMar>
        </w:tblPrEx>
        <w:trPr>
          <w:trHeight w:val="302"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质量指标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食物中毒调查</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完成率90%以上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w:t>
            </w:r>
          </w:p>
        </w:tc>
      </w:tr>
      <w:tr>
        <w:tblPrEx>
          <w:tblCellMar>
            <w:top w:w="0" w:type="dxa"/>
            <w:left w:w="0" w:type="dxa"/>
            <w:bottom w:w="0" w:type="dxa"/>
            <w:right w:w="0" w:type="dxa"/>
          </w:tblCellMar>
        </w:tblPrEx>
        <w:trPr>
          <w:trHeight w:val="287"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时效指标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完成时间</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2021年底完成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w:t>
            </w:r>
          </w:p>
        </w:tc>
      </w:tr>
      <w:tr>
        <w:tblPrEx>
          <w:tblCellMar>
            <w:top w:w="0" w:type="dxa"/>
            <w:left w:w="0" w:type="dxa"/>
            <w:bottom w:w="0" w:type="dxa"/>
            <w:right w:w="0" w:type="dxa"/>
          </w:tblCellMar>
        </w:tblPrEx>
        <w:trPr>
          <w:trHeight w:val="94"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成本指标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成本</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≤50000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w:t>
            </w:r>
          </w:p>
        </w:tc>
      </w:tr>
      <w:tr>
        <w:tblPrEx>
          <w:tblCellMar>
            <w:top w:w="0" w:type="dxa"/>
            <w:left w:w="0" w:type="dxa"/>
            <w:bottom w:w="0" w:type="dxa"/>
            <w:right w:w="0" w:type="dxa"/>
          </w:tblCellMar>
        </w:tblPrEx>
        <w:trPr>
          <w:trHeight w:val="392"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效益指标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社会效益</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食品安全保障</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有效保障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w:t>
            </w:r>
          </w:p>
        </w:tc>
      </w:tr>
      <w:tr>
        <w:tblPrEx>
          <w:tblCellMar>
            <w:top w:w="0" w:type="dxa"/>
            <w:left w:w="0" w:type="dxa"/>
            <w:bottom w:w="0" w:type="dxa"/>
            <w:right w:w="0" w:type="dxa"/>
          </w:tblCellMar>
        </w:tblPrEx>
        <w:trPr>
          <w:trHeight w:val="555" w:hRule="atLeast"/>
          <w:jc w:val="center"/>
        </w:trPr>
        <w:tc>
          <w:tcPr>
            <w:tcW w:w="62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效益指标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可持续性</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主要掌握本市食源性疾病的发病及流行趋势</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有效掌握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w:t>
            </w:r>
          </w:p>
        </w:tc>
      </w:tr>
      <w:tr>
        <w:tblPrEx>
          <w:tblCellMar>
            <w:top w:w="0" w:type="dxa"/>
            <w:left w:w="0" w:type="dxa"/>
            <w:bottom w:w="0" w:type="dxa"/>
            <w:right w:w="0" w:type="dxa"/>
          </w:tblCellMar>
        </w:tblPrEx>
        <w:trPr>
          <w:trHeight w:val="360" w:hRule="atLeast"/>
          <w:jc w:val="center"/>
        </w:trPr>
        <w:tc>
          <w:tcPr>
            <w:tcW w:w="62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满意度指标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满意度指标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培训人员满意度</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85%以上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(2021年度)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 xml:space="preserve">    仪器设备维护及维修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广安市疾病预防控制中心</w:t>
            </w:r>
          </w:p>
        </w:tc>
      </w:tr>
      <w:tr>
        <w:tblPrEx>
          <w:tblCellMar>
            <w:top w:w="0" w:type="dxa"/>
            <w:left w:w="0" w:type="dxa"/>
            <w:bottom w:w="0" w:type="dxa"/>
            <w:right w:w="0" w:type="dxa"/>
          </w:tblCellMar>
        </w:tblPrEx>
        <w:trPr>
          <w:trHeight w:val="276"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预算执行情况(万元)</w:t>
            </w:r>
          </w:p>
        </w:tc>
        <w:tc>
          <w:tcPr>
            <w:tcW w:w="21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预算数:</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5</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5</w:t>
            </w:r>
          </w:p>
        </w:tc>
      </w:tr>
      <w:tr>
        <w:tblPrEx>
          <w:tblCellMar>
            <w:top w:w="0" w:type="dxa"/>
            <w:left w:w="0" w:type="dxa"/>
            <w:bottom w:w="0" w:type="dxa"/>
            <w:right w:w="0" w:type="dxa"/>
          </w:tblCellMar>
        </w:tblPrEx>
        <w:trPr>
          <w:trHeight w:val="276"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21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其中-财政拨款:</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5</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5</w:t>
            </w:r>
          </w:p>
        </w:tc>
      </w:tr>
      <w:tr>
        <w:tblPrEx>
          <w:tblCellMar>
            <w:top w:w="0" w:type="dxa"/>
            <w:left w:w="0" w:type="dxa"/>
            <w:bottom w:w="0" w:type="dxa"/>
            <w:right w:w="0" w:type="dxa"/>
          </w:tblCellMar>
        </w:tblPrEx>
        <w:trPr>
          <w:trHeight w:val="151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21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其它资金:</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0</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0</w:t>
            </w:r>
          </w:p>
        </w:tc>
      </w:tr>
      <w:tr>
        <w:tblPrEx>
          <w:tblCellMar>
            <w:top w:w="0" w:type="dxa"/>
            <w:left w:w="0" w:type="dxa"/>
            <w:bottom w:w="0" w:type="dxa"/>
            <w:right w:w="0" w:type="dxa"/>
          </w:tblCellMar>
        </w:tblPrEx>
        <w:trPr>
          <w:trHeight w:val="276"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年度目标完成情况</w:t>
            </w:r>
          </w:p>
        </w:tc>
        <w:tc>
          <w:tcPr>
            <w:tcW w:w="45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预期目标</w:t>
            </w:r>
          </w:p>
        </w:tc>
        <w:tc>
          <w:tcPr>
            <w:tcW w:w="47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实际完成目标</w:t>
            </w:r>
          </w:p>
        </w:tc>
      </w:tr>
      <w:tr>
        <w:tblPrEx>
          <w:tblCellMar>
            <w:top w:w="0" w:type="dxa"/>
            <w:left w:w="0" w:type="dxa"/>
            <w:bottom w:w="0" w:type="dxa"/>
            <w:right w:w="0" w:type="dxa"/>
          </w:tblCellMar>
        </w:tblPrEx>
        <w:trPr>
          <w:trHeight w:val="1159"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45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《中华人民共和国强制检定的工作计量器具检定管理办法》和《检验检测机构资质认定能力评价  检验检测机构通用要求》（RB/T214-2017）要求，疾控中心每年应制定仪器设备年度检定/校准计划，并委托相关机构完成仪器设备的检定/校准工作。</w:t>
            </w:r>
          </w:p>
        </w:tc>
        <w:tc>
          <w:tcPr>
            <w:tcW w:w="47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完成了《中华人民共和国强制检定的工作计量器具检定管理办法》和《检验检测机构资质认定能力评价  检验检测机构通用要求》（RB/T214-2017）要求，疾控中心每年应制定仪器设备年度检定/校准计划，并委托相关机构完成仪器设备的检定/校准工作。</w:t>
            </w:r>
          </w:p>
        </w:tc>
      </w:tr>
      <w:tr>
        <w:tblPrEx>
          <w:tblCellMar>
            <w:top w:w="0" w:type="dxa"/>
            <w:left w:w="0" w:type="dxa"/>
            <w:bottom w:w="0" w:type="dxa"/>
            <w:right w:w="0" w:type="dxa"/>
          </w:tblCellMar>
        </w:tblPrEx>
        <w:trPr>
          <w:trHeight w:val="1042" w:hRule="atLeast"/>
          <w:jc w:val="center"/>
        </w:trPr>
        <w:tc>
          <w:tcPr>
            <w:tcW w:w="62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绩效指标完成情况</w:t>
            </w: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一级指标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二级指标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三级指标</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实际完成指标值(包含数字及文字描述)</w:t>
            </w:r>
          </w:p>
        </w:tc>
      </w:tr>
      <w:tr>
        <w:tblPrEx>
          <w:tblCellMar>
            <w:top w:w="0" w:type="dxa"/>
            <w:left w:w="0" w:type="dxa"/>
            <w:bottom w:w="0" w:type="dxa"/>
            <w:right w:w="0" w:type="dxa"/>
          </w:tblCellMar>
        </w:tblPrEx>
        <w:trPr>
          <w:trHeight w:val="953"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数量指标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仪器设备维护数</w:t>
            </w:r>
          </w:p>
          <w:p>
            <w:pPr>
              <w:widowControl/>
              <w:jc w:val="center"/>
              <w:textAlignment w:val="center"/>
              <w:rPr>
                <w:rFonts w:ascii="宋体" w:hAnsi="宋体" w:cs="宋体"/>
                <w:color w:val="000000"/>
                <w:sz w:val="20"/>
                <w:szCs w:val="20"/>
              </w:rPr>
            </w:pP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≧48台/件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w:t>
            </w:r>
          </w:p>
        </w:tc>
      </w:tr>
      <w:tr>
        <w:tblPrEx>
          <w:tblCellMar>
            <w:top w:w="0" w:type="dxa"/>
            <w:left w:w="0" w:type="dxa"/>
            <w:bottom w:w="0" w:type="dxa"/>
            <w:right w:w="0" w:type="dxa"/>
          </w:tblCellMar>
        </w:tblPrEx>
        <w:trPr>
          <w:trHeight w:val="1297"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质量指标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仪器检定</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达到检验检测标准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w:t>
            </w:r>
          </w:p>
        </w:tc>
      </w:tr>
      <w:tr>
        <w:tblPrEx>
          <w:tblCellMar>
            <w:top w:w="0" w:type="dxa"/>
            <w:left w:w="0" w:type="dxa"/>
            <w:bottom w:w="0" w:type="dxa"/>
            <w:right w:w="0" w:type="dxa"/>
          </w:tblCellMar>
        </w:tblPrEx>
        <w:trPr>
          <w:trHeight w:val="1042"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时效指标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完成时间</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≤2021年底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w:t>
            </w:r>
          </w:p>
        </w:tc>
      </w:tr>
      <w:tr>
        <w:tblPrEx>
          <w:tblCellMar>
            <w:top w:w="0" w:type="dxa"/>
            <w:left w:w="0" w:type="dxa"/>
            <w:bottom w:w="0" w:type="dxa"/>
            <w:right w:w="0" w:type="dxa"/>
          </w:tblCellMar>
        </w:tblPrEx>
        <w:trPr>
          <w:trHeight w:val="707"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成本指标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维护费</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≤50000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w:t>
            </w:r>
          </w:p>
        </w:tc>
      </w:tr>
      <w:tr>
        <w:tblPrEx>
          <w:tblCellMar>
            <w:top w:w="0" w:type="dxa"/>
            <w:left w:w="0" w:type="dxa"/>
            <w:bottom w:w="0" w:type="dxa"/>
            <w:right w:w="0" w:type="dxa"/>
          </w:tblCellMar>
        </w:tblPrEx>
        <w:trPr>
          <w:trHeight w:val="646"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效益指标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社会效益</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设备设施正常运行保障</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有效保障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w:t>
            </w:r>
          </w:p>
        </w:tc>
      </w:tr>
      <w:tr>
        <w:tblPrEx>
          <w:tblCellMar>
            <w:top w:w="0" w:type="dxa"/>
            <w:left w:w="0" w:type="dxa"/>
            <w:bottom w:w="0" w:type="dxa"/>
            <w:right w:w="0" w:type="dxa"/>
          </w:tblCellMar>
        </w:tblPrEx>
        <w:trPr>
          <w:trHeight w:val="810" w:hRule="atLeast"/>
          <w:jc w:val="center"/>
        </w:trPr>
        <w:tc>
          <w:tcPr>
            <w:tcW w:w="62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满意度指标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满意度指标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设备使用人员</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85%以上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(2021年度)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传染病报告质量管理</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广安市疾病预防控制中心</w:t>
            </w:r>
          </w:p>
        </w:tc>
      </w:tr>
      <w:tr>
        <w:tblPrEx>
          <w:tblCellMar>
            <w:top w:w="0" w:type="dxa"/>
            <w:left w:w="0" w:type="dxa"/>
            <w:bottom w:w="0" w:type="dxa"/>
            <w:right w:w="0" w:type="dxa"/>
          </w:tblCellMar>
        </w:tblPrEx>
        <w:trPr>
          <w:trHeight w:val="276"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预算执行情况(万元)</w:t>
            </w:r>
          </w:p>
        </w:tc>
        <w:tc>
          <w:tcPr>
            <w:tcW w:w="21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预算数:</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w:t>
            </w:r>
          </w:p>
        </w:tc>
      </w:tr>
      <w:tr>
        <w:tblPrEx>
          <w:tblCellMar>
            <w:top w:w="0" w:type="dxa"/>
            <w:left w:w="0" w:type="dxa"/>
            <w:bottom w:w="0" w:type="dxa"/>
            <w:right w:w="0" w:type="dxa"/>
          </w:tblCellMar>
        </w:tblPrEx>
        <w:trPr>
          <w:trHeight w:val="276"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21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其中-财政拨款:</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w:t>
            </w:r>
          </w:p>
        </w:tc>
      </w:tr>
      <w:tr>
        <w:tblPrEx>
          <w:tblCellMar>
            <w:top w:w="0" w:type="dxa"/>
            <w:left w:w="0" w:type="dxa"/>
            <w:bottom w:w="0" w:type="dxa"/>
            <w:right w:w="0" w:type="dxa"/>
          </w:tblCellMar>
        </w:tblPrEx>
        <w:trPr>
          <w:trHeight w:val="151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21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其它资金:</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0</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0</w:t>
            </w:r>
          </w:p>
        </w:tc>
      </w:tr>
      <w:tr>
        <w:tblPrEx>
          <w:tblCellMar>
            <w:top w:w="0" w:type="dxa"/>
            <w:left w:w="0" w:type="dxa"/>
            <w:bottom w:w="0" w:type="dxa"/>
            <w:right w:w="0" w:type="dxa"/>
          </w:tblCellMar>
        </w:tblPrEx>
        <w:trPr>
          <w:trHeight w:val="276"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年度目标完成情况</w:t>
            </w:r>
          </w:p>
        </w:tc>
        <w:tc>
          <w:tcPr>
            <w:tcW w:w="45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预期目标</w:t>
            </w:r>
          </w:p>
        </w:tc>
        <w:tc>
          <w:tcPr>
            <w:tcW w:w="47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实际完成目标</w:t>
            </w:r>
          </w:p>
        </w:tc>
      </w:tr>
      <w:tr>
        <w:tblPrEx>
          <w:tblCellMar>
            <w:top w:w="0" w:type="dxa"/>
            <w:left w:w="0" w:type="dxa"/>
            <w:bottom w:w="0" w:type="dxa"/>
            <w:right w:w="0" w:type="dxa"/>
          </w:tblCellMar>
        </w:tblPrEx>
        <w:trPr>
          <w:trHeight w:val="1159"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45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1.每天开展传染病网络直报监测；2.每年开展1-2次传染病报告管理培训；3.每年开展1-2次对各区市县传染病报告技术指导；4.每月开展1次传染病数据分析。</w:t>
            </w:r>
          </w:p>
        </w:tc>
        <w:tc>
          <w:tcPr>
            <w:tcW w:w="47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w:t>
            </w:r>
          </w:p>
        </w:tc>
      </w:tr>
      <w:tr>
        <w:tblPrEx>
          <w:tblCellMar>
            <w:top w:w="0" w:type="dxa"/>
            <w:left w:w="0" w:type="dxa"/>
            <w:bottom w:w="0" w:type="dxa"/>
            <w:right w:w="0" w:type="dxa"/>
          </w:tblCellMar>
        </w:tblPrEx>
        <w:trPr>
          <w:trHeight w:val="502" w:hRule="atLeast"/>
          <w:jc w:val="center"/>
        </w:trPr>
        <w:tc>
          <w:tcPr>
            <w:tcW w:w="62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绩效指标完成情况</w:t>
            </w: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一级指标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二级指标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三级指标</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实际完成指标值(包含数字及文字描述)</w:t>
            </w:r>
          </w:p>
        </w:tc>
      </w:tr>
      <w:tr>
        <w:tblPrEx>
          <w:tblCellMar>
            <w:top w:w="0" w:type="dxa"/>
            <w:left w:w="0" w:type="dxa"/>
            <w:bottom w:w="0" w:type="dxa"/>
            <w:right w:w="0" w:type="dxa"/>
          </w:tblCellMar>
        </w:tblPrEx>
        <w:trPr>
          <w:trHeight w:val="304"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数量指标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传染病网络直报监测</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每天4次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w:t>
            </w:r>
          </w:p>
        </w:tc>
      </w:tr>
      <w:tr>
        <w:tblPrEx>
          <w:tblCellMar>
            <w:top w:w="0" w:type="dxa"/>
            <w:left w:w="0" w:type="dxa"/>
            <w:bottom w:w="0" w:type="dxa"/>
            <w:right w:w="0" w:type="dxa"/>
          </w:tblCellMar>
        </w:tblPrEx>
        <w:trPr>
          <w:trHeight w:val="197"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数量指标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传染病报告管理培训</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1-2次/年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1次</w:t>
            </w:r>
          </w:p>
        </w:tc>
      </w:tr>
      <w:tr>
        <w:tblPrEx>
          <w:tblCellMar>
            <w:top w:w="0" w:type="dxa"/>
            <w:left w:w="0" w:type="dxa"/>
            <w:bottom w:w="0" w:type="dxa"/>
            <w:right w:w="0" w:type="dxa"/>
          </w:tblCellMar>
        </w:tblPrEx>
        <w:trPr>
          <w:trHeight w:val="289"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数量指标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传染病报告技术指导</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1-2次/年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1次</w:t>
            </w:r>
          </w:p>
        </w:tc>
      </w:tr>
      <w:tr>
        <w:tblPrEx>
          <w:tblCellMar>
            <w:top w:w="0" w:type="dxa"/>
            <w:left w:w="0" w:type="dxa"/>
            <w:bottom w:w="0" w:type="dxa"/>
            <w:right w:w="0" w:type="dxa"/>
          </w:tblCellMar>
        </w:tblPrEx>
        <w:trPr>
          <w:trHeight w:val="227"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数量指标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传染病数据分析</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15期/年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15期</w:t>
            </w:r>
          </w:p>
        </w:tc>
      </w:tr>
      <w:tr>
        <w:tblPrEx>
          <w:tblCellMar>
            <w:top w:w="0" w:type="dxa"/>
            <w:left w:w="0" w:type="dxa"/>
            <w:bottom w:w="0" w:type="dxa"/>
            <w:right w:w="0" w:type="dxa"/>
          </w:tblCellMar>
        </w:tblPrEx>
        <w:trPr>
          <w:trHeight w:val="332"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质量指标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传染病报告质量评价综合率</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95%以上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96.53%</w:t>
            </w:r>
          </w:p>
        </w:tc>
      </w:tr>
      <w:tr>
        <w:tblPrEx>
          <w:tblCellMar>
            <w:top w:w="0" w:type="dxa"/>
            <w:left w:w="0" w:type="dxa"/>
            <w:bottom w:w="0" w:type="dxa"/>
            <w:right w:w="0" w:type="dxa"/>
          </w:tblCellMar>
        </w:tblPrEx>
        <w:trPr>
          <w:trHeight w:val="379"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时效指标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完成时间</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≤2021年底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w:t>
            </w:r>
          </w:p>
        </w:tc>
      </w:tr>
      <w:tr>
        <w:tblPrEx>
          <w:tblCellMar>
            <w:top w:w="0" w:type="dxa"/>
            <w:left w:w="0" w:type="dxa"/>
            <w:bottom w:w="0" w:type="dxa"/>
            <w:right w:w="0" w:type="dxa"/>
          </w:tblCellMar>
        </w:tblPrEx>
        <w:trPr>
          <w:trHeight w:val="259"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成本指标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其他交通等费</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≤10000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w:t>
            </w:r>
          </w:p>
        </w:tc>
      </w:tr>
      <w:tr>
        <w:tblPrEx>
          <w:tblCellMar>
            <w:top w:w="0" w:type="dxa"/>
            <w:left w:w="0" w:type="dxa"/>
            <w:bottom w:w="0" w:type="dxa"/>
            <w:right w:w="0" w:type="dxa"/>
          </w:tblCellMar>
        </w:tblPrEx>
        <w:trPr>
          <w:trHeight w:val="622"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效益指标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社会效益</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传染病报告质量提升</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持续提高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持续提高</w:t>
            </w:r>
          </w:p>
        </w:tc>
      </w:tr>
      <w:tr>
        <w:tblPrEx>
          <w:tblCellMar>
            <w:top w:w="0" w:type="dxa"/>
            <w:left w:w="0" w:type="dxa"/>
            <w:bottom w:w="0" w:type="dxa"/>
            <w:right w:w="0" w:type="dxa"/>
          </w:tblCellMar>
        </w:tblPrEx>
        <w:trPr>
          <w:trHeight w:val="772"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效益指标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可持续性</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报告数据引用</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持续提升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持续提升</w:t>
            </w:r>
          </w:p>
        </w:tc>
      </w:tr>
      <w:tr>
        <w:tblPrEx>
          <w:tblCellMar>
            <w:top w:w="0" w:type="dxa"/>
            <w:left w:w="0" w:type="dxa"/>
            <w:bottom w:w="0" w:type="dxa"/>
            <w:right w:w="0" w:type="dxa"/>
          </w:tblCellMar>
        </w:tblPrEx>
        <w:trPr>
          <w:trHeight w:val="939" w:hRule="atLeast"/>
          <w:jc w:val="center"/>
        </w:trPr>
        <w:tc>
          <w:tcPr>
            <w:tcW w:w="62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满意度指标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满意度指标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培训人员满意</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85%以上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(2021年度)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疾病监测</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广安市疾病预防控制中心</w:t>
            </w:r>
          </w:p>
        </w:tc>
      </w:tr>
      <w:tr>
        <w:tblPrEx>
          <w:tblCellMar>
            <w:top w:w="0" w:type="dxa"/>
            <w:left w:w="0" w:type="dxa"/>
            <w:bottom w:w="0" w:type="dxa"/>
            <w:right w:w="0" w:type="dxa"/>
          </w:tblCellMar>
        </w:tblPrEx>
        <w:trPr>
          <w:trHeight w:val="276"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预算执行情况(万元)</w:t>
            </w:r>
          </w:p>
        </w:tc>
        <w:tc>
          <w:tcPr>
            <w:tcW w:w="21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预算数:</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3</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3</w:t>
            </w:r>
          </w:p>
        </w:tc>
      </w:tr>
      <w:tr>
        <w:tblPrEx>
          <w:tblCellMar>
            <w:top w:w="0" w:type="dxa"/>
            <w:left w:w="0" w:type="dxa"/>
            <w:bottom w:w="0" w:type="dxa"/>
            <w:right w:w="0" w:type="dxa"/>
          </w:tblCellMar>
        </w:tblPrEx>
        <w:trPr>
          <w:trHeight w:val="276"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21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其中-财政拨款:</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3</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3</w:t>
            </w:r>
          </w:p>
        </w:tc>
      </w:tr>
      <w:tr>
        <w:tblPrEx>
          <w:tblCellMar>
            <w:top w:w="0" w:type="dxa"/>
            <w:left w:w="0" w:type="dxa"/>
            <w:bottom w:w="0" w:type="dxa"/>
            <w:right w:w="0" w:type="dxa"/>
          </w:tblCellMar>
        </w:tblPrEx>
        <w:trPr>
          <w:trHeight w:val="151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21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其它资金:</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0</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0</w:t>
            </w:r>
          </w:p>
        </w:tc>
      </w:tr>
      <w:tr>
        <w:tblPrEx>
          <w:tblCellMar>
            <w:top w:w="0" w:type="dxa"/>
            <w:left w:w="0" w:type="dxa"/>
            <w:bottom w:w="0" w:type="dxa"/>
            <w:right w:w="0" w:type="dxa"/>
          </w:tblCellMar>
        </w:tblPrEx>
        <w:trPr>
          <w:trHeight w:val="276"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年度目标完成情况</w:t>
            </w:r>
          </w:p>
        </w:tc>
        <w:tc>
          <w:tcPr>
            <w:tcW w:w="45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预期目标</w:t>
            </w:r>
          </w:p>
        </w:tc>
        <w:tc>
          <w:tcPr>
            <w:tcW w:w="47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实际完成目标</w:t>
            </w:r>
          </w:p>
        </w:tc>
      </w:tr>
      <w:tr>
        <w:tblPrEx>
          <w:tblCellMar>
            <w:top w:w="0" w:type="dxa"/>
            <w:left w:w="0" w:type="dxa"/>
            <w:bottom w:w="0" w:type="dxa"/>
            <w:right w:w="0" w:type="dxa"/>
          </w:tblCellMar>
        </w:tblPrEx>
        <w:trPr>
          <w:trHeight w:val="1159"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45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1.开展新冠环境监测。 2.制定工作方案、开展人员培训、样本采集、资料归档、工作督导。按要求分析新冠监测数据，形成分析报告或开展风险评估。3.按照监测文件要求任务数对进行监测。</w:t>
            </w:r>
          </w:p>
        </w:tc>
        <w:tc>
          <w:tcPr>
            <w:tcW w:w="47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w:t>
            </w:r>
          </w:p>
        </w:tc>
      </w:tr>
      <w:tr>
        <w:tblPrEx>
          <w:tblCellMar>
            <w:top w:w="0" w:type="dxa"/>
            <w:left w:w="0" w:type="dxa"/>
            <w:bottom w:w="0" w:type="dxa"/>
            <w:right w:w="0" w:type="dxa"/>
          </w:tblCellMar>
        </w:tblPrEx>
        <w:trPr>
          <w:trHeight w:val="1042" w:hRule="atLeast"/>
          <w:jc w:val="center"/>
        </w:trPr>
        <w:tc>
          <w:tcPr>
            <w:tcW w:w="62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绩效指标完成情况</w:t>
            </w: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一级指标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二级指标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三级指标</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实际完成指标值(包含数字及文字描述)</w:t>
            </w:r>
          </w:p>
        </w:tc>
      </w:tr>
      <w:tr>
        <w:tblPrEx>
          <w:tblCellMar>
            <w:top w:w="0" w:type="dxa"/>
            <w:left w:w="0" w:type="dxa"/>
            <w:bottom w:w="0" w:type="dxa"/>
            <w:right w:w="0" w:type="dxa"/>
          </w:tblCellMar>
        </w:tblPrEx>
        <w:trPr>
          <w:trHeight w:val="953"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数量指标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全年新冠环境监测次数</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50次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w:t>
            </w:r>
          </w:p>
        </w:tc>
      </w:tr>
      <w:tr>
        <w:tblPrEx>
          <w:tblCellMar>
            <w:top w:w="0" w:type="dxa"/>
            <w:left w:w="0" w:type="dxa"/>
            <w:bottom w:w="0" w:type="dxa"/>
            <w:right w:w="0" w:type="dxa"/>
          </w:tblCellMar>
        </w:tblPrEx>
        <w:trPr>
          <w:trHeight w:val="1297"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数量指标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新冠监测采集样本量</w:t>
            </w:r>
          </w:p>
          <w:p>
            <w:pPr>
              <w:widowControl/>
              <w:jc w:val="center"/>
              <w:textAlignment w:val="center"/>
              <w:rPr>
                <w:rFonts w:ascii="宋体" w:hAnsi="宋体" w:cs="宋体"/>
                <w:color w:val="000000"/>
                <w:sz w:val="20"/>
                <w:szCs w:val="20"/>
              </w:rPr>
            </w:pP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500份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w:t>
            </w:r>
          </w:p>
        </w:tc>
      </w:tr>
      <w:tr>
        <w:tblPrEx>
          <w:tblCellMar>
            <w:top w:w="0" w:type="dxa"/>
            <w:left w:w="0" w:type="dxa"/>
            <w:bottom w:w="0" w:type="dxa"/>
            <w:right w:w="0" w:type="dxa"/>
          </w:tblCellMar>
        </w:tblPrEx>
        <w:trPr>
          <w:trHeight w:val="1042"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质量指标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监测完成率</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w:t>
            </w:r>
          </w:p>
        </w:tc>
      </w:tr>
      <w:tr>
        <w:tblPrEx>
          <w:tblCellMar>
            <w:top w:w="0" w:type="dxa"/>
            <w:left w:w="0" w:type="dxa"/>
            <w:bottom w:w="0" w:type="dxa"/>
            <w:right w:w="0" w:type="dxa"/>
          </w:tblCellMar>
        </w:tblPrEx>
        <w:trPr>
          <w:trHeight w:val="392"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成本指标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成本费</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≤30000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w:t>
            </w:r>
          </w:p>
        </w:tc>
      </w:tr>
      <w:tr>
        <w:tblPrEx>
          <w:tblCellMar>
            <w:top w:w="0" w:type="dxa"/>
            <w:left w:w="0" w:type="dxa"/>
            <w:bottom w:w="0" w:type="dxa"/>
            <w:right w:w="0" w:type="dxa"/>
          </w:tblCellMar>
        </w:tblPrEx>
        <w:trPr>
          <w:trHeight w:val="467"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时效指标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完成时间</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≤2021年底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w:t>
            </w:r>
          </w:p>
        </w:tc>
      </w:tr>
      <w:tr>
        <w:tblPrEx>
          <w:tblCellMar>
            <w:top w:w="0" w:type="dxa"/>
            <w:left w:w="0" w:type="dxa"/>
            <w:bottom w:w="0" w:type="dxa"/>
            <w:right w:w="0" w:type="dxa"/>
          </w:tblCellMar>
        </w:tblPrEx>
        <w:trPr>
          <w:trHeight w:val="507"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效益指标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社会效益</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传染病疫情预警</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及时有效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w:t>
            </w:r>
          </w:p>
        </w:tc>
      </w:tr>
      <w:tr>
        <w:tblPrEx>
          <w:tblCellMar>
            <w:top w:w="0" w:type="dxa"/>
            <w:left w:w="0" w:type="dxa"/>
            <w:bottom w:w="0" w:type="dxa"/>
            <w:right w:w="0" w:type="dxa"/>
          </w:tblCellMar>
        </w:tblPrEx>
        <w:trPr>
          <w:trHeight w:val="632" w:hRule="atLeast"/>
          <w:jc w:val="center"/>
        </w:trPr>
        <w:tc>
          <w:tcPr>
            <w:tcW w:w="6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效益指标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可持续性</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长期影响</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及时发现传染病疫情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w:t>
            </w:r>
          </w:p>
        </w:tc>
      </w:tr>
      <w:tr>
        <w:tblPrEx>
          <w:tblCellMar>
            <w:top w:w="0" w:type="dxa"/>
            <w:left w:w="0" w:type="dxa"/>
            <w:bottom w:w="0" w:type="dxa"/>
            <w:right w:w="0" w:type="dxa"/>
          </w:tblCellMar>
        </w:tblPrEx>
        <w:trPr>
          <w:trHeight w:val="820" w:hRule="atLeast"/>
          <w:jc w:val="center"/>
        </w:trPr>
        <w:tc>
          <w:tcPr>
            <w:tcW w:w="62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满意度指标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满意度指标</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培训人员满意度</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85%以上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已完成</w:t>
            </w:r>
          </w:p>
        </w:tc>
      </w:tr>
    </w:tbl>
    <w:p>
      <w:pPr>
        <w:spacing w:line="580" w:lineRule="exact"/>
        <w:ind w:firstLine="660" w:firstLineChars="200"/>
        <w:rPr>
          <w:rFonts w:eastAsia="方正仿宋_GBK"/>
          <w:color w:val="000000"/>
          <w:sz w:val="33"/>
          <w:szCs w:val="33"/>
        </w:rPr>
      </w:pPr>
    </w:p>
    <w:p>
      <w:pPr>
        <w:spacing w:line="580" w:lineRule="exact"/>
        <w:ind w:firstLine="660" w:firstLineChars="200"/>
        <w:rPr>
          <w:rFonts w:eastAsia="方正仿宋_GBK"/>
          <w:color w:val="000000"/>
          <w:sz w:val="33"/>
          <w:szCs w:val="33"/>
        </w:rPr>
      </w:pPr>
      <w:r>
        <w:rPr>
          <w:rFonts w:hint="eastAsia" w:eastAsia="方正仿宋_GBK"/>
          <w:color w:val="000000"/>
          <w:sz w:val="33"/>
          <w:szCs w:val="33"/>
        </w:rPr>
        <w:t>2.单位绩效评价结果。</w:t>
      </w:r>
    </w:p>
    <w:p>
      <w:pPr>
        <w:spacing w:line="580" w:lineRule="exact"/>
        <w:ind w:firstLine="660" w:firstLineChars="200"/>
        <w:rPr>
          <w:rFonts w:eastAsia="方正仿宋_GBK"/>
          <w:color w:val="000000"/>
          <w:sz w:val="33"/>
          <w:szCs w:val="33"/>
        </w:rPr>
      </w:pPr>
      <w:r>
        <w:rPr>
          <w:rFonts w:hint="eastAsia" w:eastAsia="方正仿宋_GBK"/>
          <w:color w:val="000000"/>
          <w:sz w:val="33"/>
          <w:szCs w:val="33"/>
        </w:rPr>
        <w:t>本单位按要求对2021年单位整体支出绩效评价情况开展自评，《广安市疾病预防控制中心单位2021年整体支出绩效评价报告》见附件（附件1）。</w:t>
      </w:r>
    </w:p>
    <w:p>
      <w:pPr>
        <w:spacing w:line="580" w:lineRule="exact"/>
        <w:ind w:firstLine="660" w:firstLineChars="200"/>
        <w:rPr>
          <w:rFonts w:eastAsia="方正仿宋_GBK"/>
          <w:color w:val="000000"/>
          <w:sz w:val="33"/>
          <w:szCs w:val="33"/>
        </w:rPr>
      </w:pPr>
      <w:r>
        <w:rPr>
          <w:rFonts w:hint="eastAsia" w:eastAsia="方正仿宋_GBK"/>
          <w:color w:val="000000"/>
          <w:sz w:val="33"/>
          <w:szCs w:val="33"/>
        </w:rPr>
        <w:t>本单位自行组织对艾滋病防治项目、生活饮用水监测等项目开展了绩效评价，《艾滋病防治项目2021年绩效评价报告》见附件（附件2）。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6"/>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6"/>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4"/>
        <w:spacing w:line="560" w:lineRule="exact"/>
        <w:ind w:firstLine="660" w:firstLineChars="200"/>
        <w:rPr>
          <w:rFonts w:ascii="Times New Roman" w:hAnsi="Times New Roman" w:eastAsia="方正仿宋_GBK" w:cs="Times New Roman"/>
          <w:kern w:val="2"/>
          <w:sz w:val="33"/>
          <w:szCs w:val="33"/>
        </w:rPr>
      </w:pPr>
      <w:r>
        <w:rPr>
          <w:rFonts w:hint="eastAsia" w:ascii="Times New Roman" w:hAnsi="Times New Roman" w:eastAsia="方正仿宋_GBK" w:cs="Times New Roman"/>
          <w:kern w:val="2"/>
          <w:sz w:val="33"/>
          <w:szCs w:val="33"/>
        </w:rPr>
        <w:t>1.财政拨款收入：指单位从同级财政部门取得的财政预算资金。</w:t>
      </w:r>
    </w:p>
    <w:p>
      <w:pPr>
        <w:pStyle w:val="24"/>
        <w:spacing w:line="560" w:lineRule="exact"/>
        <w:ind w:firstLine="660" w:firstLineChars="200"/>
        <w:rPr>
          <w:rFonts w:ascii="Times New Roman" w:hAnsi="Times New Roman" w:eastAsia="方正仿宋_GBK" w:cs="Times New Roman"/>
          <w:kern w:val="2"/>
          <w:sz w:val="33"/>
          <w:szCs w:val="33"/>
        </w:rPr>
      </w:pPr>
      <w:r>
        <w:rPr>
          <w:rFonts w:hint="eastAsia" w:ascii="Times New Roman" w:hAnsi="Times New Roman" w:eastAsia="方正仿宋_GBK" w:cs="Times New Roman"/>
          <w:kern w:val="2"/>
          <w:sz w:val="33"/>
          <w:szCs w:val="33"/>
        </w:rPr>
        <w:t>2.事业收入：指事业单位开展专业业务活动及辅助活动取得的收入。</w:t>
      </w:r>
    </w:p>
    <w:p>
      <w:pPr>
        <w:pStyle w:val="24"/>
        <w:spacing w:line="560" w:lineRule="exact"/>
        <w:ind w:firstLine="660" w:firstLineChars="200"/>
        <w:rPr>
          <w:rFonts w:ascii="Times New Roman" w:hAnsi="Times New Roman" w:eastAsia="方正仿宋_GBK" w:cs="Times New Roman"/>
          <w:kern w:val="2"/>
          <w:sz w:val="33"/>
          <w:szCs w:val="33"/>
        </w:rPr>
      </w:pPr>
      <w:r>
        <w:rPr>
          <w:rFonts w:hint="eastAsia" w:ascii="Times New Roman" w:hAnsi="Times New Roman" w:eastAsia="方正仿宋_GBK" w:cs="Times New Roman"/>
          <w:kern w:val="2"/>
          <w:sz w:val="33"/>
          <w:szCs w:val="33"/>
        </w:rPr>
        <w:t>3.经营收入：指事业单位在专业业务活动及其辅助活动之外开展非独立核算经营活动取得的收入</w:t>
      </w:r>
    </w:p>
    <w:p>
      <w:pPr>
        <w:pStyle w:val="24"/>
        <w:spacing w:line="560" w:lineRule="exact"/>
        <w:ind w:firstLine="660" w:firstLineChars="200"/>
        <w:rPr>
          <w:rFonts w:ascii="Times New Roman" w:hAnsi="Times New Roman" w:eastAsia="方正仿宋_GBK" w:cs="Times New Roman"/>
          <w:kern w:val="2"/>
          <w:sz w:val="33"/>
          <w:szCs w:val="33"/>
        </w:rPr>
      </w:pPr>
      <w:r>
        <w:rPr>
          <w:rFonts w:hint="eastAsia" w:ascii="Times New Roman" w:hAnsi="Times New Roman" w:eastAsia="方正仿宋_GBK" w:cs="Times New Roman"/>
          <w:kern w:val="2"/>
          <w:sz w:val="33"/>
          <w:szCs w:val="33"/>
        </w:rPr>
        <w:t>4.其他收入：指单位取得的除上述收入以外的各项收入。</w:t>
      </w:r>
    </w:p>
    <w:p>
      <w:pPr>
        <w:pStyle w:val="24"/>
        <w:spacing w:line="560" w:lineRule="exact"/>
        <w:ind w:firstLine="660" w:firstLineChars="200"/>
        <w:rPr>
          <w:rFonts w:ascii="Times New Roman" w:hAnsi="Times New Roman" w:eastAsia="方正仿宋_GBK" w:cs="Times New Roman"/>
          <w:kern w:val="2"/>
          <w:sz w:val="33"/>
          <w:szCs w:val="33"/>
        </w:rPr>
      </w:pPr>
      <w:r>
        <w:rPr>
          <w:rFonts w:hint="eastAsia" w:ascii="Times New Roman" w:hAnsi="Times New Roman" w:eastAsia="方正仿宋_GBK" w:cs="Times New Roman"/>
          <w:kern w:val="2"/>
          <w:sz w:val="33"/>
          <w:szCs w:val="33"/>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4"/>
        <w:spacing w:line="560" w:lineRule="exact"/>
        <w:ind w:firstLine="660" w:firstLineChars="200"/>
        <w:rPr>
          <w:rFonts w:ascii="Times New Roman" w:hAnsi="Times New Roman" w:eastAsia="方正仿宋_GBK" w:cs="Times New Roman"/>
          <w:kern w:val="2"/>
          <w:sz w:val="33"/>
          <w:szCs w:val="33"/>
        </w:rPr>
      </w:pPr>
      <w:r>
        <w:rPr>
          <w:rFonts w:hint="eastAsia" w:ascii="Times New Roman" w:hAnsi="Times New Roman" w:eastAsia="方正仿宋_GBK" w:cs="Times New Roman"/>
          <w:kern w:val="2"/>
          <w:sz w:val="33"/>
          <w:szCs w:val="33"/>
        </w:rPr>
        <w:t>6.年初结转和结余：指以前年度尚未完成、结转到本年按有关规定继续使用的资金。</w:t>
      </w:r>
    </w:p>
    <w:p>
      <w:pPr>
        <w:pStyle w:val="24"/>
        <w:spacing w:line="560" w:lineRule="exact"/>
        <w:ind w:firstLine="660" w:firstLineChars="200"/>
        <w:rPr>
          <w:rFonts w:ascii="Times New Roman" w:hAnsi="Times New Roman" w:eastAsia="方正仿宋_GBK" w:cs="Times New Roman"/>
          <w:kern w:val="2"/>
          <w:sz w:val="33"/>
          <w:szCs w:val="33"/>
        </w:rPr>
      </w:pPr>
      <w:r>
        <w:rPr>
          <w:rFonts w:hint="eastAsia" w:ascii="Times New Roman" w:hAnsi="Times New Roman" w:eastAsia="方正仿宋_GBK" w:cs="Times New Roman"/>
          <w:kern w:val="2"/>
          <w:sz w:val="33"/>
          <w:szCs w:val="33"/>
        </w:rPr>
        <w:t>7.结余分配：指事业单位按照事业单位会计制度的规定从非财政补助结余中分配的事业基金和职工福利基金等。</w:t>
      </w:r>
    </w:p>
    <w:p>
      <w:pPr>
        <w:pStyle w:val="24"/>
        <w:spacing w:line="560" w:lineRule="exact"/>
        <w:ind w:firstLine="660" w:firstLineChars="200"/>
        <w:rPr>
          <w:rFonts w:ascii="Times New Roman" w:hAnsi="Times New Roman" w:eastAsia="方正仿宋_GBK" w:cs="Times New Roman"/>
          <w:kern w:val="2"/>
          <w:sz w:val="33"/>
          <w:szCs w:val="33"/>
        </w:rPr>
      </w:pPr>
      <w:r>
        <w:rPr>
          <w:rFonts w:hint="eastAsia" w:ascii="Times New Roman" w:hAnsi="Times New Roman" w:eastAsia="方正仿宋_GBK" w:cs="Times New Roman"/>
          <w:kern w:val="2"/>
          <w:sz w:val="33"/>
          <w:szCs w:val="33"/>
        </w:rPr>
        <w:t>8、年末结转和结余：指单位按有关规定结转到下年或以后年度继续使用的资金。</w:t>
      </w:r>
    </w:p>
    <w:p>
      <w:pPr>
        <w:pStyle w:val="24"/>
        <w:spacing w:line="560" w:lineRule="exact"/>
        <w:ind w:firstLine="660" w:firstLineChars="200"/>
        <w:rPr>
          <w:rFonts w:ascii="Times New Roman" w:hAnsi="Times New Roman" w:eastAsia="方正仿宋_GBK" w:cs="Times New Roman"/>
          <w:kern w:val="2"/>
          <w:sz w:val="33"/>
          <w:szCs w:val="33"/>
        </w:rPr>
      </w:pPr>
      <w:r>
        <w:rPr>
          <w:rFonts w:hint="eastAsia" w:ascii="Times New Roman" w:hAnsi="Times New Roman" w:eastAsia="方正仿宋_GBK" w:cs="Times New Roman"/>
          <w:kern w:val="2"/>
          <w:sz w:val="33"/>
          <w:szCs w:val="33"/>
        </w:rPr>
        <w:t>9.一般公共服务（类）人力资源事务（款）引进人才费用（项）: 指用于引进高层次人才一次性安家补助等开支。</w:t>
      </w:r>
    </w:p>
    <w:p>
      <w:pPr>
        <w:pStyle w:val="24"/>
        <w:spacing w:line="560" w:lineRule="exact"/>
        <w:ind w:firstLine="660" w:firstLineChars="200"/>
        <w:rPr>
          <w:rFonts w:ascii="Times New Roman" w:hAnsi="Times New Roman" w:eastAsia="方正仿宋_GBK" w:cs="Times New Roman"/>
          <w:kern w:val="2"/>
          <w:sz w:val="33"/>
          <w:szCs w:val="33"/>
        </w:rPr>
      </w:pPr>
      <w:r>
        <w:rPr>
          <w:rFonts w:hint="eastAsia" w:ascii="Times New Roman" w:hAnsi="Times New Roman" w:eastAsia="方正仿宋_GBK" w:cs="Times New Roman"/>
          <w:kern w:val="2"/>
          <w:sz w:val="33"/>
          <w:szCs w:val="33"/>
        </w:rPr>
        <w:t>10.机关事业单位基本养老保险缴费支出（项）：指本级疾控机构缴纳的基本养老保险支出。</w:t>
      </w:r>
    </w:p>
    <w:p>
      <w:pPr>
        <w:pStyle w:val="24"/>
        <w:spacing w:line="560" w:lineRule="exact"/>
        <w:ind w:firstLine="660" w:firstLineChars="200"/>
        <w:rPr>
          <w:rFonts w:ascii="Times New Roman" w:hAnsi="Times New Roman" w:eastAsia="方正仿宋_GBK" w:cs="Times New Roman"/>
          <w:kern w:val="2"/>
          <w:sz w:val="33"/>
          <w:szCs w:val="33"/>
        </w:rPr>
      </w:pPr>
      <w:r>
        <w:rPr>
          <w:rFonts w:hint="eastAsia" w:ascii="Times New Roman" w:hAnsi="Times New Roman" w:eastAsia="方正仿宋_GBK" w:cs="Times New Roman"/>
          <w:kern w:val="2"/>
          <w:sz w:val="33"/>
          <w:szCs w:val="33"/>
        </w:rPr>
        <w:t>11.社会保障和就业（类）其他社会保障和就业支出（款）其他社会保障和就业支出（项）:指其他对个人和家庭补助支出。</w:t>
      </w:r>
    </w:p>
    <w:p>
      <w:pPr>
        <w:pStyle w:val="24"/>
        <w:spacing w:line="560" w:lineRule="exact"/>
        <w:ind w:firstLine="660" w:firstLineChars="200"/>
        <w:rPr>
          <w:rFonts w:ascii="Times New Roman" w:hAnsi="Times New Roman" w:eastAsia="方正仿宋_GBK" w:cs="Times New Roman"/>
          <w:kern w:val="2"/>
          <w:sz w:val="33"/>
          <w:szCs w:val="33"/>
        </w:rPr>
      </w:pPr>
      <w:r>
        <w:rPr>
          <w:rFonts w:hint="eastAsia" w:ascii="Times New Roman" w:hAnsi="Times New Roman" w:eastAsia="方正仿宋_GBK" w:cs="Times New Roman"/>
          <w:kern w:val="2"/>
          <w:sz w:val="33"/>
          <w:szCs w:val="33"/>
        </w:rPr>
        <w:t>12.卫生健康支出（类）公共卫生（款）疾病预防控制机构（项）:指用于保障疾控中心的正常运转，开展的日常工作支出。</w:t>
      </w:r>
    </w:p>
    <w:p>
      <w:pPr>
        <w:pStyle w:val="24"/>
        <w:spacing w:line="560" w:lineRule="exact"/>
        <w:ind w:firstLine="660" w:firstLineChars="200"/>
        <w:rPr>
          <w:rFonts w:ascii="Times New Roman" w:hAnsi="Times New Roman" w:eastAsia="方正仿宋_GBK" w:cs="Times New Roman"/>
          <w:kern w:val="2"/>
          <w:sz w:val="33"/>
          <w:szCs w:val="33"/>
        </w:rPr>
      </w:pPr>
      <w:r>
        <w:rPr>
          <w:rFonts w:hint="eastAsia" w:ascii="Times New Roman" w:hAnsi="Times New Roman" w:eastAsia="方正仿宋_GBK" w:cs="Times New Roman"/>
          <w:kern w:val="2"/>
          <w:sz w:val="33"/>
          <w:szCs w:val="33"/>
        </w:rPr>
        <w:t>13.卫生健康支出（类）公共卫生（款）重大公共卫生专项（项）：指用于艾滋病、流感等重大疾病预防控制等重大公共卫生服务项目支出。</w:t>
      </w:r>
    </w:p>
    <w:p>
      <w:pPr>
        <w:ind w:firstLine="660" w:firstLineChars="200"/>
        <w:rPr>
          <w:rFonts w:eastAsia="方正仿宋_GBK"/>
          <w:color w:val="000000"/>
          <w:sz w:val="33"/>
          <w:szCs w:val="33"/>
        </w:rPr>
      </w:pPr>
      <w:r>
        <w:rPr>
          <w:rFonts w:hint="eastAsia" w:eastAsia="方正仿宋_GBK"/>
          <w:color w:val="000000"/>
          <w:sz w:val="33"/>
          <w:szCs w:val="33"/>
        </w:rPr>
        <w:t>14.卫生健康支出（类）公共卫生（款）基本公共卫生服务（项）：指用于地方病、食品监测等疾病项目防治的支出。</w:t>
      </w:r>
    </w:p>
    <w:p>
      <w:pPr>
        <w:ind w:firstLine="660" w:firstLineChars="200"/>
        <w:rPr>
          <w:rFonts w:eastAsia="方正仿宋_GBK"/>
          <w:color w:val="000000"/>
          <w:sz w:val="33"/>
          <w:szCs w:val="33"/>
        </w:rPr>
      </w:pPr>
      <w:r>
        <w:rPr>
          <w:rFonts w:hint="eastAsia" w:eastAsia="方正仿宋_GBK"/>
          <w:color w:val="000000"/>
          <w:sz w:val="33"/>
          <w:szCs w:val="33"/>
        </w:rPr>
        <w:t>15.卫生健康支出（类）公共卫生（款）突发公共卫生事件应急处理（项）：指用于因新冠肺炎产生的消杀劳务及试剂耗材费的项目支出。</w:t>
      </w:r>
    </w:p>
    <w:p>
      <w:pPr>
        <w:ind w:firstLine="660" w:firstLineChars="200"/>
        <w:rPr>
          <w:rFonts w:eastAsia="方正仿宋_GBK"/>
          <w:color w:val="000000"/>
          <w:sz w:val="33"/>
          <w:szCs w:val="33"/>
        </w:rPr>
      </w:pPr>
      <w:r>
        <w:rPr>
          <w:rFonts w:hint="eastAsia" w:eastAsia="方正仿宋_GBK"/>
          <w:color w:val="000000"/>
          <w:sz w:val="33"/>
          <w:szCs w:val="33"/>
        </w:rPr>
        <w:t>16.卫生健康支出（类）公共卫生（款）其他公共卫生支出（项）:指未单独设置项目其他用于公共卫生方面的支出。 </w:t>
      </w:r>
    </w:p>
    <w:p>
      <w:pPr>
        <w:ind w:firstLine="660" w:firstLineChars="200"/>
        <w:rPr>
          <w:rFonts w:eastAsia="方正仿宋_GBK"/>
          <w:color w:val="000000"/>
          <w:sz w:val="33"/>
          <w:szCs w:val="33"/>
        </w:rPr>
      </w:pPr>
      <w:r>
        <w:rPr>
          <w:rFonts w:hint="eastAsia" w:eastAsia="方正仿宋_GBK"/>
          <w:color w:val="000000"/>
          <w:sz w:val="33"/>
          <w:szCs w:val="33"/>
        </w:rPr>
        <w:t>17.卫生健康支出（类）行政事业单位医疗（款）事业单位医疗（项）：指本级疾控机构用于职工事业单位医疗保险方面的支出。</w:t>
      </w:r>
    </w:p>
    <w:p>
      <w:pPr>
        <w:ind w:firstLine="660" w:firstLineChars="200"/>
        <w:rPr>
          <w:rFonts w:eastAsia="方正仿宋_GBK"/>
          <w:color w:val="000000"/>
          <w:sz w:val="33"/>
          <w:szCs w:val="33"/>
        </w:rPr>
      </w:pPr>
      <w:r>
        <w:rPr>
          <w:rFonts w:hint="eastAsia" w:eastAsia="方正仿宋_GBK"/>
          <w:color w:val="000000"/>
          <w:sz w:val="33"/>
          <w:szCs w:val="33"/>
        </w:rPr>
        <w:t>18.抗疫特别国债安排的支出（类）基础设施建设（款）公共卫生体系建设（项）:指用于实验室大楼、P2实验室、疫苗冷库等新建改造支出。</w:t>
      </w:r>
    </w:p>
    <w:p>
      <w:pPr>
        <w:ind w:firstLine="660" w:firstLineChars="200"/>
        <w:rPr>
          <w:rFonts w:eastAsia="方正仿宋_GBK"/>
          <w:color w:val="000000"/>
          <w:sz w:val="33"/>
          <w:szCs w:val="33"/>
        </w:rPr>
      </w:pPr>
      <w:r>
        <w:rPr>
          <w:rFonts w:hint="eastAsia" w:eastAsia="方正仿宋_GBK"/>
          <w:color w:val="000000"/>
          <w:sz w:val="33"/>
          <w:szCs w:val="33"/>
        </w:rPr>
        <w:t>19.基本支出：指为保障机构正常运转、完成日常工作任务而发生的人员支出和公用支出。</w:t>
      </w:r>
    </w:p>
    <w:p>
      <w:pPr>
        <w:ind w:firstLine="660" w:firstLineChars="200"/>
        <w:rPr>
          <w:rFonts w:eastAsia="方正仿宋_GBK"/>
          <w:color w:val="000000"/>
          <w:sz w:val="33"/>
          <w:szCs w:val="33"/>
        </w:rPr>
      </w:pPr>
      <w:r>
        <w:rPr>
          <w:rFonts w:hint="eastAsia" w:eastAsia="方正仿宋_GBK"/>
          <w:color w:val="000000"/>
          <w:sz w:val="33"/>
          <w:szCs w:val="33"/>
        </w:rPr>
        <w:t xml:space="preserve">20.项目支出：指在基本支出之外为完成特定行政任务和事业发展目标所发生的支出。 </w:t>
      </w:r>
    </w:p>
    <w:p>
      <w:pPr>
        <w:pStyle w:val="24"/>
        <w:spacing w:line="560" w:lineRule="exact"/>
        <w:ind w:firstLine="660" w:firstLineChars="200"/>
        <w:rPr>
          <w:rFonts w:ascii="Times New Roman" w:hAnsi="Times New Roman" w:eastAsia="方正仿宋_GBK" w:cs="Times New Roman"/>
          <w:kern w:val="2"/>
          <w:sz w:val="33"/>
          <w:szCs w:val="33"/>
        </w:rPr>
      </w:pPr>
      <w:r>
        <w:rPr>
          <w:rFonts w:hint="eastAsia" w:ascii="Times New Roman" w:hAnsi="Times New Roman" w:eastAsia="方正仿宋_GBK" w:cs="Times New Roman"/>
          <w:kern w:val="2"/>
          <w:sz w:val="33"/>
          <w:szCs w:val="33"/>
        </w:rPr>
        <w:t>21.“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6"/>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6"/>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rPr>
      </w:pPr>
      <w:r>
        <w:rPr>
          <w:rFonts w:hint="eastAsia" w:ascii="方正小标宋简体" w:hAnsi="宋体" w:eastAsia="方正小标宋简体"/>
          <w:color w:val="000000"/>
          <w:kern w:val="0"/>
          <w:sz w:val="40"/>
          <w:szCs w:val="44"/>
        </w:rPr>
        <w:t>广安市疾病预防控制中心</w:t>
      </w:r>
    </w:p>
    <w:p>
      <w:pPr>
        <w:spacing w:line="600" w:lineRule="exact"/>
        <w:jc w:val="center"/>
        <w:rPr>
          <w:rFonts w:hint="eastAsia"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w:t>
      </w:r>
      <w:r>
        <w:rPr>
          <w:rFonts w:hint="eastAsia" w:ascii="方正小标宋简体" w:hAnsi="宋体" w:eastAsia="方正小标宋简体"/>
          <w:color w:val="000000"/>
          <w:kern w:val="0"/>
          <w:sz w:val="40"/>
          <w:szCs w:val="44"/>
        </w:rPr>
        <w:t>21</w:t>
      </w:r>
      <w:r>
        <w:rPr>
          <w:rFonts w:ascii="方正小标宋简体" w:hAnsi="宋体" w:eastAsia="方正小标宋简体"/>
          <w:color w:val="000000"/>
          <w:kern w:val="0"/>
          <w:sz w:val="40"/>
          <w:szCs w:val="44"/>
        </w:rPr>
        <w:t>年</w:t>
      </w:r>
      <w:r>
        <w:rPr>
          <w:rFonts w:hint="eastAsia" w:ascii="方正小标宋简体" w:hAnsi="宋体" w:eastAsia="方正小标宋简体"/>
          <w:color w:val="000000"/>
          <w:kern w:val="0"/>
          <w:sz w:val="40"/>
          <w:szCs w:val="44"/>
        </w:rPr>
        <w:t>单位</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hint="eastAsia"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单位概况</w:t>
      </w:r>
    </w:p>
    <w:p>
      <w:pPr>
        <w:spacing w:line="580" w:lineRule="exact"/>
        <w:ind w:firstLine="660" w:firstLineChars="200"/>
        <w:rPr>
          <w:rFonts w:eastAsia="方正仿宋_GBK"/>
          <w:color w:val="000000"/>
          <w:sz w:val="33"/>
          <w:szCs w:val="33"/>
          <w:lang w:val="zh-CN"/>
        </w:rPr>
      </w:pPr>
      <w:r>
        <w:rPr>
          <w:rFonts w:hint="eastAsia" w:eastAsia="方正仿宋_GBK"/>
          <w:color w:val="000000"/>
          <w:sz w:val="33"/>
          <w:szCs w:val="33"/>
          <w:lang w:val="zh-CN"/>
        </w:rPr>
        <w:t>（一）机构组成。</w:t>
      </w:r>
      <w:r>
        <w:rPr>
          <w:rFonts w:hint="eastAsia" w:eastAsia="方正仿宋_GBK"/>
          <w:color w:val="000000"/>
          <w:sz w:val="33"/>
          <w:szCs w:val="33"/>
        </w:rPr>
        <w:t>广安市疾病预防控制中心属于广安市卫生健康委员会下属二级事业单位。中心内设13个科室，包括办公室、后勤保障科、规划财务科、急性传染病预防控制科、地方病与慢性非传染性疾病控制科、重大传染病防治科、免疫规划科、卫生科、信息与健康教育科、科教与质量控制科、职业健康科、微生物检验科、理化检验科。</w:t>
      </w:r>
    </w:p>
    <w:p>
      <w:pPr>
        <w:spacing w:line="580" w:lineRule="exact"/>
        <w:ind w:firstLine="660" w:firstLineChars="200"/>
        <w:rPr>
          <w:rFonts w:eastAsia="方正仿宋_GBK"/>
          <w:color w:val="000000"/>
          <w:sz w:val="33"/>
          <w:szCs w:val="33"/>
          <w:lang w:val="zh-CN"/>
        </w:rPr>
      </w:pPr>
      <w:r>
        <w:rPr>
          <w:rFonts w:hint="eastAsia" w:eastAsia="方正仿宋_GBK"/>
          <w:color w:val="000000"/>
          <w:sz w:val="33"/>
          <w:szCs w:val="33"/>
          <w:lang w:val="zh-CN"/>
        </w:rPr>
        <w:t>（二）机构职能。</w:t>
      </w:r>
      <w:r>
        <w:rPr>
          <w:rFonts w:hint="eastAsia" w:eastAsia="方正仿宋_GBK"/>
          <w:color w:val="000000"/>
          <w:sz w:val="33"/>
          <w:szCs w:val="33"/>
        </w:rPr>
        <w:t>组织实施全市传染病、地方病、职业病、慢性非传染性疾病、寄生虫病和媒介生物的监测和预防控制；承担着全市传染病疫情、食物中毒、食物污染、职业中毒、饮用水污染、放射事故等重大突发公共卫生事件的调查、应急处理及预防控制；开展食品卫生、学校卫生、职业卫生、放射卫生、公共场所卫生等类别的卫生监督检验、健康相关产品卫生质量检验、疾病预防控制检验；负责实施全市免疫预防接种规划及预防用生物制品的使用和管理；负责全市疾病预防控制信息的收集统计、分析评价及预测预报；承担着全市开展疾病预防控制、公共卫生相关技术的科研、培训、指导、宣传教育及咨询服务；为政府部门制定公共卫生、疾病预防控制的政策提供技术依据，参与拟定疾病预防控制、公共卫生相关的卫生法规、标准、方案；承担省、市卫生行政部门交付的其他任务。</w:t>
      </w:r>
    </w:p>
    <w:p>
      <w:pPr>
        <w:spacing w:line="580" w:lineRule="exact"/>
        <w:ind w:firstLine="660" w:firstLineChars="200"/>
        <w:rPr>
          <w:rFonts w:eastAsia="方正仿宋_GBK"/>
          <w:color w:val="000000"/>
          <w:sz w:val="33"/>
          <w:szCs w:val="33"/>
          <w:lang w:val="zh-CN"/>
        </w:rPr>
      </w:pPr>
      <w:r>
        <w:rPr>
          <w:rFonts w:hint="eastAsia" w:eastAsia="方正仿宋_GBK"/>
          <w:color w:val="000000"/>
          <w:sz w:val="33"/>
          <w:szCs w:val="33"/>
          <w:lang w:val="zh-CN"/>
        </w:rPr>
        <w:t>（三）人员概况。本单位编制人数共80人，在岗职工6</w:t>
      </w:r>
      <w:r>
        <w:rPr>
          <w:rFonts w:hint="eastAsia" w:eastAsia="方正仿宋_GBK"/>
          <w:color w:val="000000"/>
          <w:sz w:val="33"/>
          <w:szCs w:val="33"/>
        </w:rPr>
        <w:t>9</w:t>
      </w:r>
      <w:r>
        <w:rPr>
          <w:rFonts w:hint="eastAsia" w:eastAsia="方正仿宋_GBK"/>
          <w:color w:val="000000"/>
          <w:sz w:val="33"/>
          <w:szCs w:val="33"/>
          <w:lang w:val="zh-CN"/>
        </w:rPr>
        <w:t>人，合同制人员6</w:t>
      </w:r>
      <w:r>
        <w:rPr>
          <w:rFonts w:hint="eastAsia" w:eastAsia="方正仿宋_GBK"/>
          <w:color w:val="000000"/>
          <w:sz w:val="33"/>
          <w:szCs w:val="33"/>
        </w:rPr>
        <w:t>6</w:t>
      </w:r>
      <w:r>
        <w:rPr>
          <w:rFonts w:hint="eastAsia" w:eastAsia="方正仿宋_GBK"/>
          <w:color w:val="000000"/>
          <w:sz w:val="33"/>
          <w:szCs w:val="33"/>
          <w:lang w:val="zh-CN"/>
        </w:rPr>
        <w:t>人，临聘人员3人，卫生技术人员54人，其中执业医师27人，注册护士4人，2021年退休1人，辞职2人，新进人员10人</w:t>
      </w:r>
      <w:r>
        <w:rPr>
          <w:rFonts w:hint="eastAsia" w:eastAsia="方正仿宋_GBK"/>
          <w:color w:val="000000"/>
          <w:sz w:val="33"/>
          <w:szCs w:val="33"/>
        </w:rPr>
        <w:t>。</w:t>
      </w:r>
    </w:p>
    <w:p>
      <w:pPr>
        <w:widowControl/>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二、单位财政资金收支情况</w:t>
      </w:r>
    </w:p>
    <w:p>
      <w:pPr>
        <w:spacing w:line="580" w:lineRule="exact"/>
        <w:ind w:firstLine="660" w:firstLineChars="200"/>
        <w:rPr>
          <w:rFonts w:eastAsia="方正仿宋_GBK"/>
          <w:color w:val="000000"/>
          <w:sz w:val="33"/>
          <w:szCs w:val="33"/>
          <w:lang w:val="zh-CN"/>
        </w:rPr>
      </w:pPr>
      <w:r>
        <w:rPr>
          <w:rFonts w:hint="eastAsia" w:eastAsia="方正仿宋_GBK"/>
          <w:color w:val="000000"/>
          <w:sz w:val="33"/>
          <w:szCs w:val="33"/>
          <w:lang w:val="zh-CN"/>
        </w:rPr>
        <w:t>（一）单位财政资金收入情况。</w:t>
      </w:r>
      <w:r>
        <w:rPr>
          <w:rFonts w:hint="eastAsia" w:eastAsia="方正仿宋_GBK"/>
          <w:color w:val="000000"/>
          <w:sz w:val="33"/>
          <w:szCs w:val="33"/>
        </w:rPr>
        <w:t>2021年本年收入决算合计4459.24万元，其中：本年一般公共预算财政拨款收入1038.31万元、上年结转3420.93万元。无国有资本经营预算财政拨款收入、无事业收入、经营收入及附属单位上缴收入。</w:t>
      </w:r>
    </w:p>
    <w:p>
      <w:pPr>
        <w:spacing w:line="580" w:lineRule="exact"/>
        <w:ind w:firstLine="660" w:firstLineChars="200"/>
        <w:rPr>
          <w:rFonts w:eastAsia="方正仿宋_GBK"/>
          <w:color w:val="000000"/>
          <w:sz w:val="33"/>
          <w:szCs w:val="33"/>
        </w:rPr>
      </w:pPr>
      <w:r>
        <w:rPr>
          <w:rFonts w:hint="eastAsia" w:eastAsia="方正仿宋_GBK"/>
          <w:color w:val="000000"/>
          <w:sz w:val="33"/>
          <w:szCs w:val="33"/>
          <w:lang w:val="zh-CN"/>
        </w:rPr>
        <w:t>（二）单位财政资金支出情况。</w:t>
      </w:r>
      <w:r>
        <w:rPr>
          <w:rFonts w:hint="eastAsia" w:eastAsia="方正仿宋_GBK"/>
          <w:color w:val="000000"/>
          <w:sz w:val="33"/>
          <w:szCs w:val="33"/>
        </w:rPr>
        <w:t>2021年本年支出决算合计4459.24万元，其中：基本支出738.16万元，占16.55%；项目支出3721.08万元，占83.45%；无上缴上级支出、经营支出、对附属单位补助支出。</w:t>
      </w:r>
    </w:p>
    <w:p>
      <w:pPr>
        <w:spacing w:line="579" w:lineRule="exact"/>
        <w:ind w:firstLine="660" w:firstLineChars="200"/>
        <w:rPr>
          <w:rFonts w:eastAsia="方正仿宋_GBK"/>
          <w:color w:val="000000"/>
          <w:sz w:val="33"/>
          <w:szCs w:val="33"/>
          <w:lang w:val="zh-CN"/>
        </w:rPr>
      </w:pPr>
      <w:r>
        <w:rPr>
          <w:rFonts w:hint="eastAsia" w:eastAsia="方正仿宋_GBK"/>
          <w:color w:val="000000"/>
          <w:sz w:val="33"/>
          <w:szCs w:val="33"/>
        </w:rPr>
        <w:t>2021年一般公共预算财政拨款基本支出738.16万元，其中：人员经费608.85万元，主要包括：基本工资、津贴补贴、奖金、社会保险缴费、机关事业单位基本养老保险缴费、其他工资福利支出、其他对个人和家庭的补助支出等。公用经费129.31万元，主要包括：办公费、印刷费、水费、电费、邮电费、差旅费、维修费、会议费、培训费、劳务费、福利费、其他交通费、其他商品和服务支出等。</w:t>
      </w:r>
    </w:p>
    <w:p>
      <w:pPr>
        <w:widowControl/>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三、单位整体预算绩效管理情况</w:t>
      </w:r>
    </w:p>
    <w:p>
      <w:pPr>
        <w:spacing w:line="580" w:lineRule="exact"/>
        <w:ind w:firstLine="660" w:firstLineChars="200"/>
        <w:rPr>
          <w:rFonts w:eastAsia="方正仿宋_GBK"/>
          <w:color w:val="000000"/>
          <w:sz w:val="33"/>
          <w:szCs w:val="33"/>
          <w:lang w:val="zh-CN"/>
        </w:rPr>
      </w:pPr>
      <w:r>
        <w:rPr>
          <w:rFonts w:hint="eastAsia" w:eastAsia="方正仿宋_GBK"/>
          <w:color w:val="000000"/>
          <w:sz w:val="33"/>
          <w:szCs w:val="33"/>
          <w:lang w:val="zh-CN"/>
        </w:rPr>
        <w:t>（一）单位预算绩效管理。</w:t>
      </w:r>
    </w:p>
    <w:p>
      <w:pPr>
        <w:spacing w:line="580" w:lineRule="exact"/>
        <w:ind w:firstLine="660" w:firstLineChars="200"/>
        <w:rPr>
          <w:rFonts w:eastAsia="方正仿宋_GBK"/>
          <w:color w:val="000000"/>
          <w:sz w:val="33"/>
          <w:szCs w:val="33"/>
          <w:lang w:val="zh-CN"/>
        </w:rPr>
      </w:pPr>
      <w:r>
        <w:rPr>
          <w:rFonts w:hint="eastAsia" w:eastAsia="方正仿宋_GBK"/>
          <w:color w:val="000000"/>
          <w:sz w:val="33"/>
          <w:szCs w:val="33"/>
          <w:lang w:val="zh-CN"/>
        </w:rPr>
        <w:t>（1）目标制定。</w:t>
      </w:r>
      <w:r>
        <w:rPr>
          <w:rFonts w:hint="eastAsia" w:eastAsia="方正仿宋_GBK"/>
          <w:color w:val="000000"/>
          <w:sz w:val="33"/>
          <w:szCs w:val="33"/>
        </w:rPr>
        <w:t>本单位严格按照规定编制年初预算，制定项目绩效目标，实行预算绩效管理。</w:t>
      </w:r>
      <w:r>
        <w:rPr>
          <w:rFonts w:hint="eastAsia" w:eastAsia="方正仿宋_GBK"/>
          <w:color w:val="000000"/>
          <w:sz w:val="33"/>
          <w:szCs w:val="33"/>
          <w:lang w:val="zh-CN"/>
        </w:rPr>
        <w:t>绩效目标编制紧扣本单位职能职责，以实现职能职责为</w:t>
      </w:r>
      <w:r>
        <w:rPr>
          <w:rFonts w:hint="eastAsia" w:eastAsia="方正仿宋_GBK"/>
          <w:color w:val="000000"/>
          <w:sz w:val="33"/>
          <w:szCs w:val="33"/>
        </w:rPr>
        <w:t>基础</w:t>
      </w:r>
      <w:r>
        <w:rPr>
          <w:rFonts w:hint="eastAsia" w:eastAsia="方正仿宋_GBK"/>
          <w:color w:val="000000"/>
          <w:sz w:val="33"/>
          <w:szCs w:val="33"/>
          <w:lang w:val="zh-CN"/>
        </w:rPr>
        <w:t>，结合202</w:t>
      </w:r>
      <w:r>
        <w:rPr>
          <w:rFonts w:hint="eastAsia" w:eastAsia="方正仿宋_GBK"/>
          <w:color w:val="000000"/>
          <w:sz w:val="33"/>
          <w:szCs w:val="33"/>
        </w:rPr>
        <w:t>1</w:t>
      </w:r>
      <w:r>
        <w:rPr>
          <w:rFonts w:hint="eastAsia" w:eastAsia="方正仿宋_GBK"/>
          <w:color w:val="000000"/>
          <w:sz w:val="33"/>
          <w:szCs w:val="33"/>
          <w:lang w:val="zh-CN"/>
        </w:rPr>
        <w:t>年度整体工作计划和目标任务，科学合理设置了单位整体支出绩效目标。</w:t>
      </w:r>
    </w:p>
    <w:p>
      <w:pPr>
        <w:spacing w:line="580" w:lineRule="exact"/>
        <w:ind w:firstLine="660" w:firstLineChars="200"/>
        <w:rPr>
          <w:rFonts w:eastAsia="方正仿宋_GBK"/>
          <w:color w:val="000000"/>
          <w:sz w:val="33"/>
          <w:szCs w:val="33"/>
          <w:lang w:val="zh-CN"/>
        </w:rPr>
      </w:pPr>
      <w:r>
        <w:rPr>
          <w:rFonts w:hint="eastAsia" w:eastAsia="方正仿宋_GBK"/>
          <w:color w:val="000000"/>
          <w:sz w:val="33"/>
          <w:szCs w:val="33"/>
          <w:lang w:val="zh-CN"/>
        </w:rPr>
        <w:t>（2）目标实现。本单位在202</w:t>
      </w:r>
      <w:r>
        <w:rPr>
          <w:rFonts w:hint="eastAsia" w:eastAsia="方正仿宋_GBK"/>
          <w:color w:val="000000"/>
          <w:sz w:val="33"/>
          <w:szCs w:val="33"/>
        </w:rPr>
        <w:t>1</w:t>
      </w:r>
      <w:r>
        <w:rPr>
          <w:rFonts w:hint="eastAsia" w:eastAsia="方正仿宋_GBK"/>
          <w:color w:val="000000"/>
          <w:sz w:val="33"/>
          <w:szCs w:val="33"/>
          <w:lang w:val="zh-CN"/>
        </w:rPr>
        <w:t>年预算执行</w:t>
      </w:r>
      <w:r>
        <w:rPr>
          <w:rFonts w:hint="eastAsia" w:eastAsia="方正仿宋_GBK"/>
          <w:color w:val="000000"/>
          <w:sz w:val="33"/>
          <w:szCs w:val="33"/>
        </w:rPr>
        <w:t>结束</w:t>
      </w:r>
      <w:r>
        <w:rPr>
          <w:rFonts w:hint="eastAsia" w:eastAsia="方正仿宋_GBK"/>
          <w:color w:val="000000"/>
          <w:sz w:val="33"/>
          <w:szCs w:val="33"/>
          <w:lang w:val="zh-CN"/>
        </w:rPr>
        <w:t>后开展了绩效目标自评工作，填报了总体目标和各项绩效指标完成情况。本年度项目支出主要包含艾滋病防治、生活饮用水监测、重大会议活动及两会消杀等项目。从202</w:t>
      </w:r>
      <w:r>
        <w:rPr>
          <w:rFonts w:hint="eastAsia" w:eastAsia="方正仿宋_GBK"/>
          <w:color w:val="000000"/>
          <w:sz w:val="33"/>
          <w:szCs w:val="33"/>
        </w:rPr>
        <w:t>1</w:t>
      </w:r>
      <w:r>
        <w:rPr>
          <w:rFonts w:hint="eastAsia" w:eastAsia="方正仿宋_GBK"/>
          <w:color w:val="000000"/>
          <w:sz w:val="33"/>
          <w:szCs w:val="33"/>
          <w:lang w:val="zh-CN"/>
        </w:rPr>
        <w:t>年绩效目标完成情况来看，</w:t>
      </w:r>
      <w:r>
        <w:rPr>
          <w:rFonts w:hint="eastAsia" w:eastAsia="方正仿宋_GBK"/>
          <w:color w:val="000000"/>
          <w:sz w:val="33"/>
          <w:szCs w:val="33"/>
        </w:rPr>
        <w:t>各</w:t>
      </w:r>
      <w:r>
        <w:rPr>
          <w:rFonts w:hint="eastAsia" w:eastAsia="方正仿宋_GBK"/>
          <w:color w:val="000000"/>
          <w:sz w:val="33"/>
          <w:szCs w:val="33"/>
          <w:lang w:val="zh-CN"/>
        </w:rPr>
        <w:t>项</w:t>
      </w:r>
      <w:r>
        <w:rPr>
          <w:rFonts w:hint="eastAsia" w:eastAsia="方正仿宋_GBK"/>
          <w:color w:val="000000"/>
          <w:sz w:val="33"/>
          <w:szCs w:val="33"/>
        </w:rPr>
        <w:t>绩效目标全面实现。</w:t>
      </w:r>
    </w:p>
    <w:p>
      <w:pPr>
        <w:spacing w:line="580" w:lineRule="exact"/>
        <w:ind w:firstLine="660" w:firstLineChars="200"/>
        <w:rPr>
          <w:rFonts w:eastAsia="方正仿宋_GBK"/>
          <w:color w:val="000000"/>
          <w:sz w:val="33"/>
          <w:szCs w:val="33"/>
        </w:rPr>
      </w:pPr>
      <w:r>
        <w:rPr>
          <w:rFonts w:hint="eastAsia" w:eastAsia="方正仿宋_GBK"/>
          <w:color w:val="000000"/>
          <w:sz w:val="33"/>
          <w:szCs w:val="33"/>
          <w:lang w:val="zh-CN"/>
        </w:rPr>
        <w:t>（3）编制准确。</w:t>
      </w:r>
      <w:r>
        <w:rPr>
          <w:rFonts w:eastAsia="方正仿宋_GBK"/>
          <w:color w:val="000000"/>
          <w:sz w:val="33"/>
          <w:szCs w:val="33"/>
          <w:lang w:val="zh-CN"/>
        </w:rPr>
        <w:t>202</w:t>
      </w:r>
      <w:r>
        <w:rPr>
          <w:rFonts w:hint="eastAsia" w:eastAsia="方正仿宋_GBK"/>
          <w:color w:val="000000"/>
          <w:sz w:val="33"/>
          <w:szCs w:val="33"/>
        </w:rPr>
        <w:t>1</w:t>
      </w:r>
      <w:r>
        <w:rPr>
          <w:rFonts w:hint="eastAsia" w:eastAsia="方正仿宋_GBK"/>
          <w:color w:val="000000"/>
          <w:sz w:val="33"/>
          <w:szCs w:val="33"/>
          <w:lang w:val="zh-CN"/>
        </w:rPr>
        <w:t>年年初财政下达年度预算</w:t>
      </w:r>
      <w:r>
        <w:rPr>
          <w:rFonts w:hint="eastAsia" w:eastAsia="方正仿宋_GBK"/>
          <w:color w:val="000000"/>
          <w:sz w:val="33"/>
          <w:szCs w:val="33"/>
        </w:rPr>
        <w:t>4509.02万元，</w:t>
      </w:r>
      <w:r>
        <w:rPr>
          <w:rFonts w:hint="eastAsia" w:eastAsia="方正仿宋_GBK"/>
          <w:color w:val="000000"/>
          <w:sz w:val="33"/>
          <w:szCs w:val="33"/>
          <w:lang w:val="zh-CN"/>
        </w:rPr>
        <w:t>全年预算调剂</w:t>
      </w:r>
      <w:r>
        <w:rPr>
          <w:rFonts w:hint="eastAsia" w:eastAsia="方正仿宋_GBK"/>
          <w:color w:val="000000"/>
          <w:sz w:val="33"/>
          <w:szCs w:val="33"/>
        </w:rPr>
        <w:t>收入49.78</w:t>
      </w:r>
      <w:r>
        <w:rPr>
          <w:rFonts w:hint="eastAsia" w:eastAsia="方正仿宋_GBK"/>
          <w:color w:val="000000"/>
          <w:sz w:val="33"/>
          <w:szCs w:val="33"/>
          <w:lang w:val="zh-CN"/>
        </w:rPr>
        <w:t>万元，</w:t>
      </w:r>
      <w:r>
        <w:rPr>
          <w:rFonts w:hint="eastAsia" w:eastAsia="方正仿宋_GBK"/>
          <w:color w:val="000000"/>
          <w:sz w:val="33"/>
          <w:szCs w:val="33"/>
        </w:rPr>
        <w:t>2021年</w:t>
      </w:r>
      <w:r>
        <w:rPr>
          <w:rFonts w:hint="eastAsia" w:eastAsia="方正仿宋_GBK"/>
          <w:color w:val="000000"/>
          <w:sz w:val="33"/>
          <w:szCs w:val="33"/>
          <w:lang w:val="zh-CN"/>
        </w:rPr>
        <w:t>财政</w:t>
      </w:r>
      <w:r>
        <w:rPr>
          <w:rFonts w:hint="eastAsia" w:eastAsia="方正仿宋_GBK"/>
          <w:color w:val="000000"/>
          <w:sz w:val="33"/>
          <w:szCs w:val="33"/>
        </w:rPr>
        <w:t>实际最终</w:t>
      </w:r>
      <w:r>
        <w:rPr>
          <w:rFonts w:hint="eastAsia" w:eastAsia="方正仿宋_GBK"/>
          <w:color w:val="000000"/>
          <w:sz w:val="33"/>
          <w:szCs w:val="33"/>
          <w:lang w:val="zh-CN"/>
        </w:rPr>
        <w:t>下达预算总额</w:t>
      </w:r>
      <w:r>
        <w:rPr>
          <w:rFonts w:hint="eastAsia" w:eastAsia="方正仿宋_GBK"/>
          <w:color w:val="000000"/>
          <w:sz w:val="33"/>
          <w:szCs w:val="33"/>
        </w:rPr>
        <w:t>4459.24</w:t>
      </w:r>
      <w:r>
        <w:rPr>
          <w:rFonts w:hint="eastAsia" w:eastAsia="方正仿宋_GBK"/>
          <w:color w:val="000000"/>
          <w:sz w:val="33"/>
          <w:szCs w:val="33"/>
          <w:lang w:val="zh-CN"/>
        </w:rPr>
        <w:t>万元，</w:t>
      </w:r>
      <w:r>
        <w:rPr>
          <w:rFonts w:hint="eastAsia" w:eastAsia="方正仿宋_GBK"/>
          <w:color w:val="000000"/>
          <w:sz w:val="33"/>
          <w:szCs w:val="33"/>
        </w:rPr>
        <w:t>实际预算收入调剂仅为1%，预算编制基本准确。</w:t>
      </w:r>
    </w:p>
    <w:p>
      <w:pPr>
        <w:spacing w:line="580" w:lineRule="exact"/>
        <w:ind w:firstLine="660" w:firstLineChars="200"/>
        <w:rPr>
          <w:rFonts w:eastAsia="方正仿宋_GBK"/>
          <w:color w:val="000000"/>
          <w:sz w:val="33"/>
          <w:szCs w:val="33"/>
        </w:rPr>
      </w:pPr>
      <w:r>
        <w:rPr>
          <w:rFonts w:hint="eastAsia" w:eastAsia="方正仿宋_GBK"/>
          <w:color w:val="000000"/>
          <w:sz w:val="33"/>
          <w:szCs w:val="33"/>
          <w:lang w:val="zh-CN"/>
        </w:rPr>
        <w:t>（</w:t>
      </w:r>
      <w:r>
        <w:rPr>
          <w:rFonts w:hint="eastAsia" w:eastAsia="方正仿宋_GBK"/>
          <w:color w:val="000000"/>
          <w:sz w:val="33"/>
          <w:szCs w:val="33"/>
        </w:rPr>
        <w:t>4</w:t>
      </w:r>
      <w:r>
        <w:rPr>
          <w:rFonts w:hint="eastAsia" w:eastAsia="方正仿宋_GBK"/>
          <w:color w:val="000000"/>
          <w:sz w:val="33"/>
          <w:szCs w:val="33"/>
          <w:lang w:val="zh-CN"/>
        </w:rPr>
        <w:t>）支出控制。日常公用经费、项目支出中“办公费、印刷费、水费、电费、物业管理费”等科目，年初预算数</w:t>
      </w:r>
      <w:r>
        <w:rPr>
          <w:rFonts w:hint="eastAsia" w:eastAsia="方正仿宋_GBK"/>
          <w:color w:val="000000"/>
          <w:sz w:val="33"/>
          <w:szCs w:val="33"/>
        </w:rPr>
        <w:t>171.26</w:t>
      </w:r>
      <w:r>
        <w:rPr>
          <w:rFonts w:hint="eastAsia" w:eastAsia="方正仿宋_GBK"/>
          <w:color w:val="000000"/>
          <w:sz w:val="33"/>
          <w:szCs w:val="33"/>
          <w:lang w:val="zh-CN"/>
        </w:rPr>
        <w:t>万元，年末决算</w:t>
      </w:r>
      <w:r>
        <w:rPr>
          <w:rFonts w:hint="eastAsia" w:eastAsia="方正仿宋_GBK"/>
          <w:color w:val="000000"/>
          <w:sz w:val="33"/>
          <w:szCs w:val="33"/>
        </w:rPr>
        <w:t>162.29</w:t>
      </w:r>
      <w:r>
        <w:rPr>
          <w:rFonts w:hint="eastAsia" w:eastAsia="方正仿宋_GBK"/>
          <w:color w:val="000000"/>
          <w:sz w:val="33"/>
          <w:szCs w:val="33"/>
          <w:lang w:val="zh-CN"/>
        </w:rPr>
        <w:t>万元，</w:t>
      </w:r>
      <w:r>
        <w:rPr>
          <w:rFonts w:hint="eastAsia" w:eastAsia="方正仿宋_GBK"/>
          <w:color w:val="000000"/>
          <w:sz w:val="33"/>
          <w:szCs w:val="33"/>
        </w:rPr>
        <w:t>支出比为94.8%，预算支出控制接近5%。</w:t>
      </w:r>
    </w:p>
    <w:p>
      <w:pPr>
        <w:spacing w:line="580" w:lineRule="exact"/>
        <w:ind w:firstLine="660" w:firstLineChars="200"/>
        <w:rPr>
          <w:rFonts w:eastAsia="方正仿宋_GBK"/>
          <w:color w:val="000000"/>
          <w:sz w:val="33"/>
          <w:szCs w:val="33"/>
          <w:lang w:val="zh-CN"/>
        </w:rPr>
      </w:pPr>
      <w:r>
        <w:rPr>
          <w:rFonts w:hint="eastAsia" w:eastAsia="方正仿宋_GBK"/>
          <w:color w:val="000000"/>
          <w:sz w:val="33"/>
          <w:szCs w:val="33"/>
          <w:lang w:val="zh-CN"/>
        </w:rPr>
        <w:t>（</w:t>
      </w:r>
      <w:r>
        <w:rPr>
          <w:rFonts w:hint="eastAsia" w:eastAsia="方正仿宋_GBK"/>
          <w:color w:val="000000"/>
          <w:sz w:val="33"/>
          <w:szCs w:val="33"/>
        </w:rPr>
        <w:t>5</w:t>
      </w:r>
      <w:r>
        <w:rPr>
          <w:rFonts w:hint="eastAsia" w:eastAsia="方正仿宋_GBK"/>
          <w:color w:val="000000"/>
          <w:sz w:val="33"/>
          <w:szCs w:val="33"/>
          <w:lang w:val="zh-CN"/>
        </w:rPr>
        <w:t>）预算动态调整。202</w:t>
      </w:r>
      <w:r>
        <w:rPr>
          <w:rFonts w:hint="eastAsia" w:eastAsia="方正仿宋_GBK"/>
          <w:color w:val="000000"/>
          <w:sz w:val="33"/>
          <w:szCs w:val="33"/>
        </w:rPr>
        <w:t>1</w:t>
      </w:r>
      <w:r>
        <w:rPr>
          <w:rFonts w:hint="eastAsia" w:eastAsia="方正仿宋_GBK"/>
          <w:color w:val="000000"/>
          <w:sz w:val="33"/>
          <w:szCs w:val="33"/>
          <w:lang w:val="zh-CN"/>
        </w:rPr>
        <w:t>年中因中省项目资金下达调整预算</w:t>
      </w:r>
      <w:r>
        <w:rPr>
          <w:rFonts w:hint="eastAsia" w:eastAsia="方正仿宋_GBK"/>
          <w:color w:val="000000"/>
          <w:sz w:val="33"/>
          <w:szCs w:val="33"/>
        </w:rPr>
        <w:t>271.82万元，追加艾滋病及职业病防治等市级项目资金186.41万元，</w:t>
      </w:r>
      <w:r>
        <w:rPr>
          <w:rFonts w:hint="eastAsia" w:eastAsia="方正仿宋_GBK"/>
          <w:color w:val="000000"/>
          <w:sz w:val="33"/>
          <w:szCs w:val="33"/>
          <w:lang w:val="zh-CN"/>
        </w:rPr>
        <w:t>年末预算结余注销额</w:t>
      </w:r>
      <w:r>
        <w:rPr>
          <w:rFonts w:hint="eastAsia" w:eastAsia="方正仿宋_GBK"/>
          <w:color w:val="000000"/>
          <w:sz w:val="33"/>
          <w:szCs w:val="33"/>
        </w:rPr>
        <w:t>507.18</w:t>
      </w:r>
      <w:r>
        <w:rPr>
          <w:rFonts w:hint="eastAsia" w:eastAsia="方正仿宋_GBK"/>
          <w:color w:val="000000"/>
          <w:sz w:val="33"/>
          <w:szCs w:val="33"/>
          <w:lang w:val="zh-CN"/>
        </w:rPr>
        <w:t>万元，</w:t>
      </w:r>
      <w:r>
        <w:rPr>
          <w:rFonts w:hint="eastAsia" w:eastAsia="方正仿宋_GBK"/>
          <w:color w:val="000000"/>
          <w:sz w:val="33"/>
          <w:szCs w:val="33"/>
        </w:rPr>
        <w:t>但</w:t>
      </w:r>
      <w:r>
        <w:rPr>
          <w:rFonts w:hint="eastAsia" w:eastAsia="方正仿宋_GBK"/>
          <w:color w:val="000000"/>
          <w:sz w:val="33"/>
          <w:szCs w:val="33"/>
          <w:lang w:val="zh-CN"/>
        </w:rPr>
        <w:t>单位</w:t>
      </w:r>
      <w:r>
        <w:rPr>
          <w:rFonts w:hint="eastAsia" w:eastAsia="方正仿宋_GBK"/>
          <w:color w:val="000000"/>
          <w:sz w:val="33"/>
          <w:szCs w:val="33"/>
        </w:rPr>
        <w:t>年度预算总额4459.24万</w:t>
      </w:r>
      <w:r>
        <w:rPr>
          <w:rFonts w:hint="eastAsia" w:eastAsia="方正仿宋_GBK"/>
          <w:color w:val="000000"/>
          <w:sz w:val="33"/>
          <w:szCs w:val="33"/>
          <w:lang w:val="zh-CN"/>
        </w:rPr>
        <w:t>元，</w:t>
      </w:r>
      <w:r>
        <w:rPr>
          <w:rFonts w:hint="eastAsia" w:eastAsia="方正仿宋_GBK"/>
          <w:color w:val="000000"/>
          <w:sz w:val="33"/>
          <w:szCs w:val="33"/>
        </w:rPr>
        <w:t>年度取消预算额度占预算总额略超10%，预算执行进度仍需加大，支出控制能力仍有待提升</w:t>
      </w:r>
      <w:r>
        <w:rPr>
          <w:rFonts w:hint="eastAsia" w:eastAsia="方正仿宋_GBK"/>
          <w:color w:val="000000"/>
          <w:sz w:val="33"/>
          <w:szCs w:val="33"/>
          <w:lang w:val="zh-CN"/>
        </w:rPr>
        <w:t>。</w:t>
      </w:r>
    </w:p>
    <w:p>
      <w:pPr>
        <w:spacing w:line="580" w:lineRule="exact"/>
        <w:ind w:firstLine="660" w:firstLineChars="200"/>
        <w:rPr>
          <w:rFonts w:eastAsia="方正仿宋_GBK"/>
          <w:color w:val="000000"/>
          <w:sz w:val="33"/>
          <w:szCs w:val="33"/>
          <w:lang w:val="zh-CN"/>
        </w:rPr>
      </w:pPr>
      <w:r>
        <w:rPr>
          <w:rFonts w:hint="eastAsia" w:eastAsia="方正仿宋_GBK"/>
          <w:color w:val="000000"/>
          <w:sz w:val="33"/>
          <w:szCs w:val="33"/>
          <w:lang w:val="zh-CN"/>
        </w:rPr>
        <w:t>（</w:t>
      </w:r>
      <w:r>
        <w:rPr>
          <w:rFonts w:hint="eastAsia" w:eastAsia="方正仿宋_GBK"/>
          <w:color w:val="000000"/>
          <w:sz w:val="33"/>
          <w:szCs w:val="33"/>
        </w:rPr>
        <w:t>6</w:t>
      </w:r>
      <w:r>
        <w:rPr>
          <w:rFonts w:hint="eastAsia" w:eastAsia="方正仿宋_GBK"/>
          <w:color w:val="000000"/>
          <w:sz w:val="33"/>
          <w:szCs w:val="33"/>
          <w:lang w:val="zh-CN"/>
        </w:rPr>
        <w:t>）执行进度。</w:t>
      </w:r>
      <w:r>
        <w:rPr>
          <w:rFonts w:hint="eastAsia" w:eastAsia="方正仿宋_GBK"/>
          <w:color w:val="000000"/>
          <w:sz w:val="33"/>
          <w:szCs w:val="33"/>
        </w:rPr>
        <w:t>因建设工程项目、设备采购本身的特殊性，资金支付无法按序时进度进行，</w:t>
      </w:r>
      <w:r>
        <w:rPr>
          <w:rFonts w:hint="eastAsia" w:eastAsia="方正仿宋_GBK"/>
          <w:color w:val="000000"/>
          <w:sz w:val="33"/>
          <w:szCs w:val="33"/>
          <w:lang w:val="zh-CN"/>
        </w:rPr>
        <w:t>在202</w:t>
      </w:r>
      <w:r>
        <w:rPr>
          <w:rFonts w:hint="eastAsia" w:eastAsia="方正仿宋_GBK"/>
          <w:color w:val="000000"/>
          <w:sz w:val="33"/>
          <w:szCs w:val="33"/>
        </w:rPr>
        <w:t>1</w:t>
      </w:r>
      <w:r>
        <w:rPr>
          <w:rFonts w:hint="eastAsia" w:eastAsia="方正仿宋_GBK"/>
          <w:color w:val="000000"/>
          <w:sz w:val="33"/>
          <w:szCs w:val="33"/>
          <w:lang w:val="zh-CN"/>
        </w:rPr>
        <w:t>年6月、9月、11月单位预算执行进度均未达到目标进度。</w:t>
      </w:r>
    </w:p>
    <w:p>
      <w:pPr>
        <w:spacing w:line="580" w:lineRule="exact"/>
        <w:ind w:firstLine="660" w:firstLineChars="200"/>
        <w:rPr>
          <w:rFonts w:eastAsia="方正仿宋_GBK"/>
          <w:color w:val="000000"/>
          <w:sz w:val="33"/>
          <w:szCs w:val="33"/>
          <w:lang w:val="zh-CN"/>
        </w:rPr>
      </w:pPr>
      <w:r>
        <w:rPr>
          <w:rFonts w:hint="eastAsia" w:eastAsia="方正仿宋_GBK"/>
          <w:color w:val="000000"/>
          <w:sz w:val="33"/>
          <w:szCs w:val="33"/>
          <w:lang w:val="zh-CN"/>
        </w:rPr>
        <w:t>（</w:t>
      </w:r>
      <w:r>
        <w:rPr>
          <w:rFonts w:hint="eastAsia" w:eastAsia="方正仿宋_GBK"/>
          <w:color w:val="000000"/>
          <w:sz w:val="33"/>
          <w:szCs w:val="33"/>
        </w:rPr>
        <w:t>7</w:t>
      </w:r>
      <w:r>
        <w:rPr>
          <w:rFonts w:hint="eastAsia" w:eastAsia="方正仿宋_GBK"/>
          <w:color w:val="000000"/>
          <w:sz w:val="33"/>
          <w:szCs w:val="33"/>
          <w:lang w:val="zh-CN"/>
        </w:rPr>
        <w:t>）预算完成情况。12月单位预算总支出</w:t>
      </w:r>
      <w:r>
        <w:rPr>
          <w:rFonts w:hint="eastAsia" w:eastAsia="方正仿宋_GBK"/>
          <w:color w:val="000000"/>
          <w:sz w:val="33"/>
          <w:szCs w:val="33"/>
        </w:rPr>
        <w:t>4459.24</w:t>
      </w:r>
      <w:r>
        <w:rPr>
          <w:rFonts w:hint="eastAsia" w:eastAsia="方正仿宋_GBK"/>
          <w:color w:val="000000"/>
          <w:sz w:val="33"/>
          <w:szCs w:val="33"/>
          <w:lang w:val="zh-CN"/>
        </w:rPr>
        <w:t>万元，年度总预算</w:t>
      </w:r>
      <w:r>
        <w:rPr>
          <w:rFonts w:hint="eastAsia" w:eastAsia="方正仿宋_GBK"/>
          <w:color w:val="000000"/>
          <w:sz w:val="33"/>
          <w:szCs w:val="33"/>
        </w:rPr>
        <w:t>4459.24</w:t>
      </w:r>
      <w:r>
        <w:rPr>
          <w:rFonts w:hint="eastAsia" w:eastAsia="方正仿宋_GBK"/>
          <w:color w:val="000000"/>
          <w:sz w:val="33"/>
          <w:szCs w:val="33"/>
          <w:lang w:val="zh-CN"/>
        </w:rPr>
        <w:t>万元，预算执行进度</w:t>
      </w:r>
      <w:r>
        <w:rPr>
          <w:rFonts w:hint="eastAsia" w:eastAsia="方正仿宋_GBK"/>
          <w:color w:val="000000"/>
          <w:sz w:val="33"/>
          <w:szCs w:val="33"/>
        </w:rPr>
        <w:t>100</w:t>
      </w:r>
      <w:r>
        <w:rPr>
          <w:rFonts w:hint="eastAsia" w:eastAsia="方正仿宋_GBK"/>
          <w:color w:val="000000"/>
          <w:sz w:val="33"/>
          <w:szCs w:val="33"/>
          <w:lang w:val="zh-CN"/>
        </w:rPr>
        <w:t>%。</w:t>
      </w:r>
    </w:p>
    <w:p>
      <w:pPr>
        <w:spacing w:line="580" w:lineRule="exact"/>
        <w:ind w:firstLine="660" w:firstLineChars="200"/>
        <w:rPr>
          <w:rFonts w:eastAsia="方正仿宋_GBK"/>
          <w:color w:val="000000"/>
          <w:sz w:val="33"/>
          <w:szCs w:val="33"/>
          <w:lang w:val="zh-CN"/>
        </w:rPr>
      </w:pPr>
      <w:r>
        <w:rPr>
          <w:rFonts w:hint="eastAsia" w:eastAsia="方正仿宋_GBK"/>
          <w:color w:val="000000"/>
          <w:sz w:val="33"/>
          <w:szCs w:val="33"/>
          <w:lang w:val="zh-CN"/>
        </w:rPr>
        <w:t>（</w:t>
      </w:r>
      <w:r>
        <w:rPr>
          <w:rFonts w:hint="eastAsia" w:eastAsia="方正仿宋_GBK"/>
          <w:color w:val="000000"/>
          <w:sz w:val="33"/>
          <w:szCs w:val="33"/>
        </w:rPr>
        <w:t>8</w:t>
      </w:r>
      <w:r>
        <w:rPr>
          <w:rFonts w:hint="eastAsia" w:eastAsia="方正仿宋_GBK"/>
          <w:color w:val="000000"/>
          <w:sz w:val="33"/>
          <w:szCs w:val="33"/>
          <w:lang w:val="zh-CN"/>
        </w:rPr>
        <w:t>）违规记录情况。202</w:t>
      </w:r>
      <w:r>
        <w:rPr>
          <w:rFonts w:hint="eastAsia" w:eastAsia="方正仿宋_GBK"/>
          <w:color w:val="000000"/>
          <w:sz w:val="33"/>
          <w:szCs w:val="33"/>
        </w:rPr>
        <w:t>1</w:t>
      </w:r>
      <w:r>
        <w:rPr>
          <w:rFonts w:hint="eastAsia" w:eastAsia="方正仿宋_GBK"/>
          <w:color w:val="000000"/>
          <w:sz w:val="33"/>
          <w:szCs w:val="33"/>
          <w:lang w:val="zh-CN"/>
        </w:rPr>
        <w:t>年</w:t>
      </w:r>
      <w:r>
        <w:rPr>
          <w:rFonts w:hint="eastAsia" w:eastAsia="方正仿宋_GBK"/>
          <w:color w:val="000000"/>
          <w:sz w:val="33"/>
          <w:szCs w:val="33"/>
        </w:rPr>
        <w:t>我单位未</w:t>
      </w:r>
      <w:r>
        <w:rPr>
          <w:rFonts w:hint="eastAsia" w:eastAsia="方正仿宋_GBK"/>
          <w:color w:val="000000"/>
          <w:sz w:val="33"/>
          <w:szCs w:val="33"/>
          <w:lang w:val="zh-CN"/>
        </w:rPr>
        <w:t>接受过巡察，</w:t>
      </w:r>
      <w:r>
        <w:rPr>
          <w:rFonts w:hint="eastAsia" w:eastAsia="方正仿宋_GBK"/>
          <w:color w:val="000000"/>
          <w:sz w:val="33"/>
          <w:szCs w:val="33"/>
        </w:rPr>
        <w:t>从我单位接受的内部</w:t>
      </w:r>
      <w:r>
        <w:rPr>
          <w:rFonts w:hint="eastAsia" w:eastAsia="方正仿宋_GBK"/>
          <w:color w:val="000000"/>
          <w:sz w:val="33"/>
          <w:szCs w:val="33"/>
          <w:lang w:val="zh-CN"/>
        </w:rPr>
        <w:t>审计及各项检查来看，不存在单位预算管理违纪违规问题。</w:t>
      </w:r>
    </w:p>
    <w:p>
      <w:pPr>
        <w:spacing w:line="580" w:lineRule="exact"/>
        <w:ind w:firstLine="660" w:firstLineChars="200"/>
        <w:rPr>
          <w:rFonts w:eastAsia="方正仿宋_GBK"/>
          <w:color w:val="000000"/>
          <w:sz w:val="33"/>
          <w:szCs w:val="33"/>
          <w:lang w:val="zh-CN"/>
        </w:rPr>
      </w:pPr>
      <w:r>
        <w:rPr>
          <w:rFonts w:hint="eastAsia" w:eastAsia="方正仿宋_GBK"/>
          <w:color w:val="000000"/>
          <w:sz w:val="33"/>
          <w:szCs w:val="33"/>
          <w:lang w:val="zh-CN"/>
        </w:rPr>
        <w:t>（二）结果应用情况。</w:t>
      </w:r>
    </w:p>
    <w:p>
      <w:pPr>
        <w:spacing w:line="580" w:lineRule="exact"/>
        <w:ind w:firstLine="660" w:firstLineChars="200"/>
        <w:rPr>
          <w:rFonts w:eastAsia="方正仿宋_GBK"/>
          <w:color w:val="000000"/>
          <w:sz w:val="33"/>
          <w:szCs w:val="33"/>
          <w:lang w:val="zh-CN"/>
        </w:rPr>
      </w:pPr>
      <w:r>
        <w:rPr>
          <w:rFonts w:hint="eastAsia" w:eastAsia="方正仿宋_GBK"/>
          <w:color w:val="000000"/>
          <w:sz w:val="33"/>
          <w:szCs w:val="33"/>
          <w:lang w:val="zh-CN"/>
        </w:rPr>
        <w:t>（</w:t>
      </w:r>
      <w:r>
        <w:rPr>
          <w:rFonts w:hint="eastAsia" w:eastAsia="方正仿宋_GBK"/>
          <w:color w:val="000000"/>
          <w:sz w:val="33"/>
          <w:szCs w:val="33"/>
        </w:rPr>
        <w:t>1</w:t>
      </w:r>
      <w:r>
        <w:rPr>
          <w:rFonts w:hint="eastAsia" w:eastAsia="方正仿宋_GBK"/>
          <w:color w:val="000000"/>
          <w:sz w:val="33"/>
          <w:szCs w:val="33"/>
          <w:lang w:val="zh-CN"/>
        </w:rPr>
        <w:t>）绩效自评公开。根据相关要求，除涉密信息外，本单位在预算、决算批复后的二十日内，</w:t>
      </w:r>
      <w:r>
        <w:rPr>
          <w:rFonts w:hint="eastAsia" w:eastAsia="方正仿宋_GBK"/>
          <w:color w:val="000000"/>
          <w:sz w:val="33"/>
          <w:szCs w:val="33"/>
        </w:rPr>
        <w:t>按照规定</w:t>
      </w:r>
      <w:r>
        <w:rPr>
          <w:rFonts w:hint="eastAsia" w:eastAsia="方正仿宋_GBK"/>
          <w:color w:val="000000"/>
          <w:sz w:val="33"/>
          <w:szCs w:val="33"/>
          <w:lang w:val="zh-CN"/>
        </w:rPr>
        <w:t>的时间、网站，向社会公开了本单位的预算、决算信息（含所有财政资金安排的“三公”经费、机关运行经费的安排、使用情况等）、单位绩效目标、单位整体绩效自评情况。</w:t>
      </w:r>
    </w:p>
    <w:p>
      <w:pPr>
        <w:spacing w:line="580" w:lineRule="exact"/>
        <w:ind w:firstLine="660" w:firstLineChars="200"/>
        <w:rPr>
          <w:rFonts w:eastAsia="方正仿宋_GBK"/>
          <w:color w:val="000000"/>
          <w:sz w:val="33"/>
          <w:szCs w:val="33"/>
          <w:lang w:val="zh-CN"/>
        </w:rPr>
      </w:pPr>
      <w:r>
        <w:rPr>
          <w:rFonts w:hint="eastAsia" w:eastAsia="方正仿宋_GBK"/>
          <w:color w:val="000000"/>
          <w:sz w:val="33"/>
          <w:szCs w:val="33"/>
          <w:lang w:val="zh-CN"/>
        </w:rPr>
        <w:t>（</w:t>
      </w:r>
      <w:r>
        <w:rPr>
          <w:rFonts w:hint="eastAsia" w:eastAsia="方正仿宋_GBK"/>
          <w:color w:val="000000"/>
          <w:sz w:val="33"/>
          <w:szCs w:val="33"/>
        </w:rPr>
        <w:t>2</w:t>
      </w:r>
      <w:r>
        <w:rPr>
          <w:rFonts w:hint="eastAsia" w:eastAsia="方正仿宋_GBK"/>
          <w:color w:val="000000"/>
          <w:sz w:val="33"/>
          <w:szCs w:val="33"/>
          <w:lang w:val="zh-CN"/>
        </w:rPr>
        <w:t>）评价结果整改及应用结果反馈情况。</w:t>
      </w:r>
    </w:p>
    <w:p>
      <w:pPr>
        <w:spacing w:line="580" w:lineRule="exact"/>
        <w:ind w:firstLine="660" w:firstLineChars="200"/>
        <w:rPr>
          <w:rFonts w:eastAsia="方正仿宋_GBK"/>
          <w:color w:val="000000"/>
          <w:sz w:val="33"/>
          <w:szCs w:val="33"/>
          <w:lang w:val="zh-CN"/>
        </w:rPr>
      </w:pPr>
      <w:r>
        <w:rPr>
          <w:rFonts w:hint="eastAsia" w:eastAsia="方正仿宋_GBK"/>
          <w:color w:val="000000"/>
          <w:sz w:val="33"/>
          <w:szCs w:val="33"/>
          <w:lang w:val="zh-CN"/>
        </w:rPr>
        <w:t>按照绩效管理工作相关要求完成了年度预算绩效目标编制、日常动态监控、绩效评价和绩效评价结果运用工作，按时向市财政</w:t>
      </w:r>
      <w:r>
        <w:rPr>
          <w:rFonts w:hint="eastAsia" w:eastAsia="方正仿宋_GBK"/>
          <w:color w:val="000000"/>
          <w:sz w:val="33"/>
          <w:szCs w:val="33"/>
        </w:rPr>
        <w:t>局</w:t>
      </w:r>
      <w:r>
        <w:rPr>
          <w:rFonts w:hint="eastAsia" w:eastAsia="方正仿宋_GBK"/>
          <w:color w:val="000000"/>
          <w:sz w:val="33"/>
          <w:szCs w:val="33"/>
          <w:lang w:val="zh-CN"/>
        </w:rPr>
        <w:t>报送</w:t>
      </w:r>
      <w:r>
        <w:rPr>
          <w:rFonts w:hint="eastAsia" w:eastAsia="方正仿宋_GBK"/>
          <w:color w:val="000000"/>
          <w:sz w:val="33"/>
          <w:szCs w:val="33"/>
        </w:rPr>
        <w:t>了</w:t>
      </w:r>
      <w:r>
        <w:rPr>
          <w:rFonts w:hint="eastAsia" w:eastAsia="方正仿宋_GBK"/>
          <w:color w:val="000000"/>
          <w:sz w:val="33"/>
          <w:szCs w:val="33"/>
          <w:lang w:val="zh-CN"/>
        </w:rPr>
        <w:t>相关情况</w:t>
      </w:r>
      <w:r>
        <w:rPr>
          <w:rFonts w:hint="eastAsia" w:eastAsia="方正仿宋_GBK"/>
          <w:color w:val="000000"/>
          <w:sz w:val="33"/>
          <w:szCs w:val="33"/>
        </w:rPr>
        <w:t>及工作资料</w:t>
      </w:r>
      <w:r>
        <w:rPr>
          <w:rFonts w:hint="eastAsia" w:eastAsia="方正仿宋_GBK"/>
          <w:color w:val="000000"/>
          <w:sz w:val="33"/>
          <w:szCs w:val="33"/>
          <w:lang w:val="zh-CN"/>
        </w:rPr>
        <w:t>。</w:t>
      </w:r>
    </w:p>
    <w:p>
      <w:pPr>
        <w:spacing w:line="580" w:lineRule="exact"/>
        <w:ind w:firstLine="660" w:firstLineChars="200"/>
        <w:rPr>
          <w:rFonts w:eastAsia="方正仿宋_GBK"/>
          <w:color w:val="000000"/>
          <w:sz w:val="33"/>
          <w:szCs w:val="33"/>
          <w:lang w:val="zh-CN"/>
        </w:rPr>
      </w:pPr>
      <w:r>
        <w:rPr>
          <w:rFonts w:hint="eastAsia" w:eastAsia="方正仿宋_GBK"/>
          <w:color w:val="000000"/>
          <w:sz w:val="33"/>
          <w:szCs w:val="33"/>
          <w:lang w:val="zh-CN"/>
        </w:rPr>
        <w:t>（三）自评质量。</w:t>
      </w:r>
    </w:p>
    <w:p>
      <w:pPr>
        <w:spacing w:line="580" w:lineRule="exact"/>
        <w:ind w:firstLine="660" w:firstLineChars="200"/>
        <w:rPr>
          <w:rFonts w:eastAsia="方正仿宋_GBK"/>
          <w:color w:val="000000"/>
          <w:sz w:val="33"/>
          <w:szCs w:val="33"/>
          <w:lang w:val="zh-CN"/>
        </w:rPr>
      </w:pPr>
      <w:r>
        <w:rPr>
          <w:rFonts w:hint="eastAsia" w:eastAsia="方正仿宋_GBK"/>
          <w:color w:val="000000"/>
          <w:sz w:val="33"/>
          <w:szCs w:val="33"/>
          <w:lang w:val="zh-CN"/>
        </w:rPr>
        <w:t>参照评价标准对本单位自评进行抽查，抽查差异在5%以内，自评质量较高。</w:t>
      </w:r>
    </w:p>
    <w:p>
      <w:pPr>
        <w:widowControl/>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spacing w:line="580" w:lineRule="exact"/>
        <w:ind w:firstLine="660" w:firstLineChars="200"/>
        <w:rPr>
          <w:rFonts w:eastAsia="方正仿宋_GBK"/>
          <w:color w:val="000000"/>
          <w:sz w:val="33"/>
          <w:szCs w:val="33"/>
          <w:lang w:val="zh-CN"/>
        </w:rPr>
      </w:pPr>
      <w:r>
        <w:rPr>
          <w:rFonts w:hint="eastAsia" w:eastAsia="方正仿宋_GBK"/>
          <w:color w:val="000000"/>
          <w:sz w:val="33"/>
          <w:szCs w:val="33"/>
          <w:lang w:val="zh-CN"/>
        </w:rPr>
        <w:t>（一）评价结论。</w:t>
      </w:r>
      <w:r>
        <w:rPr>
          <w:rFonts w:hint="eastAsia" w:eastAsia="方正仿宋_GBK"/>
          <w:color w:val="000000"/>
          <w:sz w:val="33"/>
          <w:szCs w:val="33"/>
        </w:rPr>
        <w:t>总体来说，我中心2021年单位整体支出运行良好，从预算编制到执行，均按相关规定严格控制并及时公开，有效保证了机构运转，出色完成了新冠疫情防控、艾滋、结核等重大传染病和其他疾病防控、健康危害因素监测和疾控机构能力建设等工作，</w:t>
      </w:r>
      <w:r>
        <w:rPr>
          <w:rFonts w:hint="eastAsia" w:eastAsia="方正仿宋_GBK"/>
          <w:color w:val="000000"/>
          <w:sz w:val="33"/>
          <w:szCs w:val="33"/>
          <w:lang w:val="zh-CN"/>
        </w:rPr>
        <w:t>较好地完成本年度工作</w:t>
      </w:r>
      <w:r>
        <w:rPr>
          <w:rFonts w:hint="eastAsia" w:eastAsia="方正仿宋_GBK"/>
          <w:color w:val="000000"/>
          <w:sz w:val="33"/>
          <w:szCs w:val="33"/>
        </w:rPr>
        <w:t>任务</w:t>
      </w:r>
      <w:r>
        <w:rPr>
          <w:rFonts w:hint="eastAsia" w:eastAsia="方正仿宋_GBK"/>
          <w:color w:val="000000"/>
          <w:sz w:val="33"/>
          <w:szCs w:val="33"/>
          <w:lang w:val="zh-CN"/>
        </w:rPr>
        <w:t>，实现了202</w:t>
      </w:r>
      <w:r>
        <w:rPr>
          <w:rFonts w:hint="eastAsia" w:eastAsia="方正仿宋_GBK"/>
          <w:color w:val="000000"/>
          <w:sz w:val="33"/>
          <w:szCs w:val="33"/>
        </w:rPr>
        <w:t>1</w:t>
      </w:r>
      <w:r>
        <w:rPr>
          <w:rFonts w:hint="eastAsia" w:eastAsia="方正仿宋_GBK"/>
          <w:color w:val="000000"/>
          <w:sz w:val="33"/>
          <w:szCs w:val="33"/>
          <w:lang w:val="zh-CN"/>
        </w:rPr>
        <w:t>年财政预算支出的绩效目标。</w:t>
      </w:r>
    </w:p>
    <w:p>
      <w:pPr>
        <w:spacing w:line="580" w:lineRule="exact"/>
        <w:ind w:firstLine="660" w:firstLineChars="200"/>
        <w:rPr>
          <w:rFonts w:eastAsia="方正仿宋_GBK"/>
          <w:color w:val="000000"/>
          <w:sz w:val="33"/>
          <w:szCs w:val="33"/>
          <w:lang w:val="zh-CN"/>
        </w:rPr>
      </w:pPr>
      <w:r>
        <w:rPr>
          <w:rFonts w:hint="eastAsia" w:eastAsia="方正仿宋_GBK"/>
          <w:color w:val="000000"/>
          <w:sz w:val="33"/>
          <w:szCs w:val="33"/>
          <w:lang w:val="zh-CN"/>
        </w:rPr>
        <w:t>（二）存在问题。一是预算编制准确性还有提升的空间，项目工作经费有待更加细化准确；二是</w:t>
      </w:r>
      <w:r>
        <w:rPr>
          <w:rFonts w:hint="eastAsia" w:eastAsia="方正仿宋_GBK"/>
          <w:color w:val="000000"/>
          <w:sz w:val="33"/>
          <w:szCs w:val="33"/>
        </w:rPr>
        <w:t>中心业务科室与财务科室工作</w:t>
      </w:r>
      <w:r>
        <w:rPr>
          <w:rFonts w:hint="eastAsia" w:eastAsia="方正仿宋_GBK"/>
          <w:color w:val="000000"/>
          <w:sz w:val="33"/>
          <w:szCs w:val="33"/>
          <w:lang w:val="zh-CN"/>
        </w:rPr>
        <w:t>衔接</w:t>
      </w:r>
      <w:r>
        <w:rPr>
          <w:rFonts w:hint="eastAsia" w:eastAsia="方正仿宋_GBK"/>
          <w:color w:val="000000"/>
          <w:sz w:val="33"/>
          <w:szCs w:val="33"/>
        </w:rPr>
        <w:t>上</w:t>
      </w:r>
      <w:r>
        <w:rPr>
          <w:rFonts w:hint="eastAsia" w:eastAsia="方正仿宋_GBK"/>
          <w:color w:val="000000"/>
          <w:sz w:val="33"/>
          <w:szCs w:val="33"/>
          <w:lang w:val="zh-CN"/>
        </w:rPr>
        <w:t>有脱结现象，导致资金执行进度与项目执行进度存在一定差距。三是受年初预算限制，年初预算基本支出多数是按照单位人员数量、单位性质按比例套算科目经费，实际执行过程中与年初预算存在一定程度的偏差。</w:t>
      </w:r>
    </w:p>
    <w:p>
      <w:pPr>
        <w:spacing w:line="580" w:lineRule="exact"/>
        <w:ind w:firstLine="660" w:firstLineChars="200"/>
        <w:rPr>
          <w:rFonts w:eastAsia="方正仿宋_GBK"/>
          <w:color w:val="000000"/>
          <w:sz w:val="33"/>
          <w:szCs w:val="33"/>
          <w:lang w:val="zh-CN"/>
        </w:rPr>
      </w:pPr>
      <w:r>
        <w:rPr>
          <w:rFonts w:hint="eastAsia" w:eastAsia="方正仿宋_GBK"/>
          <w:color w:val="000000"/>
          <w:sz w:val="33"/>
          <w:szCs w:val="33"/>
          <w:lang w:val="zh-CN"/>
        </w:rPr>
        <w:t>（三）改进建议。一是财政部门加强对各单位财务人员绩效管理工作的业务培训与指导，提高业务管理能力和水平；二是</w:t>
      </w:r>
      <w:r>
        <w:rPr>
          <w:rFonts w:hint="eastAsia" w:eastAsia="方正仿宋_GBK"/>
          <w:color w:val="000000"/>
          <w:sz w:val="33"/>
          <w:szCs w:val="33"/>
        </w:rPr>
        <w:t>加强本单位财务科室与业务科室的沟通</w:t>
      </w:r>
      <w:r>
        <w:rPr>
          <w:rFonts w:hint="eastAsia" w:eastAsia="方正仿宋_GBK"/>
          <w:color w:val="000000"/>
          <w:sz w:val="33"/>
          <w:szCs w:val="33"/>
          <w:lang w:val="zh-CN"/>
        </w:rPr>
        <w:t>衔接，</w:t>
      </w:r>
      <w:r>
        <w:rPr>
          <w:rFonts w:hint="eastAsia" w:eastAsia="方正仿宋_GBK"/>
          <w:color w:val="000000"/>
          <w:sz w:val="33"/>
          <w:szCs w:val="33"/>
        </w:rPr>
        <w:t>加强预算绩效管理基本知识的学习培训，强化和树立预算绩效管理理念；三是中心</w:t>
      </w:r>
      <w:r>
        <w:rPr>
          <w:rFonts w:hint="eastAsia" w:eastAsia="方正仿宋_GBK"/>
          <w:color w:val="000000"/>
          <w:sz w:val="33"/>
          <w:szCs w:val="33"/>
          <w:lang w:val="zh-CN"/>
        </w:rPr>
        <w:t>进一步加强预算编制</w:t>
      </w:r>
      <w:r>
        <w:rPr>
          <w:rFonts w:hint="eastAsia" w:eastAsia="方正仿宋_GBK"/>
          <w:color w:val="000000"/>
          <w:sz w:val="33"/>
          <w:szCs w:val="33"/>
        </w:rPr>
        <w:t>和预算执行</w:t>
      </w:r>
      <w:r>
        <w:rPr>
          <w:rFonts w:hint="eastAsia" w:eastAsia="方正仿宋_GBK"/>
          <w:color w:val="000000"/>
          <w:sz w:val="33"/>
          <w:szCs w:val="33"/>
          <w:lang w:val="zh-CN"/>
        </w:rPr>
        <w:t>，根据上年度预算实际执行情况和支出绩效评价结果，加强预算需求、</w:t>
      </w:r>
      <w:r>
        <w:rPr>
          <w:rFonts w:hint="eastAsia" w:eastAsia="方正仿宋_GBK"/>
          <w:color w:val="000000"/>
          <w:sz w:val="33"/>
          <w:szCs w:val="33"/>
        </w:rPr>
        <w:t>支出、进度</w:t>
      </w:r>
      <w:r>
        <w:rPr>
          <w:rFonts w:hint="eastAsia" w:eastAsia="方正仿宋_GBK"/>
          <w:color w:val="000000"/>
          <w:sz w:val="33"/>
          <w:szCs w:val="33"/>
          <w:lang w:val="zh-CN"/>
        </w:rPr>
        <w:t>分析，</w:t>
      </w:r>
      <w:r>
        <w:rPr>
          <w:rFonts w:hint="eastAsia" w:eastAsia="方正仿宋_GBK"/>
          <w:color w:val="000000"/>
          <w:sz w:val="33"/>
          <w:szCs w:val="33"/>
        </w:rPr>
        <w:t>加强预算执行情况监测，不断</w:t>
      </w:r>
      <w:r>
        <w:rPr>
          <w:rFonts w:hint="eastAsia" w:eastAsia="方正仿宋_GBK"/>
          <w:color w:val="000000"/>
          <w:sz w:val="33"/>
          <w:szCs w:val="33"/>
          <w:lang w:val="zh-CN"/>
        </w:rPr>
        <w:t>提高预算编制准确度</w:t>
      </w:r>
      <w:r>
        <w:rPr>
          <w:rFonts w:hint="eastAsia" w:eastAsia="方正仿宋_GBK"/>
          <w:color w:val="000000"/>
          <w:sz w:val="33"/>
          <w:szCs w:val="33"/>
        </w:rPr>
        <w:t>和预算执行力度</w:t>
      </w:r>
      <w:r>
        <w:rPr>
          <w:rFonts w:hint="eastAsia" w:eastAsia="方正仿宋_GBK"/>
          <w:color w:val="000000"/>
          <w:sz w:val="33"/>
          <w:szCs w:val="33"/>
          <w:lang w:val="zh-CN"/>
        </w:rPr>
        <w:t>。</w:t>
      </w:r>
    </w:p>
    <w:p>
      <w:pPr>
        <w:spacing w:line="580" w:lineRule="exact"/>
        <w:ind w:firstLine="640" w:firstLineChars="200"/>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hint="eastAsia"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艾滋病防治</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2021年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hint="eastAsia"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spacing w:line="580" w:lineRule="exact"/>
        <w:ind w:firstLine="660" w:firstLineChars="200"/>
        <w:rPr>
          <w:rFonts w:eastAsia="方正仿宋_GBK"/>
          <w:color w:val="000000"/>
          <w:sz w:val="33"/>
          <w:szCs w:val="33"/>
        </w:rPr>
      </w:pPr>
      <w:r>
        <w:rPr>
          <w:rFonts w:hint="eastAsia" w:eastAsia="方正仿宋_GBK"/>
          <w:color w:val="000000"/>
          <w:sz w:val="33"/>
          <w:szCs w:val="33"/>
        </w:rPr>
        <w:t>艾滋病防治项目开展常住人口艾滋病筛查，为已发现的艾滋病感染者及病人提供免费抗病毒治疗、病毒载量和CD4检测、结核病筛查等，以提高艾滋病感染者及病人发现率，有效开展治疗，努力控制和降低患病风险。需要大量的快检、初筛、确证、病毒载量、CD4检测试剂，资金需求大。</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spacing w:line="580" w:lineRule="exact"/>
        <w:ind w:firstLine="660" w:firstLineChars="200"/>
        <w:rPr>
          <w:rFonts w:eastAsia="方正仿宋_GBK"/>
          <w:color w:val="000000"/>
          <w:sz w:val="33"/>
          <w:szCs w:val="33"/>
          <w:lang w:val="zh-CN"/>
        </w:rPr>
      </w:pPr>
      <w:r>
        <w:rPr>
          <w:rFonts w:hint="eastAsia" w:eastAsia="方正仿宋_GBK"/>
          <w:color w:val="000000"/>
          <w:sz w:val="33"/>
          <w:szCs w:val="33"/>
          <w:lang w:val="zh-CN"/>
        </w:rPr>
        <w:t>加强艾滋病患者的发现、控制、阻断，实验室采取切实有效的措施，及时诊断发现艾滋病感染者及病人；对于发现的患者加强规范化治疗和管理，开展健康教育宣传，降低其传播艾滋病的可能；加强技术指导和培训，提高艾防人员业务能力，更好的完成艾滋病、结核病的防控工作。项目共设置HIV检测覆盖率、病毒载量检测率等13个定量绩效目标，涉及数量、质量、经济效益、社会效益等多个方面。</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spacing w:line="580" w:lineRule="exact"/>
        <w:ind w:firstLine="660" w:firstLineChars="200"/>
        <w:rPr>
          <w:rFonts w:eastAsia="方正仿宋_GBK"/>
          <w:color w:val="000000"/>
          <w:sz w:val="33"/>
          <w:szCs w:val="33"/>
          <w:lang w:val="zh-CN"/>
        </w:rPr>
      </w:pPr>
      <w:r>
        <w:rPr>
          <w:rFonts w:hint="eastAsia" w:eastAsia="方正仿宋_GBK"/>
          <w:color w:val="000000"/>
          <w:sz w:val="33"/>
          <w:szCs w:val="33"/>
          <w:lang w:val="zh-CN"/>
        </w:rPr>
        <w:t>项目绩效自评从项目绩效目标完成情况及项目资金使用情况两方面评价。</w:t>
      </w:r>
    </w:p>
    <w:p>
      <w:pPr>
        <w:adjustRightInd w:val="0"/>
        <w:snapToGrid w:val="0"/>
        <w:spacing w:line="600" w:lineRule="exact"/>
        <w:ind w:firstLine="720"/>
        <w:rPr>
          <w:rFonts w:hint="eastAsia"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eastAsia="方正仿宋_GBK"/>
          <w:color w:val="000000"/>
          <w:sz w:val="33"/>
          <w:szCs w:val="33"/>
          <w:lang w:val="zh-CN"/>
        </w:rPr>
      </w:pPr>
      <w:r>
        <w:rPr>
          <w:rFonts w:hint="eastAsia" w:eastAsia="方正仿宋_GBK"/>
          <w:color w:val="000000"/>
          <w:sz w:val="33"/>
          <w:szCs w:val="33"/>
        </w:rPr>
        <w:t>2021年</w:t>
      </w:r>
      <w:r>
        <w:rPr>
          <w:rFonts w:hint="eastAsia" w:eastAsia="方正仿宋_GBK"/>
          <w:color w:val="000000"/>
          <w:sz w:val="33"/>
          <w:szCs w:val="33"/>
          <w:lang w:val="zh-CN"/>
        </w:rPr>
        <w:t>艾滋病</w:t>
      </w:r>
      <w:r>
        <w:rPr>
          <w:rFonts w:hint="eastAsia" w:eastAsia="方正仿宋_GBK"/>
          <w:color w:val="000000"/>
          <w:sz w:val="33"/>
          <w:szCs w:val="33"/>
        </w:rPr>
        <w:t>防治</w:t>
      </w:r>
      <w:r>
        <w:rPr>
          <w:rFonts w:hint="eastAsia" w:eastAsia="方正仿宋_GBK"/>
          <w:color w:val="000000"/>
          <w:sz w:val="33"/>
          <w:szCs w:val="33"/>
          <w:lang w:val="zh-CN"/>
        </w:rPr>
        <w:t>项目年初预算</w:t>
      </w:r>
      <w:r>
        <w:rPr>
          <w:rFonts w:hint="eastAsia" w:eastAsia="方正仿宋_GBK"/>
          <w:color w:val="000000"/>
          <w:sz w:val="33"/>
          <w:szCs w:val="33"/>
        </w:rPr>
        <w:t>申报2万元，批复2万元。9月，根据年度项目实施方案和任务下达及完成进展，经我单位按程序申请，市财政批复追加预算项目经费87.5万元，合计全年项目经费下达89.5万元。</w:t>
      </w:r>
    </w:p>
    <w:p>
      <w:pPr>
        <w:adjustRightInd w:val="0"/>
        <w:snapToGrid w:val="0"/>
        <w:spacing w:line="600" w:lineRule="exact"/>
        <w:ind w:firstLine="720"/>
        <w:rPr>
          <w:rFonts w:hint="eastAsia"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spacing w:line="580" w:lineRule="exact"/>
        <w:ind w:firstLine="660" w:firstLineChars="200"/>
        <w:rPr>
          <w:rFonts w:eastAsia="方正仿宋_GBK"/>
          <w:color w:val="000000"/>
          <w:sz w:val="33"/>
          <w:szCs w:val="33"/>
          <w:lang w:val="zh-CN"/>
        </w:rPr>
      </w:pPr>
      <w:r>
        <w:rPr>
          <w:rFonts w:hint="eastAsia" w:eastAsia="方正仿宋_GBK"/>
          <w:color w:val="000000"/>
          <w:sz w:val="33"/>
          <w:szCs w:val="33"/>
          <w:lang w:val="zh-CN"/>
        </w:rPr>
        <w:t>1．资金计划。</w:t>
      </w:r>
      <w:r>
        <w:rPr>
          <w:rFonts w:hint="eastAsia" w:eastAsia="方正仿宋_GBK"/>
          <w:color w:val="000000"/>
          <w:sz w:val="33"/>
          <w:szCs w:val="33"/>
        </w:rPr>
        <w:t>2021年年初市级预算下达我中心艾滋病项目资金2万元，在实施过程中，根据项目工作开展需要及相关工作要求，于2021年9月申请追加项目资金87.5万元。</w:t>
      </w:r>
    </w:p>
    <w:p>
      <w:pPr>
        <w:spacing w:line="580" w:lineRule="exact"/>
        <w:ind w:firstLine="660" w:firstLineChars="200"/>
        <w:rPr>
          <w:rFonts w:eastAsia="方正仿宋_GBK"/>
          <w:color w:val="000000"/>
          <w:sz w:val="33"/>
          <w:szCs w:val="33"/>
        </w:rPr>
      </w:pPr>
      <w:r>
        <w:rPr>
          <w:rFonts w:hint="eastAsia" w:eastAsia="方正仿宋_GBK"/>
          <w:color w:val="000000"/>
          <w:sz w:val="33"/>
          <w:szCs w:val="33"/>
          <w:lang w:val="zh-CN"/>
        </w:rPr>
        <w:t>2．资金到位。</w:t>
      </w:r>
      <w:r>
        <w:rPr>
          <w:rFonts w:hint="eastAsia" w:eastAsia="方正仿宋_GBK"/>
          <w:color w:val="000000"/>
          <w:sz w:val="33"/>
          <w:szCs w:val="33"/>
        </w:rPr>
        <w:t>截</w:t>
      </w:r>
      <w:r>
        <w:rPr>
          <w:rFonts w:hint="eastAsia" w:eastAsia="方正仿宋_GBK"/>
          <w:color w:val="000000"/>
          <w:sz w:val="33"/>
          <w:szCs w:val="33"/>
          <w:lang w:eastAsia="zh-CN"/>
        </w:rPr>
        <w:t>至</w:t>
      </w:r>
      <w:r>
        <w:rPr>
          <w:rFonts w:hint="eastAsia" w:eastAsia="方正仿宋_GBK"/>
          <w:color w:val="000000"/>
          <w:sz w:val="33"/>
          <w:szCs w:val="33"/>
        </w:rPr>
        <w:t>2021年12月底，计划资金全部到位，共计89.5万元。</w:t>
      </w:r>
    </w:p>
    <w:p>
      <w:pPr>
        <w:spacing w:line="580" w:lineRule="exact"/>
        <w:ind w:firstLine="660" w:firstLineChars="200"/>
        <w:rPr>
          <w:rFonts w:eastAsia="方正仿宋_GBK"/>
          <w:color w:val="000000"/>
          <w:sz w:val="33"/>
          <w:szCs w:val="33"/>
          <w:lang w:val="zh-CN"/>
        </w:rPr>
      </w:pPr>
      <w:r>
        <w:rPr>
          <w:rFonts w:hint="eastAsia" w:eastAsia="方正仿宋_GBK"/>
          <w:color w:val="000000"/>
          <w:sz w:val="33"/>
          <w:szCs w:val="33"/>
          <w:lang w:val="zh-CN"/>
        </w:rPr>
        <w:t>3．资金使用。截至</w:t>
      </w:r>
      <w:r>
        <w:rPr>
          <w:rFonts w:hint="eastAsia" w:eastAsia="方正仿宋_GBK"/>
          <w:color w:val="000000"/>
          <w:sz w:val="33"/>
          <w:szCs w:val="33"/>
        </w:rPr>
        <w:t>2021年12月底，艾滋病防治项目支出89.5万元，由于部分试剂未到货，当年尚有23.85万元试剂款未在12月底前完成支付。此项目资金主要用于试剂购买、设备维护、办公、劳务等费用支付，资金开支范围、标准、支付依据均合规合法，资金支付与预算基本相符</w:t>
      </w:r>
      <w:r>
        <w:rPr>
          <w:rFonts w:hint="eastAsia" w:eastAsia="方正仿宋_GBK"/>
          <w:color w:val="000000"/>
          <w:sz w:val="33"/>
          <w:szCs w:val="33"/>
          <w:lang w:val="zh-CN"/>
        </w:rPr>
        <w:t>。</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spacing w:line="580" w:lineRule="exact"/>
        <w:ind w:firstLine="660" w:firstLineChars="200"/>
        <w:rPr>
          <w:rFonts w:eastAsia="方正仿宋_GBK"/>
          <w:color w:val="000000"/>
          <w:sz w:val="33"/>
          <w:szCs w:val="33"/>
          <w:lang w:val="zh-CN"/>
        </w:rPr>
      </w:pPr>
      <w:r>
        <w:rPr>
          <w:rFonts w:hint="eastAsia" w:eastAsia="方正仿宋_GBK"/>
          <w:color w:val="000000"/>
          <w:sz w:val="33"/>
          <w:szCs w:val="33"/>
          <w:lang w:val="zh-CN"/>
        </w:rPr>
        <w:t>该项目资金采取授权支付形式，严格按照项目资金管理办法、财务管理制度进行使用，财务处理及时、会计核算规范。</w:t>
      </w:r>
    </w:p>
    <w:p>
      <w:pPr>
        <w:adjustRightInd w:val="0"/>
        <w:snapToGrid w:val="0"/>
        <w:spacing w:line="600" w:lineRule="exact"/>
        <w:ind w:firstLine="720"/>
        <w:rPr>
          <w:rFonts w:hint="eastAsia"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楷体_GB2312" w:hAnsi="宋体" w:eastAsia="楷体_GB2312"/>
          <w:b/>
          <w:sz w:val="32"/>
          <w:szCs w:val="32"/>
          <w:highlight w:val="yellow"/>
          <w:lang w:val="zh-CN"/>
        </w:rPr>
      </w:pPr>
      <w:r>
        <w:rPr>
          <w:rFonts w:hint="eastAsia" w:ascii="楷体_GB2312" w:hAnsi="宋体" w:eastAsia="楷体_GB2312"/>
          <w:b/>
          <w:sz w:val="32"/>
          <w:szCs w:val="32"/>
          <w:lang w:val="zh-CN"/>
        </w:rPr>
        <w:t>（一）项目组织架构及实施流程。</w:t>
      </w:r>
      <w:r>
        <w:rPr>
          <w:rFonts w:hint="eastAsia" w:eastAsia="方正仿宋_GBK"/>
          <w:bCs/>
          <w:sz w:val="32"/>
          <w:szCs w:val="32"/>
        </w:rPr>
        <w:t>按照四川省卫生健康委员会《关于印发四川省2021年中央财政补助艾滋病等重大传染病和地方病防治项目第一批资金实施方案的通知》等文件要求，对照2021年艾滋病防治项目任务，结合实际，中心下发《2021年艾滋病防治工作要点》，制定了艾滋病防治项目资金实施方案。</w:t>
      </w:r>
    </w:p>
    <w:p>
      <w:pPr>
        <w:adjustRightInd w:val="0"/>
        <w:snapToGrid w:val="0"/>
        <w:spacing w:line="600" w:lineRule="exact"/>
        <w:ind w:firstLine="720"/>
        <w:rPr>
          <w:rFonts w:hint="eastAsia" w:ascii="仿宋_GB2312" w:hAnsi="宋体" w:eastAsia="仿宋_GB2312"/>
          <w:sz w:val="32"/>
          <w:szCs w:val="32"/>
          <w:highlight w:val="yellow"/>
          <w:lang w:val="zh-CN"/>
        </w:rPr>
      </w:pPr>
      <w:r>
        <w:rPr>
          <w:rFonts w:hint="eastAsia" w:ascii="楷体_GB2312" w:hAnsi="宋体" w:eastAsia="楷体_GB2312"/>
          <w:b/>
          <w:sz w:val="32"/>
          <w:szCs w:val="32"/>
          <w:lang w:val="zh-CN"/>
        </w:rPr>
        <w:t>（二）项目管理情况。</w:t>
      </w:r>
      <w:r>
        <w:rPr>
          <w:rFonts w:hint="eastAsia" w:eastAsia="方正仿宋_GBK"/>
          <w:bCs/>
          <w:sz w:val="32"/>
          <w:szCs w:val="32"/>
        </w:rPr>
        <w:t>我中心按照《2021年艾滋病防治工作要点》及项目科室制定的资金使用计划，执行2021年艾滋病防治资金的使用，对涉及的试剂耗材等采购支出，严格按照相关法律法规，通过政府采购及阳光平台采购，并结合资金使用及任务完成情况，定期通报至具体项目执行科室，2021年，我中心未发生项目管理不力的情况。</w:t>
      </w:r>
    </w:p>
    <w:p>
      <w:pPr>
        <w:adjustRightInd w:val="0"/>
        <w:snapToGrid w:val="0"/>
        <w:spacing w:line="600" w:lineRule="exact"/>
        <w:ind w:firstLine="720"/>
        <w:rPr>
          <w:rFonts w:hint="eastAsia" w:ascii="仿宋_GB2312" w:hAnsi="宋体" w:eastAsia="仿宋_GB2312"/>
          <w:sz w:val="32"/>
          <w:szCs w:val="32"/>
          <w:highlight w:val="yellow"/>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项目主管部门</w:t>
      </w:r>
      <w:r>
        <w:rPr>
          <w:rFonts w:eastAsia="方正仿宋_GBK"/>
          <w:kern w:val="0"/>
          <w:sz w:val="33"/>
          <w:szCs w:val="33"/>
        </w:rPr>
        <w:t>高度重视艾滋病防治工作，</w:t>
      </w:r>
      <w:r>
        <w:rPr>
          <w:rFonts w:eastAsia="方正仿宋_GBK"/>
          <w:sz w:val="33"/>
          <w:szCs w:val="33"/>
        </w:rPr>
        <w:t>切实履行艾滋病防治</w:t>
      </w:r>
      <w:r>
        <w:rPr>
          <w:rFonts w:hint="eastAsia" w:eastAsia="方正仿宋_GBK"/>
          <w:sz w:val="33"/>
          <w:szCs w:val="33"/>
        </w:rPr>
        <w:t>主体</w:t>
      </w:r>
      <w:r>
        <w:rPr>
          <w:rFonts w:eastAsia="方正仿宋_GBK"/>
          <w:sz w:val="33"/>
          <w:szCs w:val="33"/>
        </w:rPr>
        <w:t>责任，定期听取疫情形势研判，解决艾滋病防治机制体系、队伍建设、社会治理等方面存在的困难和问题。</w:t>
      </w:r>
      <w:r>
        <w:rPr>
          <w:rFonts w:hint="eastAsia" w:eastAsia="方正仿宋_GBK"/>
          <w:sz w:val="33"/>
          <w:szCs w:val="33"/>
        </w:rPr>
        <w:t>通过</w:t>
      </w:r>
      <w:r>
        <w:rPr>
          <w:rFonts w:eastAsia="方正仿宋_GBK"/>
          <w:sz w:val="33"/>
          <w:szCs w:val="33"/>
        </w:rPr>
        <w:t>完善“三线一网底”防治体系</w:t>
      </w:r>
      <w:r>
        <w:rPr>
          <w:rFonts w:hint="eastAsia" w:eastAsia="方正仿宋_GBK"/>
          <w:sz w:val="33"/>
          <w:szCs w:val="33"/>
        </w:rPr>
        <w:t>，</w:t>
      </w:r>
      <w:r>
        <w:rPr>
          <w:rFonts w:eastAsia="方正仿宋_GBK"/>
          <w:sz w:val="33"/>
          <w:szCs w:val="33"/>
        </w:rPr>
        <w:t>每月加强信息互通共享，季度开展调研指导和质量核查，及时研究解决工作中存在的问题。</w:t>
      </w:r>
      <w:r>
        <w:rPr>
          <w:rFonts w:hint="eastAsia" w:eastAsia="方正仿宋_GBK"/>
          <w:sz w:val="33"/>
          <w:szCs w:val="33"/>
        </w:rPr>
        <w:t>同时</w:t>
      </w:r>
      <w:r>
        <w:rPr>
          <w:rFonts w:eastAsia="方正仿宋_GBK"/>
          <w:sz w:val="33"/>
          <w:szCs w:val="33"/>
        </w:rPr>
        <w:t>深入开展宣传干预。采取多形式对各行各业人群开展禁毒防艾知识宣传</w:t>
      </w:r>
      <w:r>
        <w:rPr>
          <w:rFonts w:hint="eastAsia" w:eastAsia="方正仿宋_GBK"/>
          <w:sz w:val="33"/>
          <w:szCs w:val="33"/>
        </w:rPr>
        <w:t>，联合</w:t>
      </w:r>
      <w:r>
        <w:rPr>
          <w:rFonts w:eastAsia="方正仿宋_GBK"/>
          <w:kern w:val="0"/>
          <w:sz w:val="33"/>
          <w:szCs w:val="33"/>
        </w:rPr>
        <w:t>教育主管部门建立了艾滋病疫情通报和会商机制，在广安职业技术学院及中等职业技术学校开展艾滋病专题讲座</w:t>
      </w:r>
      <w:r>
        <w:rPr>
          <w:rFonts w:hint="eastAsia" w:eastAsia="方正仿宋_GBK"/>
          <w:kern w:val="0"/>
          <w:sz w:val="33"/>
          <w:szCs w:val="33"/>
        </w:rPr>
        <w:t>等，通过多部门共同协作，做好艾滋病防治工作</w:t>
      </w:r>
      <w:r>
        <w:rPr>
          <w:rFonts w:hint="eastAsia" w:eastAsia="方正仿宋_GBK"/>
          <w:kern w:val="0"/>
          <w:sz w:val="33"/>
          <w:szCs w:val="33"/>
          <w:lang w:val="zh-CN"/>
        </w:rPr>
        <w:t>。</w:t>
      </w:r>
    </w:p>
    <w:p>
      <w:pPr>
        <w:adjustRightInd w:val="0"/>
        <w:snapToGrid w:val="0"/>
        <w:spacing w:line="600" w:lineRule="exact"/>
        <w:ind w:firstLine="720"/>
        <w:rPr>
          <w:rFonts w:hint="eastAsia"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spacing w:line="580" w:lineRule="exact"/>
        <w:ind w:firstLine="660" w:firstLineChars="200"/>
        <w:rPr>
          <w:rFonts w:eastAsia="方正仿宋_GBK"/>
          <w:color w:val="000000"/>
          <w:sz w:val="33"/>
          <w:szCs w:val="33"/>
        </w:rPr>
      </w:pPr>
      <w:r>
        <w:rPr>
          <w:rFonts w:hint="eastAsia" w:eastAsia="方正仿宋_GBK"/>
          <w:color w:val="000000"/>
          <w:sz w:val="33"/>
          <w:szCs w:val="33"/>
        </w:rPr>
        <w:t>1.</w:t>
      </w:r>
      <w:r>
        <w:rPr>
          <w:rFonts w:eastAsia="方正仿宋_GBK"/>
          <w:color w:val="000000"/>
          <w:sz w:val="33"/>
          <w:szCs w:val="33"/>
        </w:rPr>
        <w:t>HIV检测覆盖率39.63%</w:t>
      </w:r>
      <w:r>
        <w:rPr>
          <w:rFonts w:hint="eastAsia" w:eastAsia="方正仿宋_GBK"/>
          <w:color w:val="000000"/>
          <w:sz w:val="33"/>
          <w:szCs w:val="33"/>
        </w:rPr>
        <w:t>，目标≥20%，完成率198%。</w:t>
      </w:r>
    </w:p>
    <w:p>
      <w:pPr>
        <w:spacing w:line="580" w:lineRule="exact"/>
        <w:ind w:firstLine="660" w:firstLineChars="200"/>
        <w:rPr>
          <w:rFonts w:eastAsia="方正仿宋_GBK"/>
          <w:color w:val="000000"/>
          <w:sz w:val="33"/>
          <w:szCs w:val="33"/>
        </w:rPr>
      </w:pPr>
      <w:r>
        <w:rPr>
          <w:rFonts w:hint="eastAsia" w:eastAsia="方正仿宋_GBK"/>
          <w:color w:val="000000"/>
          <w:sz w:val="33"/>
          <w:szCs w:val="33"/>
        </w:rPr>
        <w:t>2.病毒载量检测率93.74%，目标≥90%，完成率104%。</w:t>
      </w:r>
    </w:p>
    <w:p>
      <w:pPr>
        <w:spacing w:line="580" w:lineRule="exact"/>
        <w:ind w:firstLine="660" w:firstLineChars="200"/>
        <w:rPr>
          <w:rFonts w:eastAsia="方正仿宋_GBK"/>
          <w:color w:val="000000"/>
          <w:sz w:val="33"/>
          <w:szCs w:val="33"/>
        </w:rPr>
      </w:pPr>
      <w:r>
        <w:rPr>
          <w:rFonts w:hint="eastAsia" w:eastAsia="方正仿宋_GBK"/>
          <w:color w:val="000000"/>
          <w:sz w:val="33"/>
          <w:szCs w:val="33"/>
        </w:rPr>
        <w:t>3.召开艾滋病三线月例会12次，目标12次，完成率100%。</w:t>
      </w:r>
    </w:p>
    <w:p>
      <w:pPr>
        <w:spacing w:line="580" w:lineRule="exact"/>
        <w:ind w:firstLine="660" w:firstLineChars="200"/>
        <w:rPr>
          <w:rFonts w:eastAsia="方正仿宋_GBK"/>
          <w:color w:val="000000"/>
          <w:sz w:val="33"/>
          <w:szCs w:val="33"/>
        </w:rPr>
      </w:pPr>
      <w:r>
        <w:rPr>
          <w:rFonts w:hint="eastAsia" w:eastAsia="方正仿宋_GBK"/>
          <w:color w:val="000000"/>
          <w:sz w:val="33"/>
          <w:szCs w:val="33"/>
        </w:rPr>
        <w:t>4.开展艾滋病相关培训2次，目标1-2次，完成率100%。</w:t>
      </w:r>
    </w:p>
    <w:p>
      <w:pPr>
        <w:spacing w:line="580" w:lineRule="exact"/>
        <w:ind w:firstLine="660" w:firstLineChars="200"/>
        <w:rPr>
          <w:rFonts w:eastAsia="方正仿宋_GBK"/>
          <w:color w:val="000000"/>
          <w:sz w:val="33"/>
          <w:szCs w:val="33"/>
        </w:rPr>
      </w:pPr>
      <w:r>
        <w:rPr>
          <w:rFonts w:hint="eastAsia" w:eastAsia="方正仿宋_GBK"/>
          <w:color w:val="000000"/>
          <w:sz w:val="33"/>
          <w:szCs w:val="33"/>
        </w:rPr>
        <w:t>5.对县区技术指导4次，目标2-4次，完成率100%。</w:t>
      </w:r>
    </w:p>
    <w:p>
      <w:pPr>
        <w:spacing w:line="580" w:lineRule="exact"/>
        <w:ind w:firstLine="660" w:firstLineChars="200"/>
        <w:rPr>
          <w:rFonts w:eastAsia="方正仿宋_GBK"/>
          <w:color w:val="000000"/>
          <w:sz w:val="33"/>
          <w:szCs w:val="33"/>
        </w:rPr>
      </w:pPr>
      <w:r>
        <w:rPr>
          <w:rFonts w:hint="eastAsia" w:eastAsia="方正仿宋_GBK"/>
          <w:color w:val="000000"/>
          <w:sz w:val="33"/>
          <w:szCs w:val="33"/>
        </w:rPr>
        <w:t>6.艾滋病病毒感染者/病人随访干预检测比例为94.43%，目标≥90%，完成率105%。</w:t>
      </w:r>
    </w:p>
    <w:p>
      <w:pPr>
        <w:spacing w:line="580" w:lineRule="exact"/>
        <w:ind w:firstLine="660" w:firstLineChars="200"/>
        <w:rPr>
          <w:rFonts w:eastAsia="方正仿宋_GBK"/>
          <w:color w:val="000000"/>
          <w:sz w:val="33"/>
          <w:szCs w:val="33"/>
        </w:rPr>
      </w:pPr>
      <w:r>
        <w:rPr>
          <w:rFonts w:hint="eastAsia" w:eastAsia="方正仿宋_GBK"/>
          <w:color w:val="000000"/>
          <w:sz w:val="33"/>
          <w:szCs w:val="33"/>
        </w:rPr>
        <w:t>7.艾滋病病毒感染者/病人接受结核检测比例97.2%，目标≥90%，完成率108%。</w:t>
      </w:r>
    </w:p>
    <w:p>
      <w:pPr>
        <w:spacing w:line="580" w:lineRule="exact"/>
        <w:ind w:firstLine="660" w:firstLineChars="200"/>
        <w:rPr>
          <w:rFonts w:eastAsia="方正仿宋_GBK"/>
          <w:color w:val="000000"/>
          <w:sz w:val="33"/>
          <w:szCs w:val="33"/>
        </w:rPr>
      </w:pPr>
      <w:r>
        <w:rPr>
          <w:rFonts w:hint="eastAsia" w:eastAsia="方正仿宋_GBK"/>
          <w:color w:val="000000"/>
          <w:sz w:val="33"/>
          <w:szCs w:val="33"/>
        </w:rPr>
        <w:t>8.艾滋病病毒感染者/病人的配偶/固定性伴的HIV抗体检测率为93.76%，目标≥85%，完成率110%。</w:t>
      </w:r>
    </w:p>
    <w:p>
      <w:pPr>
        <w:spacing w:line="580" w:lineRule="exact"/>
        <w:ind w:firstLine="660" w:firstLineChars="200"/>
        <w:rPr>
          <w:rFonts w:eastAsia="方正仿宋_GBK"/>
          <w:color w:val="000000"/>
          <w:sz w:val="33"/>
          <w:szCs w:val="33"/>
        </w:rPr>
      </w:pPr>
      <w:r>
        <w:rPr>
          <w:rFonts w:hint="eastAsia" w:eastAsia="方正仿宋_GBK"/>
          <w:color w:val="000000"/>
          <w:sz w:val="33"/>
          <w:szCs w:val="33"/>
        </w:rPr>
        <w:t>9.艾滋病高危人群（暗娼、男性同性性行为人群）干预任务数检测完成率分别为暗娼92.27%，男性同性性行为275.53%，目标均为≥70%，完成率分别为132%和294%。</w:t>
      </w:r>
    </w:p>
    <w:p>
      <w:pPr>
        <w:spacing w:line="580" w:lineRule="exact"/>
        <w:ind w:firstLine="660" w:firstLineChars="200"/>
        <w:rPr>
          <w:rFonts w:eastAsia="方正仿宋_GBK"/>
          <w:color w:val="000000"/>
          <w:sz w:val="33"/>
          <w:szCs w:val="33"/>
        </w:rPr>
      </w:pPr>
      <w:r>
        <w:rPr>
          <w:rFonts w:hint="eastAsia" w:eastAsia="方正仿宋_GBK"/>
          <w:color w:val="000000"/>
          <w:sz w:val="33"/>
          <w:szCs w:val="33"/>
        </w:rPr>
        <w:t>10.艾滋病哨点监测完成率为100%，目标≥95%，完成率105%。</w:t>
      </w:r>
    </w:p>
    <w:p>
      <w:pPr>
        <w:spacing w:line="580" w:lineRule="exact"/>
        <w:ind w:firstLine="660" w:firstLineChars="200"/>
        <w:rPr>
          <w:rFonts w:eastAsia="方正仿宋_GBK"/>
          <w:color w:val="000000"/>
          <w:sz w:val="33"/>
          <w:szCs w:val="33"/>
        </w:rPr>
      </w:pPr>
      <w:r>
        <w:rPr>
          <w:rFonts w:hint="eastAsia" w:eastAsia="方正仿宋_GBK"/>
          <w:color w:val="000000"/>
          <w:sz w:val="33"/>
          <w:szCs w:val="33"/>
        </w:rPr>
        <w:t>11.艾滋病抗病毒治疗覆盖率96.6%，目标≥90%，完成率107%。</w:t>
      </w:r>
    </w:p>
    <w:p>
      <w:pPr>
        <w:spacing w:line="580" w:lineRule="exact"/>
        <w:ind w:firstLine="660" w:firstLineChars="200"/>
        <w:rPr>
          <w:rFonts w:eastAsia="方正仿宋_GBK"/>
          <w:color w:val="000000"/>
          <w:sz w:val="33"/>
          <w:szCs w:val="33"/>
        </w:rPr>
      </w:pPr>
      <w:r>
        <w:rPr>
          <w:rFonts w:hint="eastAsia" w:eastAsia="方正仿宋_GBK"/>
          <w:color w:val="000000"/>
          <w:sz w:val="33"/>
          <w:szCs w:val="33"/>
        </w:rPr>
        <w:t>12.艾滋病抗病毒治疗成功率93.57%，目标≥90%，完成率104%。</w:t>
      </w:r>
    </w:p>
    <w:p>
      <w:pPr>
        <w:spacing w:line="580" w:lineRule="exact"/>
        <w:ind w:firstLine="660" w:firstLineChars="200"/>
        <w:rPr>
          <w:rFonts w:eastAsia="方正仿宋_GBK"/>
          <w:color w:val="000000"/>
          <w:sz w:val="33"/>
          <w:szCs w:val="33"/>
          <w:lang w:val="zh-CN"/>
        </w:rPr>
      </w:pPr>
      <w:r>
        <w:rPr>
          <w:rFonts w:hint="eastAsia" w:eastAsia="方正仿宋_GBK"/>
          <w:color w:val="000000"/>
          <w:sz w:val="33"/>
          <w:szCs w:val="33"/>
        </w:rPr>
        <w:t>13.高危人群艾滋病防治知晓率96%，目标≥90%，完成率107%。</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ind w:firstLine="640"/>
        <w:rPr>
          <w:rFonts w:ascii="方正仿宋_GBK" w:hAnsi="方正仿宋_GBK" w:eastAsia="方正仿宋_GBK" w:cs="方正仿宋_GBK"/>
          <w:bCs/>
          <w:sz w:val="32"/>
          <w:szCs w:val="32"/>
          <w:lang w:val="zh-CN"/>
        </w:rPr>
      </w:pPr>
      <w:r>
        <w:rPr>
          <w:rFonts w:hint="eastAsia" w:eastAsia="方正仿宋_GBK"/>
          <w:color w:val="000000"/>
          <w:sz w:val="33"/>
          <w:szCs w:val="33"/>
        </w:rPr>
        <w:t>通过艾滋病防治，最大限度的发现艾滋病病人及感染者并进行规范管理，可以减少疾病传播，每年每一位艾滋病病人及感染者治疗相关费用将近两万，每减少一名感染者，减少了一定的社会经济负担</w:t>
      </w:r>
      <w:r>
        <w:rPr>
          <w:rFonts w:hint="eastAsia" w:eastAsia="方正仿宋_GBK"/>
          <w:color w:val="000000"/>
          <w:sz w:val="33"/>
          <w:szCs w:val="33"/>
          <w:lang w:val="zh-CN"/>
        </w:rPr>
        <w:t>。</w:t>
      </w:r>
    </w:p>
    <w:p>
      <w:pPr>
        <w:adjustRightInd w:val="0"/>
        <w:snapToGrid w:val="0"/>
        <w:spacing w:line="600" w:lineRule="exact"/>
        <w:ind w:firstLine="720"/>
        <w:rPr>
          <w:rFonts w:hint="eastAsia"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（一）评价结论。</w:t>
      </w:r>
    </w:p>
    <w:p>
      <w:pPr>
        <w:spacing w:line="580" w:lineRule="exact"/>
        <w:ind w:firstLine="660" w:firstLineChars="200"/>
        <w:rPr>
          <w:rFonts w:eastAsia="方正仿宋_GBK"/>
          <w:color w:val="000000"/>
          <w:sz w:val="33"/>
          <w:szCs w:val="33"/>
          <w:lang w:val="zh-CN"/>
        </w:rPr>
      </w:pPr>
      <w:r>
        <w:rPr>
          <w:rFonts w:hint="eastAsia" w:eastAsia="方正仿宋_GBK"/>
          <w:color w:val="000000"/>
          <w:sz w:val="33"/>
          <w:szCs w:val="33"/>
        </w:rPr>
        <w:t>总体来说，2021年艾滋病防治项目支出运行良好，从预算编制到执行，均按相关规定严格控制并及时公开，有效保证了机构运转，</w:t>
      </w:r>
      <w:r>
        <w:rPr>
          <w:rFonts w:hint="eastAsia" w:eastAsia="方正仿宋_GBK"/>
          <w:color w:val="000000"/>
          <w:sz w:val="33"/>
          <w:szCs w:val="33"/>
          <w:lang w:val="zh-CN"/>
        </w:rPr>
        <w:t>较好地完成本年度工作</w:t>
      </w:r>
      <w:r>
        <w:rPr>
          <w:rFonts w:hint="eastAsia" w:eastAsia="方正仿宋_GBK"/>
          <w:color w:val="000000"/>
          <w:sz w:val="33"/>
          <w:szCs w:val="33"/>
        </w:rPr>
        <w:t>任务</w:t>
      </w:r>
      <w:r>
        <w:rPr>
          <w:rFonts w:hint="eastAsia" w:eastAsia="方正仿宋_GBK"/>
          <w:color w:val="000000"/>
          <w:sz w:val="33"/>
          <w:szCs w:val="33"/>
          <w:lang w:val="zh-CN"/>
        </w:rPr>
        <w:t>，实现了202</w:t>
      </w:r>
      <w:r>
        <w:rPr>
          <w:rFonts w:hint="eastAsia" w:eastAsia="方正仿宋_GBK"/>
          <w:color w:val="000000"/>
          <w:sz w:val="33"/>
          <w:szCs w:val="33"/>
        </w:rPr>
        <w:t>1</w:t>
      </w:r>
      <w:r>
        <w:rPr>
          <w:rFonts w:hint="eastAsia" w:eastAsia="方正仿宋_GBK"/>
          <w:color w:val="000000"/>
          <w:sz w:val="33"/>
          <w:szCs w:val="33"/>
          <w:lang w:val="zh-CN"/>
        </w:rPr>
        <w:t>年艾滋病防治的绩效目标。</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spacing w:line="580" w:lineRule="exact"/>
        <w:ind w:firstLine="660" w:firstLineChars="200"/>
        <w:rPr>
          <w:rFonts w:eastAsia="方正仿宋_GBK"/>
          <w:color w:val="000000"/>
          <w:sz w:val="33"/>
          <w:szCs w:val="33"/>
          <w:lang w:val="zh-CN"/>
        </w:rPr>
      </w:pPr>
      <w:r>
        <w:rPr>
          <w:rFonts w:hint="eastAsia" w:eastAsia="方正仿宋_GBK"/>
          <w:color w:val="000000"/>
          <w:sz w:val="33"/>
          <w:szCs w:val="33"/>
        </w:rPr>
        <w:t>一是预算资金精细化管理不足，对业务科室项目经费使用未实时跟踪问效效果欠佳；二是项目预算执行情况分析不够，对业务工作缺乏深度了解，对业务科室经费使用缺乏有力指导。</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60" w:firstLineChars="200"/>
        <w:rPr>
          <w:rFonts w:ascii="方正仿宋_GBK" w:hAnsi="方正仿宋_GBK" w:eastAsia="方正仿宋_GBK" w:cs="方正仿宋_GBK"/>
          <w:sz w:val="33"/>
          <w:szCs w:val="33"/>
        </w:rPr>
      </w:pPr>
      <w:r>
        <w:rPr>
          <w:rFonts w:hint="eastAsia" w:eastAsia="方正仿宋_GBK"/>
          <w:color w:val="000000"/>
          <w:sz w:val="33"/>
          <w:szCs w:val="33"/>
        </w:rPr>
        <w:t>一是切实加强预算绩效管理的学习培训，不断增强管理能力和水平；二是进一步完善预算编制和日常追踪问效，规范和加强过程监控；三是强化预算执行分析，找问题、添措施，增强绩效管理实效。</w:t>
      </w:r>
    </w:p>
    <w:p>
      <w:pPr>
        <w:spacing w:line="580" w:lineRule="exact"/>
        <w:ind w:firstLine="640"/>
        <w:rPr>
          <w:rFonts w:ascii="仿宋_GB2312" w:hAnsi="仿宋_GB2312" w:eastAsia="仿宋_GB2312" w:cs="仿宋_GB2312"/>
          <w:sz w:val="32"/>
          <w:szCs w:val="32"/>
        </w:rPr>
      </w:pPr>
    </w:p>
    <w:p>
      <w:pPr>
        <w:pStyle w:val="6"/>
        <w:spacing w:before="93"/>
      </w:pPr>
    </w:p>
    <w:p>
      <w:pPr>
        <w:widowControl/>
        <w:jc w:val="left"/>
        <w:rPr>
          <w:rStyle w:val="26"/>
          <w:rFonts w:ascii="黑体" w:hAnsi="黑体" w:eastAsia="黑体"/>
          <w:b w:val="0"/>
        </w:rPr>
      </w:pPr>
    </w:p>
    <w:p>
      <w:pPr>
        <w:widowControl/>
        <w:jc w:val="left"/>
        <w:rPr>
          <w:rStyle w:val="26"/>
          <w:rFonts w:ascii="黑体" w:hAnsi="黑体" w:eastAsia="黑体"/>
          <w:b w:val="0"/>
        </w:rPr>
      </w:pPr>
      <w:r>
        <w:rPr>
          <w:rStyle w:val="26"/>
          <w:rFonts w:ascii="黑体" w:hAnsi="黑体" w:eastAsia="黑体"/>
          <w:b w:val="0"/>
        </w:rPr>
        <w:br w:type="page"/>
      </w:r>
    </w:p>
    <w:p>
      <w:pPr>
        <w:spacing w:line="580" w:lineRule="exact"/>
        <w:rPr>
          <w:rFonts w:ascii="黑体" w:hAnsi="黑体" w:eastAsia="黑体" w:cs="黑体"/>
          <w:sz w:val="32"/>
          <w:szCs w:val="32"/>
        </w:rPr>
      </w:pPr>
      <w:r>
        <w:rPr>
          <w:rFonts w:hint="eastAsia" w:ascii="黑体" w:hAnsi="黑体" w:eastAsia="黑体" w:cs="黑体"/>
          <w:sz w:val="32"/>
          <w:szCs w:val="32"/>
        </w:rPr>
        <w:t>附件3</w:t>
      </w:r>
    </w:p>
    <w:p>
      <w:pPr>
        <w:spacing w:line="580" w:lineRule="exact"/>
        <w:ind w:firstLine="640"/>
        <w:jc w:val="center"/>
        <w:rPr>
          <w:rFonts w:eastAsia="仿宋_GB2312"/>
          <w:b/>
          <w:bCs/>
          <w:sz w:val="32"/>
          <w:szCs w:val="32"/>
        </w:rPr>
      </w:pPr>
      <w:r>
        <w:rPr>
          <w:rFonts w:eastAsia="仿宋_GB2312"/>
          <w:b/>
          <w:bCs/>
          <w:sz w:val="32"/>
          <w:szCs w:val="32"/>
        </w:rPr>
        <w:t>2021年100万元以上（含）特定目标类</w:t>
      </w:r>
    </w:p>
    <w:p>
      <w:pPr>
        <w:spacing w:line="580" w:lineRule="exact"/>
        <w:ind w:firstLine="640"/>
        <w:jc w:val="center"/>
      </w:pPr>
      <w:r>
        <w:rPr>
          <w:rFonts w:hint="eastAsia" w:eastAsia="仿宋_GB2312"/>
          <w:b/>
          <w:bCs/>
          <w:sz w:val="32"/>
          <w:szCs w:val="32"/>
        </w:rPr>
        <w:t>单位</w:t>
      </w:r>
      <w:r>
        <w:rPr>
          <w:rFonts w:eastAsia="仿宋_GB2312"/>
          <w:b/>
          <w:bCs/>
          <w:sz w:val="32"/>
          <w:szCs w:val="32"/>
        </w:rPr>
        <w:t>预算项目绩效目标自评表</w:t>
      </w:r>
    </w:p>
    <w:p>
      <w:pPr>
        <w:spacing w:line="580" w:lineRule="exact"/>
        <w:ind w:firstLine="640"/>
        <w:jc w:val="center"/>
        <w:rPr>
          <w:rFonts w:eastAsia="仿宋_GB2312"/>
          <w:b/>
          <w:bCs/>
          <w:sz w:val="32"/>
          <w:szCs w:val="32"/>
        </w:rPr>
      </w:pPr>
      <w:r>
        <w:rPr>
          <w:rFonts w:hint="eastAsia" w:eastAsia="仿宋_GB2312"/>
          <w:b/>
          <w:bCs/>
          <w:sz w:val="32"/>
          <w:szCs w:val="32"/>
        </w:rPr>
        <w:t>（一）重大传染病防治项目</w:t>
      </w:r>
    </w:p>
    <w:tbl>
      <w:tblPr>
        <w:tblStyle w:val="14"/>
        <w:tblW w:w="8862" w:type="dxa"/>
        <w:tblInd w:w="0" w:type="dxa"/>
        <w:tblLayout w:type="autofit"/>
        <w:tblCellMar>
          <w:top w:w="0" w:type="dxa"/>
          <w:left w:w="0" w:type="dxa"/>
          <w:bottom w:w="0" w:type="dxa"/>
          <w:right w:w="0" w:type="dxa"/>
        </w:tblCellMar>
      </w:tblPr>
      <w:tblGrid>
        <w:gridCol w:w="722"/>
        <w:gridCol w:w="1193"/>
        <w:gridCol w:w="1290"/>
        <w:gridCol w:w="540"/>
        <w:gridCol w:w="1205"/>
        <w:gridCol w:w="1927"/>
        <w:gridCol w:w="1985"/>
      </w:tblGrid>
      <w:tr>
        <w:tblPrEx>
          <w:tblCellMar>
            <w:top w:w="0" w:type="dxa"/>
            <w:left w:w="0" w:type="dxa"/>
            <w:bottom w:w="0" w:type="dxa"/>
            <w:right w:w="0" w:type="dxa"/>
          </w:tblCellMar>
        </w:tblPrEx>
        <w:trPr>
          <w:trHeight w:val="245" w:hRule="atLeast"/>
        </w:trPr>
        <w:tc>
          <w:tcPr>
            <w:tcW w:w="19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b/>
                <w:bCs/>
                <w:spacing w:val="6"/>
                <w:sz w:val="20"/>
                <w:szCs w:val="20"/>
              </w:rPr>
            </w:pPr>
            <w:r>
              <w:rPr>
                <w:rFonts w:hint="eastAsia" w:ascii="宋体" w:hAnsi="宋体" w:cs="宋体"/>
                <w:b/>
                <w:bCs/>
                <w:spacing w:val="6"/>
                <w:sz w:val="20"/>
                <w:szCs w:val="20"/>
              </w:rPr>
              <w:t>项目名称</w:t>
            </w:r>
          </w:p>
        </w:tc>
        <w:tc>
          <w:tcPr>
            <w:tcW w:w="694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b/>
                <w:bCs/>
                <w:spacing w:val="6"/>
                <w:sz w:val="20"/>
                <w:szCs w:val="20"/>
              </w:rPr>
            </w:pPr>
            <w:r>
              <w:rPr>
                <w:rFonts w:hint="eastAsia" w:ascii="宋体" w:hAnsi="宋体" w:cs="宋体"/>
                <w:b/>
                <w:bCs/>
                <w:spacing w:val="6"/>
                <w:sz w:val="20"/>
                <w:szCs w:val="20"/>
              </w:rPr>
              <w:t>重大传染病防治</w:t>
            </w:r>
          </w:p>
        </w:tc>
      </w:tr>
      <w:tr>
        <w:tblPrEx>
          <w:tblCellMar>
            <w:top w:w="0" w:type="dxa"/>
            <w:left w:w="0" w:type="dxa"/>
            <w:bottom w:w="0" w:type="dxa"/>
            <w:right w:w="0" w:type="dxa"/>
          </w:tblCellMar>
        </w:tblPrEx>
        <w:trPr>
          <w:trHeight w:val="512" w:hRule="atLeast"/>
        </w:trPr>
        <w:tc>
          <w:tcPr>
            <w:tcW w:w="19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主管部门及代码</w:t>
            </w:r>
          </w:p>
        </w:tc>
        <w:tc>
          <w:tcPr>
            <w:tcW w:w="303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四川省广安市卫生健康委员会-304001</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实施单位</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四川省广安市疾病预防控制中心</w:t>
            </w:r>
          </w:p>
        </w:tc>
      </w:tr>
      <w:tr>
        <w:tblPrEx>
          <w:tblCellMar>
            <w:top w:w="0" w:type="dxa"/>
            <w:left w:w="0" w:type="dxa"/>
            <w:bottom w:w="0" w:type="dxa"/>
            <w:right w:w="0" w:type="dxa"/>
          </w:tblCellMar>
        </w:tblPrEx>
        <w:trPr>
          <w:trHeight w:val="396" w:hRule="atLeast"/>
        </w:trPr>
        <w:tc>
          <w:tcPr>
            <w:tcW w:w="191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项目预算</w:t>
            </w:r>
            <w:r>
              <w:rPr>
                <w:rFonts w:hint="eastAsia" w:ascii="宋体" w:hAnsi="宋体" w:cs="宋体"/>
                <w:b/>
                <w:bCs/>
                <w:spacing w:val="6"/>
                <w:sz w:val="20"/>
                <w:szCs w:val="20"/>
              </w:rPr>
              <w:br w:type="textWrapping"/>
            </w:r>
            <w:r>
              <w:rPr>
                <w:rFonts w:hint="eastAsia" w:ascii="宋体" w:hAnsi="宋体" w:cs="宋体"/>
                <w:b/>
                <w:bCs/>
                <w:spacing w:val="6"/>
                <w:sz w:val="20"/>
                <w:szCs w:val="20"/>
              </w:rPr>
              <w:t>执行情况</w:t>
            </w:r>
            <w:r>
              <w:rPr>
                <w:rFonts w:hint="eastAsia" w:ascii="宋体" w:hAnsi="宋体" w:cs="宋体"/>
                <w:b/>
                <w:bCs/>
                <w:spacing w:val="6"/>
                <w:sz w:val="20"/>
                <w:szCs w:val="20"/>
              </w:rPr>
              <w:br w:type="textWrapping"/>
            </w:r>
            <w:r>
              <w:rPr>
                <w:rFonts w:hint="eastAsia" w:ascii="宋体" w:hAnsi="宋体" w:cs="宋体"/>
                <w:b/>
                <w:bCs/>
                <w:spacing w:val="6"/>
                <w:sz w:val="20"/>
                <w:szCs w:val="20"/>
              </w:rPr>
              <w:t>（万元）</w:t>
            </w:r>
          </w:p>
        </w:tc>
        <w:tc>
          <w:tcPr>
            <w:tcW w:w="18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预算数：</w:t>
            </w:r>
          </w:p>
        </w:tc>
        <w:tc>
          <w:tcPr>
            <w:tcW w:w="1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394.03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执行数：</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162.98</w:t>
            </w:r>
          </w:p>
        </w:tc>
      </w:tr>
      <w:tr>
        <w:tblPrEx>
          <w:tblCellMar>
            <w:top w:w="0" w:type="dxa"/>
            <w:left w:w="0" w:type="dxa"/>
            <w:bottom w:w="0" w:type="dxa"/>
            <w:right w:w="0" w:type="dxa"/>
          </w:tblCellMar>
        </w:tblPrEx>
        <w:trPr>
          <w:trHeight w:val="452" w:hRule="atLeast"/>
        </w:trPr>
        <w:tc>
          <w:tcPr>
            <w:tcW w:w="191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8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其中：财政拨款</w:t>
            </w:r>
          </w:p>
        </w:tc>
        <w:tc>
          <w:tcPr>
            <w:tcW w:w="1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394.03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其中：财政拨款</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162.98</w:t>
            </w:r>
          </w:p>
        </w:tc>
      </w:tr>
      <w:tr>
        <w:tblPrEx>
          <w:tblCellMar>
            <w:top w:w="0" w:type="dxa"/>
            <w:left w:w="0" w:type="dxa"/>
            <w:bottom w:w="0" w:type="dxa"/>
            <w:right w:w="0" w:type="dxa"/>
          </w:tblCellMar>
        </w:tblPrEx>
        <w:trPr>
          <w:trHeight w:val="422" w:hRule="atLeast"/>
        </w:trPr>
        <w:tc>
          <w:tcPr>
            <w:tcW w:w="191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8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其他资金</w:t>
            </w:r>
          </w:p>
        </w:tc>
        <w:tc>
          <w:tcPr>
            <w:tcW w:w="1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0.0</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其他资金</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0.0</w:t>
            </w:r>
          </w:p>
        </w:tc>
      </w:tr>
      <w:tr>
        <w:tblPrEx>
          <w:tblCellMar>
            <w:top w:w="0" w:type="dxa"/>
            <w:left w:w="0" w:type="dxa"/>
            <w:bottom w:w="0" w:type="dxa"/>
            <w:right w:w="0" w:type="dxa"/>
          </w:tblCellMar>
        </w:tblPrEx>
        <w:trPr>
          <w:trHeight w:val="396" w:hRule="atLeast"/>
        </w:trPr>
        <w:tc>
          <w:tcPr>
            <w:tcW w:w="7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br w:type="textWrapping"/>
            </w:r>
            <w:r>
              <w:rPr>
                <w:rFonts w:hint="eastAsia" w:ascii="宋体" w:hAnsi="宋体" w:cs="宋体"/>
                <w:b/>
                <w:bCs/>
                <w:spacing w:val="6"/>
                <w:sz w:val="20"/>
                <w:szCs w:val="20"/>
              </w:rPr>
              <w:t>年度</w:t>
            </w:r>
          </w:p>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总体</w:t>
            </w:r>
          </w:p>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目标</w:t>
            </w:r>
          </w:p>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完成</w:t>
            </w:r>
          </w:p>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情况</w:t>
            </w:r>
          </w:p>
        </w:tc>
        <w:tc>
          <w:tcPr>
            <w:tcW w:w="422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预期目标</w:t>
            </w:r>
          </w:p>
        </w:tc>
        <w:tc>
          <w:tcPr>
            <w:tcW w:w="3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目标实际完成情况</w:t>
            </w:r>
          </w:p>
        </w:tc>
      </w:tr>
      <w:tr>
        <w:tblPrEx>
          <w:tblCellMar>
            <w:top w:w="0" w:type="dxa"/>
            <w:left w:w="0" w:type="dxa"/>
            <w:bottom w:w="0" w:type="dxa"/>
            <w:right w:w="0" w:type="dxa"/>
          </w:tblCellMar>
        </w:tblPrEx>
        <w:trPr>
          <w:trHeight w:val="1684" w:hRule="atLeast"/>
        </w:trPr>
        <w:tc>
          <w:tcPr>
            <w:tcW w:w="7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422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rPr>
                <w:rFonts w:ascii="宋体" w:hAnsi="宋体" w:cs="宋体"/>
                <w:spacing w:val="6"/>
                <w:sz w:val="20"/>
                <w:szCs w:val="20"/>
              </w:rPr>
            </w:pPr>
            <w:r>
              <w:rPr>
                <w:rFonts w:hint="eastAsia" w:ascii="宋体" w:hAnsi="宋体" w:cs="宋体"/>
                <w:spacing w:val="6"/>
                <w:sz w:val="20"/>
                <w:szCs w:val="20"/>
              </w:rPr>
              <w:t>目标1：全面落实艾滋病和性病预防控制措施，提高发现率，扩大治疗覆盖面，降低新发感染，提高感染者和病人的生活质量。</w:t>
            </w:r>
          </w:p>
          <w:p>
            <w:pPr>
              <w:spacing w:line="240" w:lineRule="atLeast"/>
              <w:rPr>
                <w:rFonts w:ascii="宋体" w:hAnsi="宋体" w:cs="宋体"/>
                <w:spacing w:val="6"/>
                <w:sz w:val="20"/>
                <w:szCs w:val="20"/>
              </w:rPr>
            </w:pPr>
            <w:r>
              <w:rPr>
                <w:rFonts w:hint="eastAsia" w:ascii="宋体" w:hAnsi="宋体" w:cs="宋体"/>
                <w:spacing w:val="6"/>
                <w:sz w:val="20"/>
                <w:szCs w:val="20"/>
              </w:rPr>
              <w:t>目标2:及时发现和规范治疗管理结核病患者，持续降低结核病的感染、发病与死亡，确保结核病疫情稳步下降，提高群众健康水平。</w:t>
            </w:r>
          </w:p>
          <w:p>
            <w:pPr>
              <w:spacing w:line="240" w:lineRule="atLeast"/>
              <w:rPr>
                <w:rFonts w:ascii="宋体" w:hAnsi="宋体" w:cs="宋体"/>
                <w:spacing w:val="6"/>
                <w:sz w:val="20"/>
                <w:szCs w:val="20"/>
              </w:rPr>
            </w:pPr>
            <w:r>
              <w:rPr>
                <w:rFonts w:hint="eastAsia" w:ascii="宋体" w:hAnsi="宋体" w:cs="宋体"/>
                <w:spacing w:val="6"/>
                <w:sz w:val="20"/>
                <w:szCs w:val="20"/>
              </w:rPr>
              <w:t>目标3:持续加强国家免疫规划疫苗接种。</w:t>
            </w:r>
          </w:p>
        </w:tc>
        <w:tc>
          <w:tcPr>
            <w:tcW w:w="3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rPr>
                <w:rFonts w:ascii="宋体" w:hAnsi="宋体" w:cs="宋体"/>
                <w:spacing w:val="6"/>
                <w:sz w:val="20"/>
                <w:szCs w:val="20"/>
              </w:rPr>
            </w:pPr>
            <w:r>
              <w:rPr>
                <w:rFonts w:hint="eastAsia" w:ascii="宋体" w:hAnsi="宋体" w:cs="宋体"/>
                <w:spacing w:val="6"/>
                <w:sz w:val="20"/>
                <w:szCs w:val="20"/>
              </w:rPr>
              <w:t>目标1：全面落实艾滋病和性病预防控制措施，提高了发现率，扩大了治疗覆盖面，降低新发感染，提高了感染者和病人的生活质量。</w:t>
            </w:r>
          </w:p>
          <w:p>
            <w:pPr>
              <w:spacing w:line="240" w:lineRule="atLeast"/>
              <w:rPr>
                <w:rFonts w:ascii="宋体" w:hAnsi="宋体" w:cs="宋体"/>
                <w:spacing w:val="6"/>
                <w:sz w:val="20"/>
                <w:szCs w:val="20"/>
              </w:rPr>
            </w:pPr>
            <w:r>
              <w:rPr>
                <w:rFonts w:hint="eastAsia" w:ascii="宋体" w:hAnsi="宋体" w:cs="宋体"/>
                <w:spacing w:val="6"/>
                <w:sz w:val="20"/>
                <w:szCs w:val="20"/>
              </w:rPr>
              <w:t>目标2:结核病的感染持续降低，确保结核病疫情稳步下降，提高群众健康水平。</w:t>
            </w:r>
          </w:p>
          <w:p>
            <w:pPr>
              <w:spacing w:line="240" w:lineRule="atLeast"/>
              <w:jc w:val="center"/>
              <w:rPr>
                <w:rFonts w:ascii="宋体" w:hAnsi="宋体" w:cs="宋体"/>
                <w:spacing w:val="6"/>
                <w:sz w:val="20"/>
                <w:szCs w:val="20"/>
              </w:rPr>
            </w:pPr>
            <w:r>
              <w:rPr>
                <w:rFonts w:hint="eastAsia" w:ascii="宋体" w:hAnsi="宋体" w:cs="宋体"/>
                <w:spacing w:val="6"/>
                <w:sz w:val="20"/>
                <w:szCs w:val="20"/>
              </w:rPr>
              <w:t>目标3:持续加强国家免疫规划疫苗接种。</w:t>
            </w:r>
          </w:p>
        </w:tc>
      </w:tr>
      <w:tr>
        <w:tblPrEx>
          <w:tblCellMar>
            <w:top w:w="0" w:type="dxa"/>
            <w:left w:w="0" w:type="dxa"/>
            <w:bottom w:w="0" w:type="dxa"/>
            <w:right w:w="0" w:type="dxa"/>
          </w:tblCellMar>
        </w:tblPrEx>
        <w:trPr>
          <w:trHeight w:val="629" w:hRule="atLeast"/>
        </w:trPr>
        <w:tc>
          <w:tcPr>
            <w:tcW w:w="722"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年度绩效指标完成情况</w:t>
            </w:r>
          </w:p>
        </w:tc>
        <w:tc>
          <w:tcPr>
            <w:tcW w:w="119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b/>
                <w:bCs/>
                <w:spacing w:val="6"/>
                <w:sz w:val="20"/>
                <w:szCs w:val="20"/>
              </w:rPr>
              <w:t>一级指标</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二级指标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三级指标</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预期指标值</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实际完成指标值</w:t>
            </w:r>
          </w:p>
        </w:tc>
      </w:tr>
      <w:tr>
        <w:tblPrEx>
          <w:tblCellMar>
            <w:top w:w="0" w:type="dxa"/>
            <w:left w:w="0" w:type="dxa"/>
            <w:bottom w:w="0" w:type="dxa"/>
            <w:right w:w="0" w:type="dxa"/>
          </w:tblCellMar>
        </w:tblPrEx>
        <w:trPr>
          <w:trHeight w:val="90"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ascii="宋体" w:hAnsi="宋体" w:cs="宋体"/>
                <w:b/>
                <w:bCs/>
                <w:spacing w:val="6"/>
                <w:sz w:val="20"/>
                <w:szCs w:val="20"/>
              </w:rPr>
              <w:t>完</w:t>
            </w:r>
            <w:r>
              <w:rPr>
                <w:rFonts w:ascii="宋体" w:hAnsi="宋体" w:cs="宋体"/>
                <w:b/>
                <w:bCs/>
                <w:spacing w:val="6"/>
                <w:sz w:val="20"/>
                <w:szCs w:val="20"/>
              </w:rPr>
              <w:br w:type="textWrapping"/>
            </w:r>
            <w:r>
              <w:rPr>
                <w:rFonts w:ascii="宋体" w:hAnsi="宋体" w:cs="宋体"/>
                <w:b/>
                <w:bCs/>
                <w:spacing w:val="6"/>
                <w:sz w:val="20"/>
                <w:szCs w:val="20"/>
              </w:rPr>
              <w:t>成</w:t>
            </w:r>
            <w:r>
              <w:rPr>
                <w:rFonts w:ascii="宋体" w:hAnsi="宋体" w:cs="宋体"/>
                <w:b/>
                <w:bCs/>
                <w:spacing w:val="6"/>
                <w:sz w:val="20"/>
                <w:szCs w:val="20"/>
              </w:rPr>
              <w:br w:type="textWrapping"/>
            </w:r>
            <w:r>
              <w:rPr>
                <w:rFonts w:ascii="宋体" w:hAnsi="宋体" w:cs="宋体"/>
                <w:b/>
                <w:bCs/>
                <w:spacing w:val="6"/>
                <w:sz w:val="20"/>
                <w:szCs w:val="20"/>
              </w:rPr>
              <w:t>指</w:t>
            </w:r>
            <w:r>
              <w:rPr>
                <w:rFonts w:ascii="宋体" w:hAnsi="宋体" w:cs="宋体"/>
                <w:b/>
                <w:bCs/>
                <w:spacing w:val="6"/>
                <w:sz w:val="20"/>
                <w:szCs w:val="20"/>
              </w:rPr>
              <w:br w:type="textWrapping"/>
            </w:r>
            <w:r>
              <w:rPr>
                <w:rFonts w:ascii="宋体" w:hAnsi="宋体" w:cs="宋体"/>
                <w:b/>
                <w:bCs/>
                <w:spacing w:val="6"/>
                <w:sz w:val="20"/>
                <w:szCs w:val="20"/>
              </w:rPr>
              <w:t>标</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数量指标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HIV检测覆盖率</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≥20%</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37.08%</w:t>
            </w:r>
          </w:p>
        </w:tc>
      </w:tr>
      <w:tr>
        <w:tblPrEx>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数量指标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病毒载量检测率</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≥90%</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90.71%</w:t>
            </w:r>
          </w:p>
        </w:tc>
      </w:tr>
      <w:tr>
        <w:tblPrEx>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质量指标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病原学检查阳性肺结核患者的密切接触者筛查率</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≥90%</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100%</w:t>
            </w:r>
          </w:p>
        </w:tc>
      </w:tr>
      <w:tr>
        <w:tblPrEx>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时效指标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完成时间</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2021年12月31日前</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2021年12月31日前</w:t>
            </w:r>
          </w:p>
        </w:tc>
      </w:tr>
      <w:tr>
        <w:tblPrEx>
          <w:tblCellMar>
            <w:top w:w="0" w:type="dxa"/>
            <w:left w:w="0" w:type="dxa"/>
            <w:bottom w:w="0" w:type="dxa"/>
            <w:right w:w="0" w:type="dxa"/>
          </w:tblCellMar>
        </w:tblPrEx>
        <w:trPr>
          <w:trHeight w:val="191"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成本指标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完成成本</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≤394.03万元</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162.98万元</w:t>
            </w:r>
          </w:p>
        </w:tc>
      </w:tr>
      <w:tr>
        <w:tblPrEx>
          <w:tblCellMar>
            <w:top w:w="0" w:type="dxa"/>
            <w:left w:w="0" w:type="dxa"/>
            <w:bottom w:w="0" w:type="dxa"/>
            <w:right w:w="0" w:type="dxa"/>
          </w:tblCellMar>
        </w:tblPrEx>
        <w:trPr>
          <w:trHeight w:val="229"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ascii="宋体" w:hAnsi="宋体" w:cs="宋体"/>
                <w:b/>
                <w:bCs/>
                <w:spacing w:val="6"/>
                <w:sz w:val="20"/>
                <w:szCs w:val="20"/>
              </w:rPr>
              <w:t>效</w:t>
            </w:r>
            <w:r>
              <w:rPr>
                <w:rFonts w:ascii="宋体" w:hAnsi="宋体" w:cs="宋体"/>
                <w:b/>
                <w:bCs/>
                <w:spacing w:val="6"/>
                <w:sz w:val="20"/>
                <w:szCs w:val="20"/>
              </w:rPr>
              <w:br w:type="textWrapping"/>
            </w:r>
            <w:r>
              <w:rPr>
                <w:rFonts w:ascii="宋体" w:hAnsi="宋体" w:cs="宋体"/>
                <w:b/>
                <w:bCs/>
                <w:spacing w:val="6"/>
                <w:sz w:val="20"/>
                <w:szCs w:val="20"/>
              </w:rPr>
              <w:t>益</w:t>
            </w:r>
            <w:r>
              <w:rPr>
                <w:rFonts w:ascii="宋体" w:hAnsi="宋体" w:cs="宋体"/>
                <w:b/>
                <w:bCs/>
                <w:spacing w:val="6"/>
                <w:sz w:val="20"/>
                <w:szCs w:val="20"/>
              </w:rPr>
              <w:br w:type="textWrapping"/>
            </w:r>
            <w:r>
              <w:rPr>
                <w:rFonts w:ascii="宋体" w:hAnsi="宋体" w:cs="宋体"/>
                <w:b/>
                <w:bCs/>
                <w:spacing w:val="6"/>
                <w:sz w:val="20"/>
                <w:szCs w:val="20"/>
              </w:rPr>
              <w:t>指</w:t>
            </w:r>
            <w:r>
              <w:rPr>
                <w:rFonts w:ascii="宋体" w:hAnsi="宋体" w:cs="宋体"/>
                <w:b/>
                <w:bCs/>
                <w:spacing w:val="6"/>
                <w:sz w:val="20"/>
                <w:szCs w:val="20"/>
              </w:rPr>
              <w:br w:type="textWrapping"/>
            </w:r>
            <w:r>
              <w:rPr>
                <w:rFonts w:ascii="宋体" w:hAnsi="宋体" w:cs="宋体"/>
                <w:b/>
                <w:bCs/>
                <w:spacing w:val="6"/>
                <w:sz w:val="20"/>
                <w:szCs w:val="20"/>
              </w:rPr>
              <w:t>标</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18"/>
                <w:szCs w:val="18"/>
              </w:rPr>
              <w:t>经济效益指标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经济效益</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无</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无</w:t>
            </w:r>
          </w:p>
        </w:tc>
      </w:tr>
      <w:tr>
        <w:tblPrEx>
          <w:tblCellMar>
            <w:top w:w="0" w:type="dxa"/>
            <w:left w:w="0" w:type="dxa"/>
            <w:bottom w:w="0" w:type="dxa"/>
            <w:right w:w="0" w:type="dxa"/>
          </w:tblCellMar>
        </w:tblPrEx>
        <w:trPr>
          <w:trHeight w:val="245"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left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社会效益</w:t>
            </w:r>
          </w:p>
          <w:p>
            <w:pPr>
              <w:spacing w:line="240" w:lineRule="atLeast"/>
              <w:jc w:val="center"/>
              <w:rPr>
                <w:rFonts w:ascii="宋体" w:hAnsi="宋体" w:cs="宋体"/>
                <w:spacing w:val="6"/>
                <w:sz w:val="20"/>
                <w:szCs w:val="20"/>
              </w:rPr>
            </w:pPr>
            <w:r>
              <w:rPr>
                <w:rFonts w:ascii="宋体" w:hAnsi="宋体" w:cs="宋体"/>
                <w:spacing w:val="6"/>
                <w:sz w:val="20"/>
                <w:szCs w:val="20"/>
              </w:rPr>
              <w:t>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提高对艾滋病感染者及病人生存期</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持续提高</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持续提高</w:t>
            </w:r>
          </w:p>
        </w:tc>
      </w:tr>
      <w:tr>
        <w:tblPrEx>
          <w:tblCellMar>
            <w:top w:w="0" w:type="dxa"/>
            <w:left w:w="0" w:type="dxa"/>
            <w:bottom w:w="0" w:type="dxa"/>
            <w:right w:w="0" w:type="dxa"/>
          </w:tblCellMar>
        </w:tblPrEx>
        <w:trPr>
          <w:trHeight w:val="588"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left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生态</w:t>
            </w:r>
            <w:r>
              <w:rPr>
                <w:rFonts w:ascii="宋体" w:hAnsi="宋体" w:cs="宋体"/>
                <w:spacing w:val="6"/>
                <w:sz w:val="20"/>
                <w:szCs w:val="20"/>
              </w:rPr>
              <w:t>效益</w:t>
            </w:r>
          </w:p>
          <w:p>
            <w:pPr>
              <w:spacing w:line="240" w:lineRule="atLeast"/>
              <w:jc w:val="center"/>
              <w:rPr>
                <w:rFonts w:ascii="宋体" w:hAnsi="宋体" w:cs="宋体"/>
                <w:spacing w:val="6"/>
                <w:sz w:val="20"/>
                <w:szCs w:val="20"/>
              </w:rPr>
            </w:pPr>
            <w:r>
              <w:rPr>
                <w:rFonts w:ascii="宋体" w:hAnsi="宋体" w:cs="宋体"/>
                <w:spacing w:val="6"/>
                <w:sz w:val="20"/>
                <w:szCs w:val="20"/>
              </w:rPr>
              <w:t>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生态效益</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无影响生态环境的因素</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无影响生态环境的因素</w:t>
            </w:r>
          </w:p>
        </w:tc>
      </w:tr>
      <w:tr>
        <w:tblPrEx>
          <w:tblCellMar>
            <w:top w:w="0" w:type="dxa"/>
            <w:left w:w="0" w:type="dxa"/>
            <w:bottom w:w="0" w:type="dxa"/>
            <w:right w:w="0" w:type="dxa"/>
          </w:tblCellMar>
        </w:tblPrEx>
        <w:trPr>
          <w:trHeight w:val="550"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16"/>
                <w:szCs w:val="16"/>
              </w:rPr>
              <w:t>可持续影响指标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持续影响年限</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1年</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1年</w:t>
            </w:r>
          </w:p>
        </w:tc>
      </w:tr>
      <w:tr>
        <w:tblPrEx>
          <w:tblCellMar>
            <w:top w:w="0" w:type="dxa"/>
            <w:left w:w="0" w:type="dxa"/>
            <w:bottom w:w="0" w:type="dxa"/>
            <w:right w:w="0" w:type="dxa"/>
          </w:tblCellMar>
        </w:tblPrEx>
        <w:trPr>
          <w:trHeight w:val="741"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ascii="宋体" w:hAnsi="宋体" w:cs="宋体"/>
                <w:b/>
                <w:bCs/>
                <w:spacing w:val="6"/>
                <w:sz w:val="20"/>
                <w:szCs w:val="20"/>
              </w:rPr>
              <w:t>满意</w:t>
            </w:r>
            <w:r>
              <w:rPr>
                <w:rFonts w:ascii="宋体" w:hAnsi="宋体" w:cs="宋体"/>
                <w:b/>
                <w:bCs/>
                <w:spacing w:val="6"/>
                <w:sz w:val="20"/>
                <w:szCs w:val="20"/>
              </w:rPr>
              <w:br w:type="textWrapping"/>
            </w:r>
            <w:r>
              <w:rPr>
                <w:rFonts w:ascii="宋体" w:hAnsi="宋体" w:cs="宋体"/>
                <w:b/>
                <w:bCs/>
                <w:spacing w:val="6"/>
                <w:sz w:val="20"/>
                <w:szCs w:val="20"/>
              </w:rPr>
              <w:t>度指</w:t>
            </w:r>
            <w:r>
              <w:rPr>
                <w:rFonts w:ascii="宋体" w:hAnsi="宋体" w:cs="宋体"/>
                <w:b/>
                <w:bCs/>
                <w:spacing w:val="6"/>
                <w:sz w:val="20"/>
                <w:szCs w:val="20"/>
              </w:rPr>
              <w:br w:type="textWrapping"/>
            </w:r>
            <w:r>
              <w:rPr>
                <w:rFonts w:ascii="宋体" w:hAnsi="宋体" w:cs="宋体"/>
                <w:b/>
                <w:bCs/>
                <w:spacing w:val="6"/>
                <w:sz w:val="20"/>
                <w:szCs w:val="20"/>
              </w:rPr>
              <w:t>标</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满意度指标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各相关部门</w:t>
            </w:r>
          </w:p>
          <w:p>
            <w:pPr>
              <w:spacing w:line="240" w:lineRule="atLeast"/>
              <w:jc w:val="center"/>
              <w:rPr>
                <w:rFonts w:ascii="宋体" w:hAnsi="宋体" w:cs="宋体"/>
                <w:spacing w:val="6"/>
                <w:sz w:val="20"/>
                <w:szCs w:val="20"/>
              </w:rPr>
            </w:pPr>
            <w:r>
              <w:rPr>
                <w:rFonts w:ascii="宋体" w:hAnsi="宋体" w:cs="宋体"/>
                <w:spacing w:val="6"/>
                <w:sz w:val="20"/>
                <w:szCs w:val="20"/>
              </w:rPr>
              <w:t>满意度</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&gt;</w:t>
            </w:r>
            <w:r>
              <w:rPr>
                <w:rFonts w:hint="eastAsia" w:ascii="宋体" w:hAnsi="宋体" w:cs="宋体"/>
                <w:spacing w:val="6"/>
                <w:sz w:val="20"/>
                <w:szCs w:val="20"/>
              </w:rPr>
              <w:t>90</w:t>
            </w:r>
            <w:r>
              <w:rPr>
                <w:rFonts w:ascii="宋体" w:hAnsi="宋体" w:cs="宋体"/>
                <w:spacing w:val="6"/>
                <w:sz w:val="20"/>
                <w:szCs w:val="20"/>
              </w:rPr>
              <w:t>%</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&gt;</w:t>
            </w:r>
            <w:r>
              <w:rPr>
                <w:rFonts w:hint="eastAsia" w:ascii="宋体" w:hAnsi="宋体" w:cs="宋体"/>
                <w:spacing w:val="6"/>
                <w:sz w:val="20"/>
                <w:szCs w:val="20"/>
              </w:rPr>
              <w:t>90</w:t>
            </w:r>
            <w:r>
              <w:rPr>
                <w:rFonts w:ascii="宋体" w:hAnsi="宋体" w:cs="宋体"/>
                <w:spacing w:val="6"/>
                <w:sz w:val="20"/>
                <w:szCs w:val="20"/>
              </w:rPr>
              <w:t>%</w:t>
            </w:r>
          </w:p>
        </w:tc>
      </w:tr>
    </w:tbl>
    <w:p>
      <w:pPr>
        <w:spacing w:line="580" w:lineRule="exact"/>
        <w:jc w:val="center"/>
        <w:rPr>
          <w:rFonts w:eastAsia="仿宋_GB2312"/>
          <w:b/>
          <w:bCs/>
          <w:sz w:val="32"/>
          <w:szCs w:val="32"/>
        </w:rPr>
      </w:pPr>
      <w:r>
        <w:rPr>
          <w:rFonts w:hint="eastAsia" w:eastAsia="仿宋_GB2312"/>
          <w:b/>
          <w:bCs/>
          <w:sz w:val="32"/>
          <w:szCs w:val="32"/>
        </w:rPr>
        <w:t>（二）2020年抗疫特别国债项目</w:t>
      </w:r>
    </w:p>
    <w:tbl>
      <w:tblPr>
        <w:tblStyle w:val="14"/>
        <w:tblW w:w="8862" w:type="dxa"/>
        <w:tblInd w:w="0" w:type="dxa"/>
        <w:tblLayout w:type="autofit"/>
        <w:tblCellMar>
          <w:top w:w="0" w:type="dxa"/>
          <w:left w:w="0" w:type="dxa"/>
          <w:bottom w:w="0" w:type="dxa"/>
          <w:right w:w="0" w:type="dxa"/>
        </w:tblCellMar>
      </w:tblPr>
      <w:tblGrid>
        <w:gridCol w:w="722"/>
        <w:gridCol w:w="1193"/>
        <w:gridCol w:w="1290"/>
        <w:gridCol w:w="540"/>
        <w:gridCol w:w="1205"/>
        <w:gridCol w:w="1927"/>
        <w:gridCol w:w="1985"/>
      </w:tblGrid>
      <w:tr>
        <w:tblPrEx>
          <w:tblCellMar>
            <w:top w:w="0" w:type="dxa"/>
            <w:left w:w="0" w:type="dxa"/>
            <w:bottom w:w="0" w:type="dxa"/>
            <w:right w:w="0" w:type="dxa"/>
          </w:tblCellMar>
        </w:tblPrEx>
        <w:trPr>
          <w:trHeight w:val="396" w:hRule="atLeast"/>
        </w:trPr>
        <w:tc>
          <w:tcPr>
            <w:tcW w:w="19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b/>
                <w:bCs/>
                <w:spacing w:val="6"/>
                <w:sz w:val="20"/>
                <w:szCs w:val="20"/>
              </w:rPr>
            </w:pPr>
            <w:r>
              <w:rPr>
                <w:rFonts w:hint="eastAsia" w:ascii="宋体" w:hAnsi="宋体" w:cs="宋体"/>
                <w:b/>
                <w:bCs/>
                <w:spacing w:val="6"/>
                <w:sz w:val="20"/>
                <w:szCs w:val="20"/>
              </w:rPr>
              <w:t>项目名称</w:t>
            </w:r>
          </w:p>
        </w:tc>
        <w:tc>
          <w:tcPr>
            <w:tcW w:w="694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b/>
                <w:bCs/>
                <w:spacing w:val="6"/>
                <w:sz w:val="20"/>
                <w:szCs w:val="20"/>
              </w:rPr>
            </w:pPr>
            <w:r>
              <w:rPr>
                <w:rFonts w:hint="eastAsia" w:ascii="宋体" w:hAnsi="宋体" w:cs="宋体"/>
                <w:b/>
                <w:bCs/>
                <w:spacing w:val="6"/>
                <w:sz w:val="20"/>
                <w:szCs w:val="20"/>
              </w:rPr>
              <w:t>2020年抗疫特别国债</w:t>
            </w:r>
          </w:p>
        </w:tc>
      </w:tr>
      <w:tr>
        <w:tblPrEx>
          <w:tblCellMar>
            <w:top w:w="0" w:type="dxa"/>
            <w:left w:w="0" w:type="dxa"/>
            <w:bottom w:w="0" w:type="dxa"/>
            <w:right w:w="0" w:type="dxa"/>
          </w:tblCellMar>
        </w:tblPrEx>
        <w:trPr>
          <w:trHeight w:val="762" w:hRule="atLeast"/>
        </w:trPr>
        <w:tc>
          <w:tcPr>
            <w:tcW w:w="19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主管部门及代码</w:t>
            </w:r>
          </w:p>
        </w:tc>
        <w:tc>
          <w:tcPr>
            <w:tcW w:w="303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四川省广安市卫生健康委员会-304001</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实施单位</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四川省广安市疾病预防控制中心</w:t>
            </w:r>
          </w:p>
        </w:tc>
      </w:tr>
      <w:tr>
        <w:tblPrEx>
          <w:tblCellMar>
            <w:top w:w="0" w:type="dxa"/>
            <w:left w:w="0" w:type="dxa"/>
            <w:bottom w:w="0" w:type="dxa"/>
            <w:right w:w="0" w:type="dxa"/>
          </w:tblCellMar>
        </w:tblPrEx>
        <w:trPr>
          <w:trHeight w:val="396" w:hRule="atLeast"/>
        </w:trPr>
        <w:tc>
          <w:tcPr>
            <w:tcW w:w="191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项目预算</w:t>
            </w:r>
            <w:r>
              <w:rPr>
                <w:rFonts w:hint="eastAsia" w:ascii="宋体" w:hAnsi="宋体" w:cs="宋体"/>
                <w:b/>
                <w:bCs/>
                <w:spacing w:val="6"/>
                <w:sz w:val="20"/>
                <w:szCs w:val="20"/>
              </w:rPr>
              <w:br w:type="textWrapping"/>
            </w:r>
            <w:r>
              <w:rPr>
                <w:rFonts w:hint="eastAsia" w:ascii="宋体" w:hAnsi="宋体" w:cs="宋体"/>
                <w:b/>
                <w:bCs/>
                <w:spacing w:val="6"/>
                <w:sz w:val="20"/>
                <w:szCs w:val="20"/>
              </w:rPr>
              <w:t>执行情况</w:t>
            </w:r>
            <w:r>
              <w:rPr>
                <w:rFonts w:hint="eastAsia" w:ascii="宋体" w:hAnsi="宋体" w:cs="宋体"/>
                <w:b/>
                <w:bCs/>
                <w:spacing w:val="6"/>
                <w:sz w:val="20"/>
                <w:szCs w:val="20"/>
              </w:rPr>
              <w:br w:type="textWrapping"/>
            </w:r>
            <w:r>
              <w:rPr>
                <w:rFonts w:hint="eastAsia" w:ascii="宋体" w:hAnsi="宋体" w:cs="宋体"/>
                <w:b/>
                <w:bCs/>
                <w:spacing w:val="6"/>
                <w:sz w:val="20"/>
                <w:szCs w:val="20"/>
              </w:rPr>
              <w:t>（万元）</w:t>
            </w:r>
          </w:p>
        </w:tc>
        <w:tc>
          <w:tcPr>
            <w:tcW w:w="18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预算数：</w:t>
            </w:r>
          </w:p>
        </w:tc>
        <w:tc>
          <w:tcPr>
            <w:tcW w:w="1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1900.97</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执行数：</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1900.97</w:t>
            </w:r>
          </w:p>
        </w:tc>
      </w:tr>
      <w:tr>
        <w:tblPrEx>
          <w:tblCellMar>
            <w:top w:w="0" w:type="dxa"/>
            <w:left w:w="0" w:type="dxa"/>
            <w:bottom w:w="0" w:type="dxa"/>
            <w:right w:w="0" w:type="dxa"/>
          </w:tblCellMar>
        </w:tblPrEx>
        <w:trPr>
          <w:trHeight w:val="762" w:hRule="atLeast"/>
        </w:trPr>
        <w:tc>
          <w:tcPr>
            <w:tcW w:w="191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8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其中：财政拨款</w:t>
            </w:r>
          </w:p>
        </w:tc>
        <w:tc>
          <w:tcPr>
            <w:tcW w:w="1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1900.97</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其中：财政拨款</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1900.97</w:t>
            </w:r>
          </w:p>
        </w:tc>
      </w:tr>
      <w:tr>
        <w:tblPrEx>
          <w:tblCellMar>
            <w:top w:w="0" w:type="dxa"/>
            <w:left w:w="0" w:type="dxa"/>
            <w:bottom w:w="0" w:type="dxa"/>
            <w:right w:w="0" w:type="dxa"/>
          </w:tblCellMar>
        </w:tblPrEx>
        <w:trPr>
          <w:trHeight w:val="762" w:hRule="atLeast"/>
        </w:trPr>
        <w:tc>
          <w:tcPr>
            <w:tcW w:w="191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8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其他资金</w:t>
            </w:r>
          </w:p>
        </w:tc>
        <w:tc>
          <w:tcPr>
            <w:tcW w:w="1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0.0</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其他资金</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0.0</w:t>
            </w:r>
          </w:p>
        </w:tc>
      </w:tr>
      <w:tr>
        <w:tblPrEx>
          <w:tblCellMar>
            <w:top w:w="0" w:type="dxa"/>
            <w:left w:w="0" w:type="dxa"/>
            <w:bottom w:w="0" w:type="dxa"/>
            <w:right w:w="0" w:type="dxa"/>
          </w:tblCellMar>
        </w:tblPrEx>
        <w:trPr>
          <w:trHeight w:val="396" w:hRule="atLeast"/>
        </w:trPr>
        <w:tc>
          <w:tcPr>
            <w:tcW w:w="7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br w:type="textWrapping"/>
            </w:r>
            <w:r>
              <w:rPr>
                <w:rFonts w:hint="eastAsia" w:ascii="宋体" w:hAnsi="宋体" w:cs="宋体"/>
                <w:b/>
                <w:bCs/>
                <w:spacing w:val="6"/>
                <w:sz w:val="20"/>
                <w:szCs w:val="20"/>
              </w:rPr>
              <w:t>年度</w:t>
            </w:r>
          </w:p>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总体</w:t>
            </w:r>
          </w:p>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目标</w:t>
            </w:r>
          </w:p>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完成</w:t>
            </w:r>
          </w:p>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情况</w:t>
            </w:r>
          </w:p>
        </w:tc>
        <w:tc>
          <w:tcPr>
            <w:tcW w:w="422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预期目标</w:t>
            </w:r>
          </w:p>
        </w:tc>
        <w:tc>
          <w:tcPr>
            <w:tcW w:w="3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目标实际完成情况</w:t>
            </w:r>
          </w:p>
        </w:tc>
      </w:tr>
      <w:tr>
        <w:tblPrEx>
          <w:tblCellMar>
            <w:top w:w="0" w:type="dxa"/>
            <w:left w:w="0" w:type="dxa"/>
            <w:bottom w:w="0" w:type="dxa"/>
            <w:right w:w="0" w:type="dxa"/>
          </w:tblCellMar>
        </w:tblPrEx>
        <w:trPr>
          <w:trHeight w:val="1684" w:hRule="atLeast"/>
        </w:trPr>
        <w:tc>
          <w:tcPr>
            <w:tcW w:w="7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422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rPr>
                <w:rFonts w:ascii="宋体" w:hAnsi="宋体" w:cs="宋体"/>
                <w:spacing w:val="6"/>
                <w:sz w:val="20"/>
                <w:szCs w:val="20"/>
              </w:rPr>
            </w:pPr>
            <w:r>
              <w:rPr>
                <w:rFonts w:hint="eastAsia" w:ascii="宋体" w:hAnsi="宋体" w:cs="宋体"/>
                <w:spacing w:val="6"/>
                <w:sz w:val="20"/>
                <w:szCs w:val="20"/>
              </w:rPr>
              <w:t>扩建一处690平方米业务楼、对现有用房进行全面改造升级，改建面积6000平方米:新建2个P2实，升级改造污水处理系统等。填补检验检测项目空白，更好地维护和保障人民群众生命安全和身体健康。</w:t>
            </w:r>
          </w:p>
        </w:tc>
        <w:tc>
          <w:tcPr>
            <w:tcW w:w="3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rPr>
                <w:rFonts w:ascii="宋体" w:hAnsi="宋体" w:cs="宋体"/>
                <w:spacing w:val="6"/>
                <w:sz w:val="20"/>
                <w:szCs w:val="20"/>
              </w:rPr>
            </w:pPr>
            <w:r>
              <w:rPr>
                <w:rFonts w:hint="eastAsia" w:ascii="宋体" w:hAnsi="宋体" w:cs="宋体"/>
                <w:spacing w:val="6"/>
                <w:sz w:val="20"/>
                <w:szCs w:val="20"/>
              </w:rPr>
              <w:t>扩建一处690平方米业务楼、对现有用房进行全面改造升级，新建2个P2实验室、改造1个PCR实验室，迁建2座冷库，升级改造污水处理系统等。</w:t>
            </w:r>
          </w:p>
        </w:tc>
      </w:tr>
      <w:tr>
        <w:tblPrEx>
          <w:tblCellMar>
            <w:top w:w="0" w:type="dxa"/>
            <w:left w:w="0" w:type="dxa"/>
            <w:bottom w:w="0" w:type="dxa"/>
            <w:right w:w="0" w:type="dxa"/>
          </w:tblCellMar>
        </w:tblPrEx>
        <w:trPr>
          <w:trHeight w:val="629" w:hRule="atLeast"/>
        </w:trPr>
        <w:tc>
          <w:tcPr>
            <w:tcW w:w="722"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年度绩效指标完成情况</w:t>
            </w:r>
          </w:p>
        </w:tc>
        <w:tc>
          <w:tcPr>
            <w:tcW w:w="119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b/>
                <w:bCs/>
                <w:spacing w:val="6"/>
                <w:sz w:val="20"/>
                <w:szCs w:val="20"/>
              </w:rPr>
              <w:t>一级指标</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二级指标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三级指标</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预期指标值</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实际完成指标值</w:t>
            </w:r>
          </w:p>
        </w:tc>
      </w:tr>
      <w:tr>
        <w:tblPrEx>
          <w:tblCellMar>
            <w:top w:w="0" w:type="dxa"/>
            <w:left w:w="0" w:type="dxa"/>
            <w:bottom w:w="0" w:type="dxa"/>
            <w:right w:w="0" w:type="dxa"/>
          </w:tblCellMar>
        </w:tblPrEx>
        <w:trPr>
          <w:trHeight w:val="580"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ascii="宋体" w:hAnsi="宋体" w:cs="宋体"/>
                <w:b/>
                <w:bCs/>
                <w:spacing w:val="6"/>
                <w:sz w:val="20"/>
                <w:szCs w:val="20"/>
              </w:rPr>
              <w:t>完</w:t>
            </w:r>
            <w:r>
              <w:rPr>
                <w:rFonts w:ascii="宋体" w:hAnsi="宋体" w:cs="宋体"/>
                <w:b/>
                <w:bCs/>
                <w:spacing w:val="6"/>
                <w:sz w:val="20"/>
                <w:szCs w:val="20"/>
              </w:rPr>
              <w:br w:type="textWrapping"/>
            </w:r>
            <w:r>
              <w:rPr>
                <w:rFonts w:ascii="宋体" w:hAnsi="宋体" w:cs="宋体"/>
                <w:b/>
                <w:bCs/>
                <w:spacing w:val="6"/>
                <w:sz w:val="20"/>
                <w:szCs w:val="20"/>
              </w:rPr>
              <w:t>成</w:t>
            </w:r>
            <w:r>
              <w:rPr>
                <w:rFonts w:ascii="宋体" w:hAnsi="宋体" w:cs="宋体"/>
                <w:b/>
                <w:bCs/>
                <w:spacing w:val="6"/>
                <w:sz w:val="20"/>
                <w:szCs w:val="20"/>
              </w:rPr>
              <w:br w:type="textWrapping"/>
            </w:r>
            <w:r>
              <w:rPr>
                <w:rFonts w:ascii="宋体" w:hAnsi="宋体" w:cs="宋体"/>
                <w:b/>
                <w:bCs/>
                <w:spacing w:val="6"/>
                <w:sz w:val="20"/>
                <w:szCs w:val="20"/>
              </w:rPr>
              <w:t>指</w:t>
            </w:r>
            <w:r>
              <w:rPr>
                <w:rFonts w:ascii="宋体" w:hAnsi="宋体" w:cs="宋体"/>
                <w:b/>
                <w:bCs/>
                <w:spacing w:val="6"/>
                <w:sz w:val="20"/>
                <w:szCs w:val="20"/>
              </w:rPr>
              <w:br w:type="textWrapping"/>
            </w:r>
            <w:r>
              <w:rPr>
                <w:rFonts w:ascii="宋体" w:hAnsi="宋体" w:cs="宋体"/>
                <w:b/>
                <w:bCs/>
                <w:spacing w:val="6"/>
                <w:sz w:val="20"/>
                <w:szCs w:val="20"/>
              </w:rPr>
              <w:t>标</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数量指标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改扩建面积</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≥6690㎡</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≥6690㎡</w:t>
            </w:r>
          </w:p>
        </w:tc>
      </w:tr>
      <w:tr>
        <w:tblPrEx>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质量指标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项目验收通过率</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≥95%</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≥95%</w:t>
            </w:r>
          </w:p>
        </w:tc>
      </w:tr>
      <w:tr>
        <w:tblPrEx>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时效指标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完成时间</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2021年12月31日前</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2021年12月31日前</w:t>
            </w:r>
          </w:p>
        </w:tc>
      </w:tr>
      <w:tr>
        <w:tblPrEx>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成本指标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完成成本</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1900.97万元</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1900.97万元</w:t>
            </w:r>
          </w:p>
        </w:tc>
      </w:tr>
      <w:tr>
        <w:tblPrEx>
          <w:tblCellMar>
            <w:top w:w="0" w:type="dxa"/>
            <w:left w:w="0" w:type="dxa"/>
            <w:bottom w:w="0" w:type="dxa"/>
            <w:right w:w="0" w:type="dxa"/>
          </w:tblCellMar>
        </w:tblPrEx>
        <w:trPr>
          <w:trHeight w:val="484"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ascii="宋体" w:hAnsi="宋体" w:cs="宋体"/>
                <w:b/>
                <w:bCs/>
                <w:spacing w:val="6"/>
                <w:sz w:val="20"/>
                <w:szCs w:val="20"/>
              </w:rPr>
              <w:t>效</w:t>
            </w:r>
            <w:r>
              <w:rPr>
                <w:rFonts w:ascii="宋体" w:hAnsi="宋体" w:cs="宋体"/>
                <w:b/>
                <w:bCs/>
                <w:spacing w:val="6"/>
                <w:sz w:val="20"/>
                <w:szCs w:val="20"/>
              </w:rPr>
              <w:br w:type="textWrapping"/>
            </w:r>
            <w:r>
              <w:rPr>
                <w:rFonts w:ascii="宋体" w:hAnsi="宋体" w:cs="宋体"/>
                <w:b/>
                <w:bCs/>
                <w:spacing w:val="6"/>
                <w:sz w:val="20"/>
                <w:szCs w:val="20"/>
              </w:rPr>
              <w:t>益</w:t>
            </w:r>
            <w:r>
              <w:rPr>
                <w:rFonts w:ascii="宋体" w:hAnsi="宋体" w:cs="宋体"/>
                <w:b/>
                <w:bCs/>
                <w:spacing w:val="6"/>
                <w:sz w:val="20"/>
                <w:szCs w:val="20"/>
              </w:rPr>
              <w:br w:type="textWrapping"/>
            </w:r>
            <w:r>
              <w:rPr>
                <w:rFonts w:ascii="宋体" w:hAnsi="宋体" w:cs="宋体"/>
                <w:b/>
                <w:bCs/>
                <w:spacing w:val="6"/>
                <w:sz w:val="20"/>
                <w:szCs w:val="20"/>
              </w:rPr>
              <w:t>指</w:t>
            </w:r>
            <w:r>
              <w:rPr>
                <w:rFonts w:ascii="宋体" w:hAnsi="宋体" w:cs="宋体"/>
                <w:b/>
                <w:bCs/>
                <w:spacing w:val="6"/>
                <w:sz w:val="20"/>
                <w:szCs w:val="20"/>
              </w:rPr>
              <w:br w:type="textWrapping"/>
            </w:r>
            <w:r>
              <w:rPr>
                <w:rFonts w:ascii="宋体" w:hAnsi="宋体" w:cs="宋体"/>
                <w:b/>
                <w:bCs/>
                <w:spacing w:val="6"/>
                <w:sz w:val="20"/>
                <w:szCs w:val="20"/>
              </w:rPr>
              <w:t>标</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经济效益指标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经济效益</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无</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无</w:t>
            </w:r>
          </w:p>
        </w:tc>
      </w:tr>
      <w:tr>
        <w:tblPrEx>
          <w:tblCellMar>
            <w:top w:w="0" w:type="dxa"/>
            <w:left w:w="0" w:type="dxa"/>
            <w:bottom w:w="0" w:type="dxa"/>
            <w:right w:w="0" w:type="dxa"/>
          </w:tblCellMar>
        </w:tblPrEx>
        <w:trPr>
          <w:trHeight w:val="775"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left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社会效益</w:t>
            </w:r>
          </w:p>
          <w:p>
            <w:pPr>
              <w:spacing w:line="240" w:lineRule="atLeast"/>
              <w:jc w:val="center"/>
              <w:rPr>
                <w:rFonts w:ascii="宋体" w:hAnsi="宋体" w:cs="宋体"/>
                <w:spacing w:val="6"/>
                <w:sz w:val="20"/>
                <w:szCs w:val="20"/>
              </w:rPr>
            </w:pPr>
            <w:r>
              <w:rPr>
                <w:rFonts w:ascii="宋体" w:hAnsi="宋体" w:cs="宋体"/>
                <w:spacing w:val="6"/>
                <w:sz w:val="20"/>
                <w:szCs w:val="20"/>
              </w:rPr>
              <w:t>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改善医疗卫生基础设施条件</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得到改善</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得到改善</w:t>
            </w:r>
          </w:p>
        </w:tc>
      </w:tr>
      <w:tr>
        <w:tblPrEx>
          <w:tblCellMar>
            <w:top w:w="0" w:type="dxa"/>
            <w:left w:w="0" w:type="dxa"/>
            <w:bottom w:w="0" w:type="dxa"/>
            <w:right w:w="0" w:type="dxa"/>
          </w:tblCellMar>
        </w:tblPrEx>
        <w:trPr>
          <w:trHeight w:val="588"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left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生态</w:t>
            </w:r>
            <w:r>
              <w:rPr>
                <w:rFonts w:ascii="宋体" w:hAnsi="宋体" w:cs="宋体"/>
                <w:spacing w:val="6"/>
                <w:sz w:val="20"/>
                <w:szCs w:val="20"/>
              </w:rPr>
              <w:t>效益</w:t>
            </w:r>
          </w:p>
          <w:p>
            <w:pPr>
              <w:spacing w:line="240" w:lineRule="atLeast"/>
              <w:jc w:val="center"/>
              <w:rPr>
                <w:rFonts w:ascii="宋体" w:hAnsi="宋体" w:cs="宋体"/>
                <w:spacing w:val="6"/>
                <w:sz w:val="20"/>
                <w:szCs w:val="20"/>
              </w:rPr>
            </w:pPr>
            <w:r>
              <w:rPr>
                <w:rFonts w:ascii="宋体" w:hAnsi="宋体" w:cs="宋体"/>
                <w:spacing w:val="6"/>
                <w:sz w:val="20"/>
                <w:szCs w:val="20"/>
              </w:rPr>
              <w:t>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生态效益</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无影响生态环境的因素</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无影响生态环境的因素</w:t>
            </w:r>
          </w:p>
        </w:tc>
      </w:tr>
      <w:tr>
        <w:tblPrEx>
          <w:tblCellMar>
            <w:top w:w="0" w:type="dxa"/>
            <w:left w:w="0" w:type="dxa"/>
            <w:bottom w:w="0" w:type="dxa"/>
            <w:right w:w="0" w:type="dxa"/>
          </w:tblCellMar>
        </w:tblPrEx>
        <w:trPr>
          <w:trHeight w:val="550"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可持续影响指标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持续影响年限</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长期</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长期</w:t>
            </w:r>
          </w:p>
        </w:tc>
      </w:tr>
      <w:tr>
        <w:tblPrEx>
          <w:tblCellMar>
            <w:top w:w="0" w:type="dxa"/>
            <w:left w:w="0" w:type="dxa"/>
            <w:bottom w:w="0" w:type="dxa"/>
            <w:right w:w="0" w:type="dxa"/>
          </w:tblCellMar>
        </w:tblPrEx>
        <w:trPr>
          <w:trHeight w:val="90"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ascii="宋体" w:hAnsi="宋体" w:cs="宋体"/>
                <w:b/>
                <w:bCs/>
                <w:spacing w:val="6"/>
                <w:sz w:val="20"/>
                <w:szCs w:val="20"/>
              </w:rPr>
              <w:t>满意</w:t>
            </w:r>
            <w:r>
              <w:rPr>
                <w:rFonts w:ascii="宋体" w:hAnsi="宋体" w:cs="宋体"/>
                <w:b/>
                <w:bCs/>
                <w:spacing w:val="6"/>
                <w:sz w:val="20"/>
                <w:szCs w:val="20"/>
              </w:rPr>
              <w:br w:type="textWrapping"/>
            </w:r>
            <w:r>
              <w:rPr>
                <w:rFonts w:ascii="宋体" w:hAnsi="宋体" w:cs="宋体"/>
                <w:b/>
                <w:bCs/>
                <w:spacing w:val="6"/>
                <w:sz w:val="20"/>
                <w:szCs w:val="20"/>
              </w:rPr>
              <w:t>度指</w:t>
            </w:r>
            <w:r>
              <w:rPr>
                <w:rFonts w:ascii="宋体" w:hAnsi="宋体" w:cs="宋体"/>
                <w:b/>
                <w:bCs/>
                <w:spacing w:val="6"/>
                <w:sz w:val="20"/>
                <w:szCs w:val="20"/>
              </w:rPr>
              <w:br w:type="textWrapping"/>
            </w:r>
            <w:r>
              <w:rPr>
                <w:rFonts w:ascii="宋体" w:hAnsi="宋体" w:cs="宋体"/>
                <w:b/>
                <w:bCs/>
                <w:spacing w:val="6"/>
                <w:sz w:val="20"/>
                <w:szCs w:val="20"/>
              </w:rPr>
              <w:t>标</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满意度指标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各相关部门</w:t>
            </w:r>
          </w:p>
          <w:p>
            <w:pPr>
              <w:spacing w:line="240" w:lineRule="atLeast"/>
              <w:jc w:val="center"/>
              <w:rPr>
                <w:rFonts w:ascii="宋体" w:hAnsi="宋体" w:cs="宋体"/>
                <w:spacing w:val="6"/>
                <w:sz w:val="20"/>
                <w:szCs w:val="20"/>
              </w:rPr>
            </w:pPr>
            <w:r>
              <w:rPr>
                <w:rFonts w:ascii="宋体" w:hAnsi="宋体" w:cs="宋体"/>
                <w:spacing w:val="6"/>
                <w:sz w:val="20"/>
                <w:szCs w:val="20"/>
              </w:rPr>
              <w:t>满意度</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&gt;9</w:t>
            </w:r>
            <w:r>
              <w:rPr>
                <w:rFonts w:hint="eastAsia" w:ascii="宋体" w:hAnsi="宋体" w:cs="宋体"/>
                <w:spacing w:val="6"/>
                <w:sz w:val="20"/>
                <w:szCs w:val="20"/>
              </w:rPr>
              <w:t>0</w:t>
            </w:r>
            <w:r>
              <w:rPr>
                <w:rFonts w:ascii="宋体" w:hAnsi="宋体" w:cs="宋体"/>
                <w:spacing w:val="6"/>
                <w:sz w:val="20"/>
                <w:szCs w:val="20"/>
              </w:rPr>
              <w:t>%</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&gt;9</w:t>
            </w:r>
            <w:r>
              <w:rPr>
                <w:rFonts w:hint="eastAsia" w:ascii="宋体" w:hAnsi="宋体" w:cs="宋体"/>
                <w:spacing w:val="6"/>
                <w:sz w:val="20"/>
                <w:szCs w:val="20"/>
              </w:rPr>
              <w:t>0</w:t>
            </w:r>
            <w:r>
              <w:rPr>
                <w:rFonts w:ascii="宋体" w:hAnsi="宋体" w:cs="宋体"/>
                <w:spacing w:val="6"/>
                <w:sz w:val="20"/>
                <w:szCs w:val="20"/>
              </w:rPr>
              <w:t>%</w:t>
            </w:r>
          </w:p>
        </w:tc>
      </w:tr>
    </w:tbl>
    <w:p>
      <w:pPr>
        <w:pStyle w:val="6"/>
        <w:spacing w:before="93"/>
        <w:rPr>
          <w:rStyle w:val="26"/>
          <w:rFonts w:ascii="黑体" w:hAnsi="黑体" w:eastAsia="黑体"/>
          <w:b w:val="0"/>
        </w:rPr>
      </w:pPr>
    </w:p>
    <w:p>
      <w:pPr>
        <w:pStyle w:val="6"/>
        <w:spacing w:before="93"/>
        <w:rPr>
          <w:rStyle w:val="26"/>
          <w:rFonts w:ascii="黑体" w:hAnsi="黑体" w:eastAsia="黑体"/>
          <w:b w:val="0"/>
        </w:rPr>
      </w:pPr>
    </w:p>
    <w:p>
      <w:pPr>
        <w:spacing w:line="580" w:lineRule="exact"/>
        <w:ind w:firstLine="640"/>
        <w:jc w:val="center"/>
        <w:rPr>
          <w:rFonts w:eastAsia="仿宋_GB2312"/>
          <w:b/>
          <w:bCs/>
          <w:sz w:val="32"/>
          <w:szCs w:val="32"/>
        </w:rPr>
      </w:pPr>
      <w:r>
        <w:rPr>
          <w:rFonts w:hint="eastAsia" w:eastAsia="仿宋_GB2312"/>
          <w:b/>
          <w:bCs/>
          <w:sz w:val="32"/>
          <w:szCs w:val="32"/>
        </w:rPr>
        <w:t>（三）重大公共卫生项目</w:t>
      </w:r>
    </w:p>
    <w:tbl>
      <w:tblPr>
        <w:tblStyle w:val="14"/>
        <w:tblW w:w="8862" w:type="dxa"/>
        <w:tblInd w:w="0" w:type="dxa"/>
        <w:tblLayout w:type="autofit"/>
        <w:tblCellMar>
          <w:top w:w="0" w:type="dxa"/>
          <w:left w:w="0" w:type="dxa"/>
          <w:bottom w:w="0" w:type="dxa"/>
          <w:right w:w="0" w:type="dxa"/>
        </w:tblCellMar>
      </w:tblPr>
      <w:tblGrid>
        <w:gridCol w:w="722"/>
        <w:gridCol w:w="1193"/>
        <w:gridCol w:w="1290"/>
        <w:gridCol w:w="540"/>
        <w:gridCol w:w="1205"/>
        <w:gridCol w:w="1927"/>
        <w:gridCol w:w="1985"/>
      </w:tblGrid>
      <w:tr>
        <w:tblPrEx>
          <w:tblCellMar>
            <w:top w:w="0" w:type="dxa"/>
            <w:left w:w="0" w:type="dxa"/>
            <w:bottom w:w="0" w:type="dxa"/>
            <w:right w:w="0" w:type="dxa"/>
          </w:tblCellMar>
        </w:tblPrEx>
        <w:trPr>
          <w:trHeight w:val="396" w:hRule="atLeast"/>
        </w:trPr>
        <w:tc>
          <w:tcPr>
            <w:tcW w:w="19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b/>
                <w:bCs/>
                <w:spacing w:val="6"/>
                <w:sz w:val="20"/>
                <w:szCs w:val="20"/>
              </w:rPr>
            </w:pPr>
            <w:r>
              <w:rPr>
                <w:rFonts w:hint="eastAsia" w:ascii="宋体" w:hAnsi="宋体" w:cs="宋体"/>
                <w:b/>
                <w:bCs/>
                <w:spacing w:val="6"/>
                <w:sz w:val="20"/>
                <w:szCs w:val="20"/>
              </w:rPr>
              <w:t>项目名称</w:t>
            </w:r>
          </w:p>
        </w:tc>
        <w:tc>
          <w:tcPr>
            <w:tcW w:w="694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b/>
                <w:bCs/>
                <w:spacing w:val="6"/>
                <w:sz w:val="20"/>
                <w:szCs w:val="20"/>
              </w:rPr>
            </w:pPr>
            <w:r>
              <w:rPr>
                <w:rFonts w:hint="eastAsia" w:ascii="宋体" w:hAnsi="宋体" w:cs="宋体"/>
                <w:b/>
                <w:bCs/>
                <w:spacing w:val="6"/>
                <w:sz w:val="20"/>
                <w:szCs w:val="20"/>
              </w:rPr>
              <w:t>重大公共卫生</w:t>
            </w:r>
          </w:p>
        </w:tc>
      </w:tr>
      <w:tr>
        <w:tblPrEx>
          <w:tblCellMar>
            <w:top w:w="0" w:type="dxa"/>
            <w:left w:w="0" w:type="dxa"/>
            <w:bottom w:w="0" w:type="dxa"/>
            <w:right w:w="0" w:type="dxa"/>
          </w:tblCellMar>
        </w:tblPrEx>
        <w:trPr>
          <w:trHeight w:val="762" w:hRule="atLeast"/>
        </w:trPr>
        <w:tc>
          <w:tcPr>
            <w:tcW w:w="19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主管部门及代码</w:t>
            </w:r>
          </w:p>
        </w:tc>
        <w:tc>
          <w:tcPr>
            <w:tcW w:w="303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四川省广安市卫生健康委员会-304001</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实施单位</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四川省广安市疾病预防控制中心</w:t>
            </w:r>
          </w:p>
        </w:tc>
      </w:tr>
      <w:tr>
        <w:tblPrEx>
          <w:tblCellMar>
            <w:top w:w="0" w:type="dxa"/>
            <w:left w:w="0" w:type="dxa"/>
            <w:bottom w:w="0" w:type="dxa"/>
            <w:right w:w="0" w:type="dxa"/>
          </w:tblCellMar>
        </w:tblPrEx>
        <w:trPr>
          <w:trHeight w:val="396" w:hRule="atLeast"/>
        </w:trPr>
        <w:tc>
          <w:tcPr>
            <w:tcW w:w="191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项目预算</w:t>
            </w:r>
            <w:r>
              <w:rPr>
                <w:rFonts w:hint="eastAsia" w:ascii="宋体" w:hAnsi="宋体" w:cs="宋体"/>
                <w:b/>
                <w:bCs/>
                <w:spacing w:val="6"/>
                <w:sz w:val="20"/>
                <w:szCs w:val="20"/>
              </w:rPr>
              <w:br w:type="textWrapping"/>
            </w:r>
            <w:r>
              <w:rPr>
                <w:rFonts w:hint="eastAsia" w:ascii="宋体" w:hAnsi="宋体" w:cs="宋体"/>
                <w:b/>
                <w:bCs/>
                <w:spacing w:val="6"/>
                <w:sz w:val="20"/>
                <w:szCs w:val="20"/>
              </w:rPr>
              <w:t>执行情况</w:t>
            </w:r>
            <w:r>
              <w:rPr>
                <w:rFonts w:hint="eastAsia" w:ascii="宋体" w:hAnsi="宋体" w:cs="宋体"/>
                <w:b/>
                <w:bCs/>
                <w:spacing w:val="6"/>
                <w:sz w:val="20"/>
                <w:szCs w:val="20"/>
              </w:rPr>
              <w:br w:type="textWrapping"/>
            </w:r>
            <w:r>
              <w:rPr>
                <w:rFonts w:hint="eastAsia" w:ascii="宋体" w:hAnsi="宋体" w:cs="宋体"/>
                <w:b/>
                <w:bCs/>
                <w:spacing w:val="6"/>
                <w:sz w:val="20"/>
                <w:szCs w:val="20"/>
              </w:rPr>
              <w:t>（万元）</w:t>
            </w:r>
          </w:p>
        </w:tc>
        <w:tc>
          <w:tcPr>
            <w:tcW w:w="18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预算数：</w:t>
            </w:r>
          </w:p>
        </w:tc>
        <w:tc>
          <w:tcPr>
            <w:tcW w:w="1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210.7</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执行数：</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186.85</w:t>
            </w:r>
          </w:p>
        </w:tc>
      </w:tr>
      <w:tr>
        <w:tblPrEx>
          <w:tblCellMar>
            <w:top w:w="0" w:type="dxa"/>
            <w:left w:w="0" w:type="dxa"/>
            <w:bottom w:w="0" w:type="dxa"/>
            <w:right w:w="0" w:type="dxa"/>
          </w:tblCellMar>
        </w:tblPrEx>
        <w:trPr>
          <w:trHeight w:val="152" w:hRule="atLeast"/>
        </w:trPr>
        <w:tc>
          <w:tcPr>
            <w:tcW w:w="191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8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其中：财政拨款</w:t>
            </w:r>
          </w:p>
        </w:tc>
        <w:tc>
          <w:tcPr>
            <w:tcW w:w="1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210.7</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其中：财政拨款</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186.85</w:t>
            </w:r>
          </w:p>
        </w:tc>
      </w:tr>
      <w:tr>
        <w:tblPrEx>
          <w:tblCellMar>
            <w:top w:w="0" w:type="dxa"/>
            <w:left w:w="0" w:type="dxa"/>
            <w:bottom w:w="0" w:type="dxa"/>
            <w:right w:w="0" w:type="dxa"/>
          </w:tblCellMar>
        </w:tblPrEx>
        <w:trPr>
          <w:trHeight w:val="377" w:hRule="atLeast"/>
        </w:trPr>
        <w:tc>
          <w:tcPr>
            <w:tcW w:w="191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8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其他资金</w:t>
            </w:r>
          </w:p>
        </w:tc>
        <w:tc>
          <w:tcPr>
            <w:tcW w:w="1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0.0</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其他资金</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0.0</w:t>
            </w:r>
          </w:p>
        </w:tc>
      </w:tr>
      <w:tr>
        <w:tblPrEx>
          <w:tblCellMar>
            <w:top w:w="0" w:type="dxa"/>
            <w:left w:w="0" w:type="dxa"/>
            <w:bottom w:w="0" w:type="dxa"/>
            <w:right w:w="0" w:type="dxa"/>
          </w:tblCellMar>
        </w:tblPrEx>
        <w:trPr>
          <w:trHeight w:val="396" w:hRule="atLeast"/>
        </w:trPr>
        <w:tc>
          <w:tcPr>
            <w:tcW w:w="7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br w:type="textWrapping"/>
            </w:r>
            <w:r>
              <w:rPr>
                <w:rFonts w:hint="eastAsia" w:ascii="宋体" w:hAnsi="宋体" w:cs="宋体"/>
                <w:b/>
                <w:bCs/>
                <w:spacing w:val="6"/>
                <w:sz w:val="20"/>
                <w:szCs w:val="20"/>
              </w:rPr>
              <w:t>年度</w:t>
            </w:r>
          </w:p>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总体</w:t>
            </w:r>
          </w:p>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目标</w:t>
            </w:r>
          </w:p>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完成</w:t>
            </w:r>
          </w:p>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情况</w:t>
            </w:r>
          </w:p>
        </w:tc>
        <w:tc>
          <w:tcPr>
            <w:tcW w:w="422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预期目标</w:t>
            </w:r>
          </w:p>
        </w:tc>
        <w:tc>
          <w:tcPr>
            <w:tcW w:w="3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目标实际完成情况</w:t>
            </w:r>
          </w:p>
        </w:tc>
      </w:tr>
      <w:tr>
        <w:tblPrEx>
          <w:tblCellMar>
            <w:top w:w="0" w:type="dxa"/>
            <w:left w:w="0" w:type="dxa"/>
            <w:bottom w:w="0" w:type="dxa"/>
            <w:right w:w="0" w:type="dxa"/>
          </w:tblCellMar>
        </w:tblPrEx>
        <w:trPr>
          <w:trHeight w:val="1684" w:hRule="atLeast"/>
        </w:trPr>
        <w:tc>
          <w:tcPr>
            <w:tcW w:w="7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422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rPr>
                <w:rFonts w:ascii="宋体" w:hAnsi="宋体" w:cs="宋体"/>
                <w:spacing w:val="6"/>
                <w:sz w:val="20"/>
                <w:szCs w:val="20"/>
              </w:rPr>
            </w:pPr>
            <w:r>
              <w:rPr>
                <w:rFonts w:hint="eastAsia" w:ascii="宋体" w:hAnsi="宋体" w:cs="宋体"/>
                <w:spacing w:val="6"/>
                <w:sz w:val="20"/>
                <w:szCs w:val="20"/>
              </w:rPr>
              <w:t>目标1：全面落实艾滋病和性病预防控制措施，提高发现率，扩大治疗覆盖面，降低新发感染，提高感染者和病人的生活质量。</w:t>
            </w:r>
          </w:p>
          <w:p>
            <w:pPr>
              <w:spacing w:line="240" w:lineRule="atLeast"/>
              <w:rPr>
                <w:rFonts w:ascii="宋体" w:hAnsi="宋体" w:cs="宋体"/>
                <w:spacing w:val="6"/>
                <w:sz w:val="20"/>
                <w:szCs w:val="20"/>
              </w:rPr>
            </w:pPr>
            <w:r>
              <w:rPr>
                <w:rFonts w:hint="eastAsia" w:ascii="宋体" w:hAnsi="宋体" w:cs="宋体"/>
                <w:spacing w:val="6"/>
                <w:sz w:val="20"/>
                <w:szCs w:val="20"/>
              </w:rPr>
              <w:t>目标2:及时发现和规范治疗管理结核病患者，持续降低结核病的感染、发病与死亡，确保结核病疫情稳步下降，提高群众健康水平。</w:t>
            </w:r>
          </w:p>
          <w:p>
            <w:pPr>
              <w:spacing w:line="240" w:lineRule="atLeast"/>
              <w:jc w:val="center"/>
              <w:rPr>
                <w:rFonts w:ascii="宋体" w:hAnsi="宋体" w:cs="宋体"/>
                <w:spacing w:val="6"/>
                <w:sz w:val="20"/>
                <w:szCs w:val="20"/>
              </w:rPr>
            </w:pPr>
            <w:r>
              <w:rPr>
                <w:rFonts w:hint="eastAsia" w:ascii="宋体" w:hAnsi="宋体" w:cs="宋体"/>
                <w:spacing w:val="6"/>
                <w:sz w:val="20"/>
                <w:szCs w:val="20"/>
              </w:rPr>
              <w:t>目标3:持续加强国家免疫规划疫苗接种。</w:t>
            </w:r>
          </w:p>
        </w:tc>
        <w:tc>
          <w:tcPr>
            <w:tcW w:w="3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rPr>
                <w:rFonts w:ascii="宋体" w:hAnsi="宋体" w:cs="宋体"/>
                <w:spacing w:val="6"/>
                <w:sz w:val="20"/>
                <w:szCs w:val="20"/>
              </w:rPr>
            </w:pPr>
            <w:r>
              <w:rPr>
                <w:rFonts w:hint="eastAsia" w:ascii="宋体" w:hAnsi="宋体" w:cs="宋体"/>
                <w:spacing w:val="6"/>
                <w:sz w:val="20"/>
                <w:szCs w:val="20"/>
              </w:rPr>
              <w:t>目标1：全面落实艾滋病和性病预防控制措施，提高了发现率，扩大了治疗覆盖面，降低新发感染，提高了感染者和病人的生活质量。</w:t>
            </w:r>
          </w:p>
          <w:p>
            <w:pPr>
              <w:spacing w:line="240" w:lineRule="atLeast"/>
              <w:rPr>
                <w:rFonts w:ascii="宋体" w:hAnsi="宋体" w:cs="宋体"/>
                <w:spacing w:val="6"/>
                <w:sz w:val="20"/>
                <w:szCs w:val="20"/>
              </w:rPr>
            </w:pPr>
            <w:r>
              <w:rPr>
                <w:rFonts w:hint="eastAsia" w:ascii="宋体" w:hAnsi="宋体" w:cs="宋体"/>
                <w:spacing w:val="6"/>
                <w:sz w:val="20"/>
                <w:szCs w:val="20"/>
              </w:rPr>
              <w:t>目标2:结核病的感染持续降低，确保结核病疫情稳步下降，提高群众健康水平。</w:t>
            </w:r>
          </w:p>
          <w:p>
            <w:pPr>
              <w:spacing w:line="240" w:lineRule="atLeast"/>
              <w:jc w:val="center"/>
              <w:rPr>
                <w:rFonts w:ascii="宋体" w:hAnsi="宋体" w:cs="宋体"/>
                <w:spacing w:val="6"/>
                <w:sz w:val="20"/>
                <w:szCs w:val="20"/>
              </w:rPr>
            </w:pPr>
            <w:r>
              <w:rPr>
                <w:rFonts w:hint="eastAsia" w:ascii="宋体" w:hAnsi="宋体" w:cs="宋体"/>
                <w:spacing w:val="6"/>
                <w:sz w:val="20"/>
                <w:szCs w:val="20"/>
              </w:rPr>
              <w:t>目标3:持续加强国家免疫规划疫苗接种。</w:t>
            </w:r>
          </w:p>
        </w:tc>
      </w:tr>
      <w:tr>
        <w:tblPrEx>
          <w:tblCellMar>
            <w:top w:w="0" w:type="dxa"/>
            <w:left w:w="0" w:type="dxa"/>
            <w:bottom w:w="0" w:type="dxa"/>
            <w:right w:w="0" w:type="dxa"/>
          </w:tblCellMar>
        </w:tblPrEx>
        <w:trPr>
          <w:trHeight w:val="629" w:hRule="atLeast"/>
        </w:trPr>
        <w:tc>
          <w:tcPr>
            <w:tcW w:w="722"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年度绩效指标完成情况</w:t>
            </w:r>
          </w:p>
        </w:tc>
        <w:tc>
          <w:tcPr>
            <w:tcW w:w="119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b/>
                <w:bCs/>
                <w:spacing w:val="6"/>
                <w:sz w:val="20"/>
                <w:szCs w:val="20"/>
              </w:rPr>
              <w:t>一级指标</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二级指标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三级指标</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预期指标值</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实际完成指标值</w:t>
            </w:r>
          </w:p>
        </w:tc>
      </w:tr>
      <w:tr>
        <w:tblPrEx>
          <w:tblCellMar>
            <w:top w:w="0" w:type="dxa"/>
            <w:left w:w="0" w:type="dxa"/>
            <w:bottom w:w="0" w:type="dxa"/>
            <w:right w:w="0" w:type="dxa"/>
          </w:tblCellMar>
        </w:tblPrEx>
        <w:trPr>
          <w:trHeight w:val="355"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ascii="宋体" w:hAnsi="宋体" w:cs="宋体"/>
                <w:b/>
                <w:bCs/>
                <w:spacing w:val="6"/>
                <w:sz w:val="20"/>
                <w:szCs w:val="20"/>
              </w:rPr>
              <w:t>完</w:t>
            </w:r>
            <w:r>
              <w:rPr>
                <w:rFonts w:ascii="宋体" w:hAnsi="宋体" w:cs="宋体"/>
                <w:b/>
                <w:bCs/>
                <w:spacing w:val="6"/>
                <w:sz w:val="20"/>
                <w:szCs w:val="20"/>
              </w:rPr>
              <w:br w:type="textWrapping"/>
            </w:r>
            <w:r>
              <w:rPr>
                <w:rFonts w:ascii="宋体" w:hAnsi="宋体" w:cs="宋体"/>
                <w:b/>
                <w:bCs/>
                <w:spacing w:val="6"/>
                <w:sz w:val="20"/>
                <w:szCs w:val="20"/>
              </w:rPr>
              <w:t>成</w:t>
            </w:r>
            <w:r>
              <w:rPr>
                <w:rFonts w:ascii="宋体" w:hAnsi="宋体" w:cs="宋体"/>
                <w:b/>
                <w:bCs/>
                <w:spacing w:val="6"/>
                <w:sz w:val="20"/>
                <w:szCs w:val="20"/>
              </w:rPr>
              <w:br w:type="textWrapping"/>
            </w:r>
            <w:r>
              <w:rPr>
                <w:rFonts w:ascii="宋体" w:hAnsi="宋体" w:cs="宋体"/>
                <w:b/>
                <w:bCs/>
                <w:spacing w:val="6"/>
                <w:sz w:val="20"/>
                <w:szCs w:val="20"/>
              </w:rPr>
              <w:t>指</w:t>
            </w:r>
            <w:r>
              <w:rPr>
                <w:rFonts w:ascii="宋体" w:hAnsi="宋体" w:cs="宋体"/>
                <w:b/>
                <w:bCs/>
                <w:spacing w:val="6"/>
                <w:sz w:val="20"/>
                <w:szCs w:val="20"/>
              </w:rPr>
              <w:br w:type="textWrapping"/>
            </w:r>
            <w:r>
              <w:rPr>
                <w:rFonts w:ascii="宋体" w:hAnsi="宋体" w:cs="宋体"/>
                <w:b/>
                <w:bCs/>
                <w:spacing w:val="6"/>
                <w:sz w:val="20"/>
                <w:szCs w:val="20"/>
              </w:rPr>
              <w:t>标</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数量指标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HIV检测覆盖率</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≥20%</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37.08%</w:t>
            </w:r>
          </w:p>
        </w:tc>
      </w:tr>
      <w:tr>
        <w:tblPrEx>
          <w:tblCellMar>
            <w:top w:w="0" w:type="dxa"/>
            <w:left w:w="0" w:type="dxa"/>
            <w:bottom w:w="0" w:type="dxa"/>
            <w:right w:w="0" w:type="dxa"/>
          </w:tblCellMar>
        </w:tblPrEx>
        <w:trPr>
          <w:trHeight w:val="155"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left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数量指标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病毒载量检测率</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≥90%</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90.71%</w:t>
            </w:r>
          </w:p>
        </w:tc>
      </w:tr>
      <w:tr>
        <w:tblPrEx>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质量指标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结核患者总体到位率</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≥90%</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98.27%</w:t>
            </w:r>
          </w:p>
        </w:tc>
      </w:tr>
      <w:tr>
        <w:tblPrEx>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时效指标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完成时间</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2021年12月31日前</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2021年12月31日前</w:t>
            </w:r>
          </w:p>
        </w:tc>
      </w:tr>
      <w:tr>
        <w:tblPrEx>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成本指标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完成成本</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210.7万元</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186.85万元</w:t>
            </w:r>
          </w:p>
        </w:tc>
      </w:tr>
      <w:tr>
        <w:tblPrEx>
          <w:tblCellMar>
            <w:top w:w="0" w:type="dxa"/>
            <w:left w:w="0" w:type="dxa"/>
            <w:bottom w:w="0" w:type="dxa"/>
            <w:right w:w="0" w:type="dxa"/>
          </w:tblCellMar>
        </w:tblPrEx>
        <w:trPr>
          <w:trHeight w:val="409"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ascii="宋体" w:hAnsi="宋体" w:cs="宋体"/>
                <w:b/>
                <w:bCs/>
                <w:spacing w:val="6"/>
                <w:sz w:val="20"/>
                <w:szCs w:val="20"/>
              </w:rPr>
              <w:t>效</w:t>
            </w:r>
            <w:r>
              <w:rPr>
                <w:rFonts w:ascii="宋体" w:hAnsi="宋体" w:cs="宋体"/>
                <w:b/>
                <w:bCs/>
                <w:spacing w:val="6"/>
                <w:sz w:val="20"/>
                <w:szCs w:val="20"/>
              </w:rPr>
              <w:br w:type="textWrapping"/>
            </w:r>
            <w:r>
              <w:rPr>
                <w:rFonts w:ascii="宋体" w:hAnsi="宋体" w:cs="宋体"/>
                <w:b/>
                <w:bCs/>
                <w:spacing w:val="6"/>
                <w:sz w:val="20"/>
                <w:szCs w:val="20"/>
              </w:rPr>
              <w:t>益</w:t>
            </w:r>
            <w:r>
              <w:rPr>
                <w:rFonts w:ascii="宋体" w:hAnsi="宋体" w:cs="宋体"/>
                <w:b/>
                <w:bCs/>
                <w:spacing w:val="6"/>
                <w:sz w:val="20"/>
                <w:szCs w:val="20"/>
              </w:rPr>
              <w:br w:type="textWrapping"/>
            </w:r>
            <w:r>
              <w:rPr>
                <w:rFonts w:ascii="宋体" w:hAnsi="宋体" w:cs="宋体"/>
                <w:b/>
                <w:bCs/>
                <w:spacing w:val="6"/>
                <w:sz w:val="20"/>
                <w:szCs w:val="20"/>
              </w:rPr>
              <w:t>指</w:t>
            </w:r>
            <w:r>
              <w:rPr>
                <w:rFonts w:ascii="宋体" w:hAnsi="宋体" w:cs="宋体"/>
                <w:b/>
                <w:bCs/>
                <w:spacing w:val="6"/>
                <w:sz w:val="20"/>
                <w:szCs w:val="20"/>
              </w:rPr>
              <w:br w:type="textWrapping"/>
            </w:r>
            <w:r>
              <w:rPr>
                <w:rFonts w:ascii="宋体" w:hAnsi="宋体" w:cs="宋体"/>
                <w:b/>
                <w:bCs/>
                <w:spacing w:val="6"/>
                <w:sz w:val="20"/>
                <w:szCs w:val="20"/>
              </w:rPr>
              <w:t>标</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18"/>
                <w:szCs w:val="18"/>
              </w:rPr>
              <w:t>经济效益指标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经济效益</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无</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无</w:t>
            </w:r>
          </w:p>
        </w:tc>
      </w:tr>
      <w:tr>
        <w:tblPrEx>
          <w:tblCellMar>
            <w:top w:w="0" w:type="dxa"/>
            <w:left w:w="0" w:type="dxa"/>
            <w:bottom w:w="0" w:type="dxa"/>
            <w:right w:w="0" w:type="dxa"/>
          </w:tblCellMar>
        </w:tblPrEx>
        <w:trPr>
          <w:trHeight w:val="645"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left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社会效益</w:t>
            </w:r>
          </w:p>
          <w:p>
            <w:pPr>
              <w:spacing w:line="240" w:lineRule="atLeast"/>
              <w:jc w:val="center"/>
              <w:rPr>
                <w:rFonts w:ascii="宋体" w:hAnsi="宋体" w:cs="宋体"/>
                <w:spacing w:val="6"/>
                <w:sz w:val="20"/>
                <w:szCs w:val="20"/>
              </w:rPr>
            </w:pPr>
            <w:r>
              <w:rPr>
                <w:rFonts w:ascii="宋体" w:hAnsi="宋体" w:cs="宋体"/>
                <w:spacing w:val="6"/>
                <w:sz w:val="20"/>
                <w:szCs w:val="20"/>
              </w:rPr>
              <w:t>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pacing w:val="6"/>
                <w:sz w:val="20"/>
                <w:szCs w:val="20"/>
              </w:rPr>
              <w:t>结核病成功治疗率</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≥90%</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91.34%</w:t>
            </w:r>
          </w:p>
        </w:tc>
      </w:tr>
      <w:tr>
        <w:tblPrEx>
          <w:tblCellMar>
            <w:top w:w="0" w:type="dxa"/>
            <w:left w:w="0" w:type="dxa"/>
            <w:bottom w:w="0" w:type="dxa"/>
            <w:right w:w="0" w:type="dxa"/>
          </w:tblCellMar>
        </w:tblPrEx>
        <w:trPr>
          <w:trHeight w:val="588"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left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生态</w:t>
            </w:r>
            <w:r>
              <w:rPr>
                <w:rFonts w:ascii="宋体" w:hAnsi="宋体" w:cs="宋体"/>
                <w:spacing w:val="6"/>
                <w:sz w:val="20"/>
                <w:szCs w:val="20"/>
              </w:rPr>
              <w:t>效益</w:t>
            </w:r>
          </w:p>
          <w:p>
            <w:pPr>
              <w:spacing w:line="240" w:lineRule="atLeast"/>
              <w:jc w:val="center"/>
              <w:rPr>
                <w:rFonts w:ascii="宋体" w:hAnsi="宋体" w:cs="宋体"/>
                <w:spacing w:val="6"/>
                <w:sz w:val="20"/>
                <w:szCs w:val="20"/>
              </w:rPr>
            </w:pPr>
            <w:r>
              <w:rPr>
                <w:rFonts w:ascii="宋体" w:hAnsi="宋体" w:cs="宋体"/>
                <w:spacing w:val="6"/>
                <w:sz w:val="20"/>
                <w:szCs w:val="20"/>
              </w:rPr>
              <w:t>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生态效益</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无影响生态环境的因素</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无影响生态环境的因素</w:t>
            </w:r>
          </w:p>
        </w:tc>
      </w:tr>
      <w:tr>
        <w:tblPrEx>
          <w:tblCellMar>
            <w:top w:w="0" w:type="dxa"/>
            <w:left w:w="0" w:type="dxa"/>
            <w:bottom w:w="0" w:type="dxa"/>
            <w:right w:w="0" w:type="dxa"/>
          </w:tblCellMar>
        </w:tblPrEx>
        <w:trPr>
          <w:trHeight w:val="550"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可持续影响指标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持续影响年限</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1年</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1年</w:t>
            </w:r>
          </w:p>
        </w:tc>
      </w:tr>
      <w:tr>
        <w:tblPrEx>
          <w:tblCellMar>
            <w:top w:w="0" w:type="dxa"/>
            <w:left w:w="0" w:type="dxa"/>
            <w:bottom w:w="0" w:type="dxa"/>
            <w:right w:w="0" w:type="dxa"/>
          </w:tblCellMar>
        </w:tblPrEx>
        <w:trPr>
          <w:trHeight w:val="90"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ascii="宋体" w:hAnsi="宋体" w:cs="宋体"/>
                <w:b/>
                <w:bCs/>
                <w:spacing w:val="6"/>
                <w:sz w:val="20"/>
                <w:szCs w:val="20"/>
              </w:rPr>
              <w:t>满意</w:t>
            </w:r>
            <w:r>
              <w:rPr>
                <w:rFonts w:ascii="宋体" w:hAnsi="宋体" w:cs="宋体"/>
                <w:b/>
                <w:bCs/>
                <w:spacing w:val="6"/>
                <w:sz w:val="20"/>
                <w:szCs w:val="20"/>
              </w:rPr>
              <w:br w:type="textWrapping"/>
            </w:r>
            <w:r>
              <w:rPr>
                <w:rFonts w:ascii="宋体" w:hAnsi="宋体" w:cs="宋体"/>
                <w:b/>
                <w:bCs/>
                <w:spacing w:val="6"/>
                <w:sz w:val="20"/>
                <w:szCs w:val="20"/>
              </w:rPr>
              <w:t>度指</w:t>
            </w:r>
            <w:r>
              <w:rPr>
                <w:rFonts w:ascii="宋体" w:hAnsi="宋体" w:cs="宋体"/>
                <w:b/>
                <w:bCs/>
                <w:spacing w:val="6"/>
                <w:sz w:val="20"/>
                <w:szCs w:val="20"/>
              </w:rPr>
              <w:br w:type="textWrapping"/>
            </w:r>
            <w:r>
              <w:rPr>
                <w:rFonts w:ascii="宋体" w:hAnsi="宋体" w:cs="宋体"/>
                <w:b/>
                <w:bCs/>
                <w:spacing w:val="6"/>
                <w:sz w:val="20"/>
                <w:szCs w:val="20"/>
              </w:rPr>
              <w:t>标</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满意度指标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各相关部门</w:t>
            </w:r>
          </w:p>
          <w:p>
            <w:pPr>
              <w:spacing w:line="240" w:lineRule="atLeast"/>
              <w:jc w:val="center"/>
              <w:rPr>
                <w:rFonts w:ascii="宋体" w:hAnsi="宋体" w:cs="宋体"/>
                <w:spacing w:val="6"/>
                <w:sz w:val="20"/>
                <w:szCs w:val="20"/>
              </w:rPr>
            </w:pPr>
            <w:r>
              <w:rPr>
                <w:rFonts w:ascii="宋体" w:hAnsi="宋体" w:cs="宋体"/>
                <w:spacing w:val="6"/>
                <w:sz w:val="20"/>
                <w:szCs w:val="20"/>
              </w:rPr>
              <w:t>满意度</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&gt;9</w:t>
            </w:r>
            <w:r>
              <w:rPr>
                <w:rFonts w:hint="eastAsia" w:ascii="宋体" w:hAnsi="宋体" w:cs="宋体"/>
                <w:spacing w:val="6"/>
                <w:sz w:val="20"/>
                <w:szCs w:val="20"/>
              </w:rPr>
              <w:t>0</w:t>
            </w:r>
            <w:r>
              <w:rPr>
                <w:rFonts w:ascii="宋体" w:hAnsi="宋体" w:cs="宋体"/>
                <w:spacing w:val="6"/>
                <w:sz w:val="20"/>
                <w:szCs w:val="20"/>
              </w:rPr>
              <w:t>%</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&gt;</w:t>
            </w:r>
            <w:r>
              <w:rPr>
                <w:rFonts w:hint="eastAsia" w:ascii="宋体" w:hAnsi="宋体" w:cs="宋体"/>
                <w:spacing w:val="6"/>
                <w:sz w:val="20"/>
                <w:szCs w:val="20"/>
              </w:rPr>
              <w:t>0</w:t>
            </w:r>
            <w:r>
              <w:rPr>
                <w:rFonts w:ascii="宋体" w:hAnsi="宋体" w:cs="宋体"/>
                <w:spacing w:val="6"/>
                <w:sz w:val="20"/>
                <w:szCs w:val="20"/>
              </w:rPr>
              <w:t>%</w:t>
            </w:r>
          </w:p>
        </w:tc>
      </w:tr>
    </w:tbl>
    <w:p>
      <w:pPr>
        <w:pStyle w:val="6"/>
        <w:spacing w:before="93"/>
        <w:rPr>
          <w:rStyle w:val="26"/>
          <w:rFonts w:ascii="黑体" w:hAnsi="黑体" w:eastAsia="黑体"/>
          <w:b w:val="0"/>
        </w:rPr>
      </w:pPr>
    </w:p>
    <w:p>
      <w:pPr>
        <w:pStyle w:val="6"/>
        <w:spacing w:before="93"/>
        <w:rPr>
          <w:rStyle w:val="26"/>
          <w:rFonts w:ascii="黑体" w:hAnsi="黑体" w:eastAsia="黑体"/>
          <w:b w:val="0"/>
        </w:rPr>
      </w:pPr>
    </w:p>
    <w:p>
      <w:pPr>
        <w:spacing w:line="580" w:lineRule="exact"/>
        <w:ind w:firstLine="640"/>
        <w:jc w:val="center"/>
        <w:rPr>
          <w:rFonts w:eastAsia="仿宋_GB2312"/>
          <w:b/>
          <w:bCs/>
          <w:sz w:val="32"/>
          <w:szCs w:val="32"/>
        </w:rPr>
      </w:pPr>
      <w:r>
        <w:rPr>
          <w:rFonts w:hint="eastAsia" w:eastAsia="仿宋_GB2312"/>
          <w:b/>
          <w:bCs/>
          <w:sz w:val="32"/>
          <w:szCs w:val="32"/>
        </w:rPr>
        <w:t>（四）基本公共卫生项目</w:t>
      </w:r>
    </w:p>
    <w:tbl>
      <w:tblPr>
        <w:tblStyle w:val="14"/>
        <w:tblW w:w="8862" w:type="dxa"/>
        <w:tblInd w:w="0" w:type="dxa"/>
        <w:tblLayout w:type="autofit"/>
        <w:tblCellMar>
          <w:top w:w="0" w:type="dxa"/>
          <w:left w:w="0" w:type="dxa"/>
          <w:bottom w:w="0" w:type="dxa"/>
          <w:right w:w="0" w:type="dxa"/>
        </w:tblCellMar>
      </w:tblPr>
      <w:tblGrid>
        <w:gridCol w:w="722"/>
        <w:gridCol w:w="1193"/>
        <w:gridCol w:w="1290"/>
        <w:gridCol w:w="540"/>
        <w:gridCol w:w="1205"/>
        <w:gridCol w:w="1927"/>
        <w:gridCol w:w="1985"/>
      </w:tblGrid>
      <w:tr>
        <w:tblPrEx>
          <w:tblCellMar>
            <w:top w:w="0" w:type="dxa"/>
            <w:left w:w="0" w:type="dxa"/>
            <w:bottom w:w="0" w:type="dxa"/>
            <w:right w:w="0" w:type="dxa"/>
          </w:tblCellMar>
        </w:tblPrEx>
        <w:trPr>
          <w:trHeight w:val="396" w:hRule="atLeast"/>
        </w:trPr>
        <w:tc>
          <w:tcPr>
            <w:tcW w:w="19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b/>
                <w:bCs/>
                <w:spacing w:val="6"/>
                <w:sz w:val="20"/>
                <w:szCs w:val="20"/>
              </w:rPr>
            </w:pPr>
            <w:r>
              <w:rPr>
                <w:rFonts w:hint="eastAsia" w:ascii="宋体" w:hAnsi="宋体" w:cs="宋体"/>
                <w:b/>
                <w:bCs/>
                <w:spacing w:val="6"/>
                <w:sz w:val="20"/>
                <w:szCs w:val="20"/>
              </w:rPr>
              <w:t>项目名称</w:t>
            </w:r>
          </w:p>
        </w:tc>
        <w:tc>
          <w:tcPr>
            <w:tcW w:w="694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b/>
                <w:bCs/>
                <w:spacing w:val="6"/>
                <w:sz w:val="20"/>
                <w:szCs w:val="20"/>
              </w:rPr>
            </w:pPr>
            <w:r>
              <w:rPr>
                <w:rFonts w:hint="eastAsia" w:ascii="宋体" w:hAnsi="宋体" w:cs="宋体"/>
                <w:b/>
                <w:bCs/>
                <w:spacing w:val="6"/>
                <w:sz w:val="20"/>
                <w:szCs w:val="20"/>
              </w:rPr>
              <w:t>基本公共卫生</w:t>
            </w:r>
          </w:p>
        </w:tc>
      </w:tr>
      <w:tr>
        <w:tblPrEx>
          <w:tblCellMar>
            <w:top w:w="0" w:type="dxa"/>
            <w:left w:w="0" w:type="dxa"/>
            <w:bottom w:w="0" w:type="dxa"/>
            <w:right w:w="0" w:type="dxa"/>
          </w:tblCellMar>
        </w:tblPrEx>
        <w:trPr>
          <w:trHeight w:val="762" w:hRule="atLeast"/>
        </w:trPr>
        <w:tc>
          <w:tcPr>
            <w:tcW w:w="19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主管部门及代码</w:t>
            </w:r>
          </w:p>
        </w:tc>
        <w:tc>
          <w:tcPr>
            <w:tcW w:w="303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四川省广安市卫生健康委员会-304001</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实施单位</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四川省广安市疾病预防控制中心</w:t>
            </w:r>
          </w:p>
        </w:tc>
      </w:tr>
      <w:tr>
        <w:tblPrEx>
          <w:tblCellMar>
            <w:top w:w="0" w:type="dxa"/>
            <w:left w:w="0" w:type="dxa"/>
            <w:bottom w:w="0" w:type="dxa"/>
            <w:right w:w="0" w:type="dxa"/>
          </w:tblCellMar>
        </w:tblPrEx>
        <w:trPr>
          <w:trHeight w:val="396" w:hRule="atLeast"/>
        </w:trPr>
        <w:tc>
          <w:tcPr>
            <w:tcW w:w="191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项目预算</w:t>
            </w:r>
            <w:r>
              <w:rPr>
                <w:rFonts w:hint="eastAsia" w:ascii="宋体" w:hAnsi="宋体" w:cs="宋体"/>
                <w:b/>
                <w:bCs/>
                <w:spacing w:val="6"/>
                <w:sz w:val="20"/>
                <w:szCs w:val="20"/>
              </w:rPr>
              <w:br w:type="textWrapping"/>
            </w:r>
            <w:r>
              <w:rPr>
                <w:rFonts w:hint="eastAsia" w:ascii="宋体" w:hAnsi="宋体" w:cs="宋体"/>
                <w:b/>
                <w:bCs/>
                <w:spacing w:val="6"/>
                <w:sz w:val="20"/>
                <w:szCs w:val="20"/>
              </w:rPr>
              <w:t>执行情况</w:t>
            </w:r>
            <w:r>
              <w:rPr>
                <w:rFonts w:hint="eastAsia" w:ascii="宋体" w:hAnsi="宋体" w:cs="宋体"/>
                <w:b/>
                <w:bCs/>
                <w:spacing w:val="6"/>
                <w:sz w:val="20"/>
                <w:szCs w:val="20"/>
              </w:rPr>
              <w:br w:type="textWrapping"/>
            </w:r>
            <w:r>
              <w:rPr>
                <w:rFonts w:hint="eastAsia" w:ascii="宋体" w:hAnsi="宋体" w:cs="宋体"/>
                <w:b/>
                <w:bCs/>
                <w:spacing w:val="6"/>
                <w:sz w:val="20"/>
                <w:szCs w:val="20"/>
              </w:rPr>
              <w:t>（万元）</w:t>
            </w:r>
          </w:p>
        </w:tc>
        <w:tc>
          <w:tcPr>
            <w:tcW w:w="18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预算数：</w:t>
            </w:r>
          </w:p>
        </w:tc>
        <w:tc>
          <w:tcPr>
            <w:tcW w:w="1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465.64</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执行数：</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332.65</w:t>
            </w:r>
          </w:p>
        </w:tc>
      </w:tr>
      <w:tr>
        <w:tblPrEx>
          <w:tblCellMar>
            <w:top w:w="0" w:type="dxa"/>
            <w:left w:w="0" w:type="dxa"/>
            <w:bottom w:w="0" w:type="dxa"/>
            <w:right w:w="0" w:type="dxa"/>
          </w:tblCellMar>
        </w:tblPrEx>
        <w:trPr>
          <w:trHeight w:val="762" w:hRule="atLeast"/>
        </w:trPr>
        <w:tc>
          <w:tcPr>
            <w:tcW w:w="191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8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其中：财政拨款</w:t>
            </w:r>
          </w:p>
        </w:tc>
        <w:tc>
          <w:tcPr>
            <w:tcW w:w="1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465.64</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其中：财政拨款</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332.65</w:t>
            </w:r>
          </w:p>
        </w:tc>
      </w:tr>
      <w:tr>
        <w:trPr>
          <w:trHeight w:val="762" w:hRule="atLeast"/>
        </w:trPr>
        <w:tc>
          <w:tcPr>
            <w:tcW w:w="191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8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其他资金</w:t>
            </w:r>
          </w:p>
        </w:tc>
        <w:tc>
          <w:tcPr>
            <w:tcW w:w="1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0.0</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其他资金</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0.0</w:t>
            </w:r>
          </w:p>
        </w:tc>
      </w:tr>
      <w:tr>
        <w:tblPrEx>
          <w:tblCellMar>
            <w:top w:w="0" w:type="dxa"/>
            <w:left w:w="0" w:type="dxa"/>
            <w:bottom w:w="0" w:type="dxa"/>
            <w:right w:w="0" w:type="dxa"/>
          </w:tblCellMar>
        </w:tblPrEx>
        <w:trPr>
          <w:trHeight w:val="396" w:hRule="atLeast"/>
        </w:trPr>
        <w:tc>
          <w:tcPr>
            <w:tcW w:w="7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br w:type="textWrapping"/>
            </w:r>
            <w:r>
              <w:rPr>
                <w:rFonts w:hint="eastAsia" w:ascii="宋体" w:hAnsi="宋体" w:cs="宋体"/>
                <w:b/>
                <w:bCs/>
                <w:spacing w:val="6"/>
                <w:sz w:val="20"/>
                <w:szCs w:val="20"/>
              </w:rPr>
              <w:t>年度</w:t>
            </w:r>
          </w:p>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总体</w:t>
            </w:r>
          </w:p>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目标</w:t>
            </w:r>
          </w:p>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完成</w:t>
            </w:r>
          </w:p>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情况</w:t>
            </w:r>
          </w:p>
        </w:tc>
        <w:tc>
          <w:tcPr>
            <w:tcW w:w="422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预期目标</w:t>
            </w:r>
          </w:p>
        </w:tc>
        <w:tc>
          <w:tcPr>
            <w:tcW w:w="3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目标实际完成情况</w:t>
            </w:r>
          </w:p>
        </w:tc>
      </w:tr>
      <w:tr>
        <w:tblPrEx>
          <w:tblCellMar>
            <w:top w:w="0" w:type="dxa"/>
            <w:left w:w="0" w:type="dxa"/>
            <w:bottom w:w="0" w:type="dxa"/>
            <w:right w:w="0" w:type="dxa"/>
          </w:tblCellMar>
        </w:tblPrEx>
        <w:trPr>
          <w:trHeight w:val="1684" w:hRule="atLeast"/>
        </w:trPr>
        <w:tc>
          <w:tcPr>
            <w:tcW w:w="7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422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pPr>
            <w:r>
              <w:rPr>
                <w:rFonts w:hint="eastAsia"/>
              </w:rPr>
              <w:t>目标1：对广安区城区集中式饮用水末梢水进行布点监测；</w:t>
            </w:r>
          </w:p>
          <w:p>
            <w:pPr>
              <w:spacing w:line="240" w:lineRule="atLeast"/>
            </w:pPr>
            <w:r>
              <w:rPr>
                <w:rFonts w:hint="eastAsia"/>
              </w:rPr>
              <w:t>目标2：开展重大慢性病早期筛查干预项目，落实慢性病及其相关危险因素监测。</w:t>
            </w:r>
          </w:p>
          <w:p>
            <w:pPr>
              <w:spacing w:line="240" w:lineRule="atLeast"/>
            </w:pPr>
            <w:r>
              <w:rPr>
                <w:rFonts w:hint="eastAsia"/>
              </w:rPr>
              <w:t>目标3：</w:t>
            </w:r>
            <w:r>
              <w:rPr>
                <w:rFonts w:hint="eastAsia" w:ascii="宋体" w:hAnsi="宋体" w:cs="宋体"/>
                <w:color w:val="000000"/>
                <w:sz w:val="24"/>
              </w:rPr>
              <w:t>对本市食品安全风险进行监测</w:t>
            </w:r>
          </w:p>
        </w:tc>
        <w:tc>
          <w:tcPr>
            <w:tcW w:w="3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pPr>
            <w:r>
              <w:rPr>
                <w:rFonts w:hint="eastAsia"/>
              </w:rPr>
              <w:t>目标1：对广安区城区集中式饮用水末梢水进行布点监测；</w:t>
            </w:r>
          </w:p>
          <w:p>
            <w:pPr>
              <w:spacing w:line="240" w:lineRule="atLeast"/>
            </w:pPr>
            <w:r>
              <w:rPr>
                <w:rFonts w:hint="eastAsia"/>
              </w:rPr>
              <w:t>目标2：开展重大慢性病早期筛查干预项目，落实慢性病及其相关危险因素监测。</w:t>
            </w:r>
          </w:p>
          <w:p>
            <w:pPr>
              <w:spacing w:line="240" w:lineRule="atLeast"/>
              <w:jc w:val="center"/>
              <w:rPr>
                <w:rFonts w:ascii="宋体" w:hAnsi="宋体" w:cs="宋体"/>
                <w:spacing w:val="6"/>
                <w:sz w:val="20"/>
                <w:szCs w:val="20"/>
              </w:rPr>
            </w:pPr>
            <w:r>
              <w:rPr>
                <w:rFonts w:hint="eastAsia"/>
              </w:rPr>
              <w:t>目标3：</w:t>
            </w:r>
            <w:r>
              <w:rPr>
                <w:rFonts w:hint="eastAsia" w:ascii="宋体" w:hAnsi="宋体" w:cs="宋体"/>
                <w:color w:val="000000"/>
                <w:sz w:val="24"/>
              </w:rPr>
              <w:t>对本市食品安全风险进行监测</w:t>
            </w:r>
          </w:p>
        </w:tc>
      </w:tr>
      <w:tr>
        <w:tblPrEx>
          <w:tblCellMar>
            <w:top w:w="0" w:type="dxa"/>
            <w:left w:w="0" w:type="dxa"/>
            <w:bottom w:w="0" w:type="dxa"/>
            <w:right w:w="0" w:type="dxa"/>
          </w:tblCellMar>
        </w:tblPrEx>
        <w:trPr>
          <w:trHeight w:val="629" w:hRule="atLeast"/>
        </w:trPr>
        <w:tc>
          <w:tcPr>
            <w:tcW w:w="722"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年度绩效指标完成情况</w:t>
            </w:r>
          </w:p>
        </w:tc>
        <w:tc>
          <w:tcPr>
            <w:tcW w:w="119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b/>
                <w:bCs/>
                <w:spacing w:val="6"/>
                <w:sz w:val="20"/>
                <w:szCs w:val="20"/>
              </w:rPr>
              <w:t>一级指标</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二级指标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三级指标</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预期指标值</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实际完成指标值</w:t>
            </w:r>
          </w:p>
        </w:tc>
      </w:tr>
      <w:tr>
        <w:tblPrEx>
          <w:tblCellMar>
            <w:top w:w="0" w:type="dxa"/>
            <w:left w:w="0" w:type="dxa"/>
            <w:bottom w:w="0" w:type="dxa"/>
            <w:right w:w="0" w:type="dxa"/>
          </w:tblCellMar>
        </w:tblPrEx>
        <w:trPr>
          <w:trHeight w:val="475"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ascii="宋体" w:hAnsi="宋体" w:cs="宋体"/>
                <w:b/>
                <w:bCs/>
                <w:spacing w:val="6"/>
                <w:sz w:val="20"/>
                <w:szCs w:val="20"/>
              </w:rPr>
              <w:t>完</w:t>
            </w:r>
            <w:r>
              <w:rPr>
                <w:rFonts w:ascii="宋体" w:hAnsi="宋体" w:cs="宋体"/>
                <w:b/>
                <w:bCs/>
                <w:spacing w:val="6"/>
                <w:sz w:val="20"/>
                <w:szCs w:val="20"/>
              </w:rPr>
              <w:br w:type="textWrapping"/>
            </w:r>
            <w:r>
              <w:rPr>
                <w:rFonts w:ascii="宋体" w:hAnsi="宋体" w:cs="宋体"/>
                <w:b/>
                <w:bCs/>
                <w:spacing w:val="6"/>
                <w:sz w:val="20"/>
                <w:szCs w:val="20"/>
              </w:rPr>
              <w:t>成</w:t>
            </w:r>
            <w:r>
              <w:rPr>
                <w:rFonts w:ascii="宋体" w:hAnsi="宋体" w:cs="宋体"/>
                <w:b/>
                <w:bCs/>
                <w:spacing w:val="6"/>
                <w:sz w:val="20"/>
                <w:szCs w:val="20"/>
              </w:rPr>
              <w:br w:type="textWrapping"/>
            </w:r>
            <w:r>
              <w:rPr>
                <w:rFonts w:ascii="宋体" w:hAnsi="宋体" w:cs="宋体"/>
                <w:b/>
                <w:bCs/>
                <w:spacing w:val="6"/>
                <w:sz w:val="20"/>
                <w:szCs w:val="20"/>
              </w:rPr>
              <w:t>指</w:t>
            </w:r>
            <w:r>
              <w:rPr>
                <w:rFonts w:ascii="宋体" w:hAnsi="宋体" w:cs="宋体"/>
                <w:b/>
                <w:bCs/>
                <w:spacing w:val="6"/>
                <w:sz w:val="20"/>
                <w:szCs w:val="20"/>
              </w:rPr>
              <w:br w:type="textWrapping"/>
            </w:r>
            <w:r>
              <w:rPr>
                <w:rFonts w:ascii="宋体" w:hAnsi="宋体" w:cs="宋体"/>
                <w:b/>
                <w:bCs/>
                <w:spacing w:val="6"/>
                <w:sz w:val="20"/>
                <w:szCs w:val="20"/>
              </w:rPr>
              <w:t>标</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数量指标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每月末梢水监测国标9项</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10个点</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10个点</w:t>
            </w:r>
          </w:p>
        </w:tc>
      </w:tr>
      <w:tr>
        <w:tblPrEx>
          <w:tblCellMar>
            <w:top w:w="0" w:type="dxa"/>
            <w:left w:w="0" w:type="dxa"/>
            <w:bottom w:w="0" w:type="dxa"/>
            <w:right w:w="0" w:type="dxa"/>
          </w:tblCellMar>
        </w:tblPrEx>
        <w:trPr>
          <w:trHeight w:val="395"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left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数量指标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食品中污染物及有害因素监测</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购买样品约30份</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396份</w:t>
            </w:r>
          </w:p>
        </w:tc>
      </w:tr>
      <w:tr>
        <w:tblPrEx>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质量指标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食品中污染物及有害因素监测</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≥90%</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90%</w:t>
            </w:r>
          </w:p>
        </w:tc>
      </w:tr>
      <w:tr>
        <w:tblPrEx>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时效指标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完成时间</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2021年12月31日前</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2021年12月31日前</w:t>
            </w:r>
          </w:p>
        </w:tc>
      </w:tr>
      <w:tr>
        <w:tblPrEx>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成本指标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完成成本</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465.64万元</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332.65万元</w:t>
            </w:r>
          </w:p>
        </w:tc>
      </w:tr>
      <w:tr>
        <w:tblPrEx>
          <w:tblCellMar>
            <w:top w:w="0" w:type="dxa"/>
            <w:left w:w="0" w:type="dxa"/>
            <w:bottom w:w="0" w:type="dxa"/>
            <w:right w:w="0" w:type="dxa"/>
          </w:tblCellMar>
        </w:tblPrEx>
        <w:trPr>
          <w:trHeight w:val="199"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ascii="宋体" w:hAnsi="宋体" w:cs="宋体"/>
                <w:b/>
                <w:bCs/>
                <w:spacing w:val="6"/>
                <w:sz w:val="20"/>
                <w:szCs w:val="20"/>
              </w:rPr>
              <w:t>效</w:t>
            </w:r>
            <w:r>
              <w:rPr>
                <w:rFonts w:ascii="宋体" w:hAnsi="宋体" w:cs="宋体"/>
                <w:b/>
                <w:bCs/>
                <w:spacing w:val="6"/>
                <w:sz w:val="20"/>
                <w:szCs w:val="20"/>
              </w:rPr>
              <w:br w:type="textWrapping"/>
            </w:r>
            <w:r>
              <w:rPr>
                <w:rFonts w:ascii="宋体" w:hAnsi="宋体" w:cs="宋体"/>
                <w:b/>
                <w:bCs/>
                <w:spacing w:val="6"/>
                <w:sz w:val="20"/>
                <w:szCs w:val="20"/>
              </w:rPr>
              <w:t>益</w:t>
            </w:r>
            <w:r>
              <w:rPr>
                <w:rFonts w:ascii="宋体" w:hAnsi="宋体" w:cs="宋体"/>
                <w:b/>
                <w:bCs/>
                <w:spacing w:val="6"/>
                <w:sz w:val="20"/>
                <w:szCs w:val="20"/>
              </w:rPr>
              <w:br w:type="textWrapping"/>
            </w:r>
            <w:r>
              <w:rPr>
                <w:rFonts w:ascii="宋体" w:hAnsi="宋体" w:cs="宋体"/>
                <w:b/>
                <w:bCs/>
                <w:spacing w:val="6"/>
                <w:sz w:val="20"/>
                <w:szCs w:val="20"/>
              </w:rPr>
              <w:t>指</w:t>
            </w:r>
            <w:r>
              <w:rPr>
                <w:rFonts w:ascii="宋体" w:hAnsi="宋体" w:cs="宋体"/>
                <w:b/>
                <w:bCs/>
                <w:spacing w:val="6"/>
                <w:sz w:val="20"/>
                <w:szCs w:val="20"/>
              </w:rPr>
              <w:br w:type="textWrapping"/>
            </w:r>
            <w:r>
              <w:rPr>
                <w:rFonts w:ascii="宋体" w:hAnsi="宋体" w:cs="宋体"/>
                <w:b/>
                <w:bCs/>
                <w:spacing w:val="6"/>
                <w:sz w:val="20"/>
                <w:szCs w:val="20"/>
              </w:rPr>
              <w:t>标</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经济效益指标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经济效益</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无</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无</w:t>
            </w:r>
          </w:p>
        </w:tc>
      </w:tr>
      <w:tr>
        <w:tblPrEx>
          <w:tblCellMar>
            <w:top w:w="0" w:type="dxa"/>
            <w:left w:w="0" w:type="dxa"/>
            <w:bottom w:w="0" w:type="dxa"/>
            <w:right w:w="0" w:type="dxa"/>
          </w:tblCellMar>
        </w:tblPrEx>
        <w:trPr>
          <w:trHeight w:val="435"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left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社会效益</w:t>
            </w:r>
          </w:p>
          <w:p>
            <w:pPr>
              <w:spacing w:line="240" w:lineRule="atLeast"/>
              <w:jc w:val="center"/>
              <w:rPr>
                <w:rFonts w:ascii="宋体" w:hAnsi="宋体" w:cs="宋体"/>
                <w:spacing w:val="6"/>
                <w:sz w:val="20"/>
                <w:szCs w:val="20"/>
              </w:rPr>
            </w:pPr>
            <w:r>
              <w:rPr>
                <w:rFonts w:ascii="宋体" w:hAnsi="宋体" w:cs="宋体"/>
                <w:spacing w:val="6"/>
                <w:sz w:val="20"/>
                <w:szCs w:val="20"/>
              </w:rPr>
              <w:t>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食品安全保障</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有效保障</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已完成</w:t>
            </w:r>
          </w:p>
        </w:tc>
      </w:tr>
      <w:tr>
        <w:tblPrEx>
          <w:tblCellMar>
            <w:top w:w="0" w:type="dxa"/>
            <w:left w:w="0" w:type="dxa"/>
            <w:bottom w:w="0" w:type="dxa"/>
            <w:right w:w="0" w:type="dxa"/>
          </w:tblCellMar>
        </w:tblPrEx>
        <w:trPr>
          <w:trHeight w:val="588"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left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生态</w:t>
            </w:r>
            <w:r>
              <w:rPr>
                <w:rFonts w:ascii="宋体" w:hAnsi="宋体" w:cs="宋体"/>
                <w:spacing w:val="6"/>
                <w:sz w:val="20"/>
                <w:szCs w:val="20"/>
              </w:rPr>
              <w:t>效益</w:t>
            </w:r>
          </w:p>
          <w:p>
            <w:pPr>
              <w:spacing w:line="240" w:lineRule="atLeast"/>
              <w:jc w:val="center"/>
              <w:rPr>
                <w:rFonts w:ascii="宋体" w:hAnsi="宋体" w:cs="宋体"/>
                <w:spacing w:val="6"/>
                <w:sz w:val="20"/>
                <w:szCs w:val="20"/>
              </w:rPr>
            </w:pPr>
            <w:r>
              <w:rPr>
                <w:rFonts w:ascii="宋体" w:hAnsi="宋体" w:cs="宋体"/>
                <w:spacing w:val="6"/>
                <w:sz w:val="20"/>
                <w:szCs w:val="20"/>
              </w:rPr>
              <w:t>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发现水污染隐患</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＞80%</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完成</w:t>
            </w:r>
          </w:p>
        </w:tc>
      </w:tr>
      <w:tr>
        <w:tblPrEx>
          <w:tblCellMar>
            <w:top w:w="0" w:type="dxa"/>
            <w:left w:w="0" w:type="dxa"/>
            <w:bottom w:w="0" w:type="dxa"/>
            <w:right w:w="0" w:type="dxa"/>
          </w:tblCellMar>
        </w:tblPrEx>
        <w:trPr>
          <w:trHeight w:val="550"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可持续影响指标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食源性疾病暴发隐患</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持续降低</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持续降低</w:t>
            </w:r>
          </w:p>
        </w:tc>
      </w:tr>
      <w:tr>
        <w:tblPrEx>
          <w:tblCellMar>
            <w:top w:w="0" w:type="dxa"/>
            <w:left w:w="0" w:type="dxa"/>
            <w:bottom w:w="0" w:type="dxa"/>
            <w:right w:w="0" w:type="dxa"/>
          </w:tblCellMar>
        </w:tblPrEx>
        <w:trPr>
          <w:trHeight w:val="90"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ascii="宋体" w:hAnsi="宋体" w:cs="宋体"/>
                <w:b/>
                <w:bCs/>
                <w:spacing w:val="6"/>
                <w:sz w:val="20"/>
                <w:szCs w:val="20"/>
              </w:rPr>
              <w:t>满意</w:t>
            </w:r>
            <w:r>
              <w:rPr>
                <w:rFonts w:ascii="宋体" w:hAnsi="宋体" w:cs="宋体"/>
                <w:b/>
                <w:bCs/>
                <w:spacing w:val="6"/>
                <w:sz w:val="20"/>
                <w:szCs w:val="20"/>
              </w:rPr>
              <w:br w:type="textWrapping"/>
            </w:r>
            <w:r>
              <w:rPr>
                <w:rFonts w:ascii="宋体" w:hAnsi="宋体" w:cs="宋体"/>
                <w:b/>
                <w:bCs/>
                <w:spacing w:val="6"/>
                <w:sz w:val="20"/>
                <w:szCs w:val="20"/>
              </w:rPr>
              <w:t>度指</w:t>
            </w:r>
            <w:r>
              <w:rPr>
                <w:rFonts w:ascii="宋体" w:hAnsi="宋体" w:cs="宋体"/>
                <w:b/>
                <w:bCs/>
                <w:spacing w:val="6"/>
                <w:sz w:val="20"/>
                <w:szCs w:val="20"/>
              </w:rPr>
              <w:br w:type="textWrapping"/>
            </w:r>
            <w:r>
              <w:rPr>
                <w:rFonts w:ascii="宋体" w:hAnsi="宋体" w:cs="宋体"/>
                <w:b/>
                <w:bCs/>
                <w:spacing w:val="6"/>
                <w:sz w:val="20"/>
                <w:szCs w:val="20"/>
              </w:rPr>
              <w:t>标</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满意度指标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各相关部门</w:t>
            </w:r>
          </w:p>
          <w:p>
            <w:pPr>
              <w:spacing w:line="240" w:lineRule="atLeast"/>
              <w:jc w:val="center"/>
              <w:rPr>
                <w:rFonts w:ascii="宋体" w:hAnsi="宋体" w:cs="宋体"/>
                <w:spacing w:val="6"/>
                <w:sz w:val="20"/>
                <w:szCs w:val="20"/>
              </w:rPr>
            </w:pPr>
            <w:r>
              <w:rPr>
                <w:rFonts w:ascii="宋体" w:hAnsi="宋体" w:cs="宋体"/>
                <w:spacing w:val="6"/>
                <w:sz w:val="20"/>
                <w:szCs w:val="20"/>
              </w:rPr>
              <w:t>满意度</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&gt;9</w:t>
            </w:r>
            <w:r>
              <w:rPr>
                <w:rFonts w:hint="eastAsia" w:ascii="宋体" w:hAnsi="宋体" w:cs="宋体"/>
                <w:spacing w:val="6"/>
                <w:sz w:val="20"/>
                <w:szCs w:val="20"/>
              </w:rPr>
              <w:t>0</w:t>
            </w:r>
            <w:r>
              <w:rPr>
                <w:rFonts w:ascii="宋体" w:hAnsi="宋体" w:cs="宋体"/>
                <w:spacing w:val="6"/>
                <w:sz w:val="20"/>
                <w:szCs w:val="20"/>
              </w:rPr>
              <w:t>%</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&gt;9</w:t>
            </w:r>
            <w:r>
              <w:rPr>
                <w:rFonts w:hint="eastAsia" w:ascii="宋体" w:hAnsi="宋体" w:cs="宋体"/>
                <w:spacing w:val="6"/>
                <w:sz w:val="20"/>
                <w:szCs w:val="20"/>
              </w:rPr>
              <w:t>0</w:t>
            </w:r>
            <w:r>
              <w:rPr>
                <w:rFonts w:ascii="宋体" w:hAnsi="宋体" w:cs="宋体"/>
                <w:spacing w:val="6"/>
                <w:sz w:val="20"/>
                <w:szCs w:val="20"/>
              </w:rPr>
              <w:t>%</w:t>
            </w:r>
          </w:p>
        </w:tc>
      </w:tr>
    </w:tbl>
    <w:p>
      <w:pPr>
        <w:pStyle w:val="6"/>
        <w:spacing w:before="93"/>
        <w:rPr>
          <w:rStyle w:val="26"/>
          <w:rFonts w:ascii="黑体" w:hAnsi="黑体" w:eastAsia="黑体"/>
          <w:b w:val="0"/>
        </w:rPr>
      </w:pPr>
    </w:p>
    <w:p>
      <w:pPr>
        <w:pStyle w:val="6"/>
        <w:spacing w:before="93"/>
        <w:rPr>
          <w:rStyle w:val="26"/>
          <w:rFonts w:ascii="黑体" w:hAnsi="黑体" w:eastAsia="黑体"/>
          <w:b w:val="0"/>
        </w:rPr>
      </w:pPr>
    </w:p>
    <w:p>
      <w:pPr>
        <w:spacing w:line="580" w:lineRule="exact"/>
        <w:ind w:firstLine="640"/>
        <w:jc w:val="center"/>
        <w:rPr>
          <w:rFonts w:eastAsia="仿宋_GB2312"/>
          <w:b/>
          <w:bCs/>
          <w:sz w:val="32"/>
          <w:szCs w:val="32"/>
        </w:rPr>
      </w:pPr>
      <w:r>
        <w:rPr>
          <w:rFonts w:hint="eastAsia" w:eastAsia="仿宋_GB2312"/>
          <w:b/>
          <w:bCs/>
          <w:sz w:val="32"/>
          <w:szCs w:val="32"/>
        </w:rPr>
        <w:t>（五）新冠肺炎疫情防控项目</w:t>
      </w:r>
    </w:p>
    <w:tbl>
      <w:tblPr>
        <w:tblStyle w:val="14"/>
        <w:tblW w:w="8862" w:type="dxa"/>
        <w:tblInd w:w="0" w:type="dxa"/>
        <w:tblLayout w:type="autofit"/>
        <w:tblCellMar>
          <w:top w:w="0" w:type="dxa"/>
          <w:left w:w="0" w:type="dxa"/>
          <w:bottom w:w="0" w:type="dxa"/>
          <w:right w:w="0" w:type="dxa"/>
        </w:tblCellMar>
      </w:tblPr>
      <w:tblGrid>
        <w:gridCol w:w="722"/>
        <w:gridCol w:w="1193"/>
        <w:gridCol w:w="1290"/>
        <w:gridCol w:w="540"/>
        <w:gridCol w:w="1205"/>
        <w:gridCol w:w="1927"/>
        <w:gridCol w:w="1985"/>
      </w:tblGrid>
      <w:tr>
        <w:tblPrEx>
          <w:tblCellMar>
            <w:top w:w="0" w:type="dxa"/>
            <w:left w:w="0" w:type="dxa"/>
            <w:bottom w:w="0" w:type="dxa"/>
            <w:right w:w="0" w:type="dxa"/>
          </w:tblCellMar>
        </w:tblPrEx>
        <w:trPr>
          <w:trHeight w:val="396" w:hRule="atLeast"/>
        </w:trPr>
        <w:tc>
          <w:tcPr>
            <w:tcW w:w="19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b/>
                <w:bCs/>
                <w:spacing w:val="6"/>
                <w:sz w:val="20"/>
                <w:szCs w:val="20"/>
              </w:rPr>
            </w:pPr>
            <w:r>
              <w:rPr>
                <w:rFonts w:hint="eastAsia" w:ascii="宋体" w:hAnsi="宋体" w:cs="宋体"/>
                <w:b/>
                <w:bCs/>
                <w:spacing w:val="6"/>
                <w:sz w:val="20"/>
                <w:szCs w:val="20"/>
              </w:rPr>
              <w:t>项目名称</w:t>
            </w:r>
          </w:p>
        </w:tc>
        <w:tc>
          <w:tcPr>
            <w:tcW w:w="694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b/>
                <w:bCs/>
                <w:spacing w:val="6"/>
                <w:sz w:val="20"/>
                <w:szCs w:val="20"/>
              </w:rPr>
            </w:pPr>
            <w:r>
              <w:rPr>
                <w:rFonts w:hint="eastAsia" w:ascii="宋体" w:hAnsi="宋体" w:cs="宋体"/>
                <w:b/>
                <w:bCs/>
                <w:spacing w:val="6"/>
                <w:sz w:val="20"/>
                <w:szCs w:val="20"/>
              </w:rPr>
              <w:t>新冠肺炎疫情防控</w:t>
            </w:r>
          </w:p>
        </w:tc>
      </w:tr>
      <w:tr>
        <w:tblPrEx>
          <w:tblCellMar>
            <w:top w:w="0" w:type="dxa"/>
            <w:left w:w="0" w:type="dxa"/>
            <w:bottom w:w="0" w:type="dxa"/>
            <w:right w:w="0" w:type="dxa"/>
          </w:tblCellMar>
        </w:tblPrEx>
        <w:trPr>
          <w:trHeight w:val="762" w:hRule="atLeast"/>
        </w:trPr>
        <w:tc>
          <w:tcPr>
            <w:tcW w:w="19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主管部门及代码</w:t>
            </w:r>
          </w:p>
        </w:tc>
        <w:tc>
          <w:tcPr>
            <w:tcW w:w="303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四川省广安市卫生健康委员会-304001</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实施单位</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四川省广安市疾病预防控制中心</w:t>
            </w:r>
          </w:p>
        </w:tc>
      </w:tr>
      <w:tr>
        <w:tblPrEx>
          <w:tblCellMar>
            <w:top w:w="0" w:type="dxa"/>
            <w:left w:w="0" w:type="dxa"/>
            <w:bottom w:w="0" w:type="dxa"/>
            <w:right w:w="0" w:type="dxa"/>
          </w:tblCellMar>
        </w:tblPrEx>
        <w:trPr>
          <w:trHeight w:val="396" w:hRule="atLeast"/>
        </w:trPr>
        <w:tc>
          <w:tcPr>
            <w:tcW w:w="191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项目预算</w:t>
            </w:r>
            <w:r>
              <w:rPr>
                <w:rFonts w:hint="eastAsia" w:ascii="宋体" w:hAnsi="宋体" w:cs="宋体"/>
                <w:b/>
                <w:bCs/>
                <w:spacing w:val="6"/>
                <w:sz w:val="20"/>
                <w:szCs w:val="20"/>
              </w:rPr>
              <w:br w:type="textWrapping"/>
            </w:r>
            <w:r>
              <w:rPr>
                <w:rFonts w:hint="eastAsia" w:ascii="宋体" w:hAnsi="宋体" w:cs="宋体"/>
                <w:b/>
                <w:bCs/>
                <w:spacing w:val="6"/>
                <w:sz w:val="20"/>
                <w:szCs w:val="20"/>
              </w:rPr>
              <w:t>执行情况</w:t>
            </w:r>
            <w:r>
              <w:rPr>
                <w:rFonts w:hint="eastAsia" w:ascii="宋体" w:hAnsi="宋体" w:cs="宋体"/>
                <w:b/>
                <w:bCs/>
                <w:spacing w:val="6"/>
                <w:sz w:val="20"/>
                <w:szCs w:val="20"/>
              </w:rPr>
              <w:br w:type="textWrapping"/>
            </w:r>
            <w:r>
              <w:rPr>
                <w:rFonts w:hint="eastAsia" w:ascii="宋体" w:hAnsi="宋体" w:cs="宋体"/>
                <w:b/>
                <w:bCs/>
                <w:spacing w:val="6"/>
                <w:sz w:val="20"/>
                <w:szCs w:val="20"/>
              </w:rPr>
              <w:t>（万元）</w:t>
            </w:r>
          </w:p>
        </w:tc>
        <w:tc>
          <w:tcPr>
            <w:tcW w:w="18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预算数：</w:t>
            </w:r>
          </w:p>
        </w:tc>
        <w:tc>
          <w:tcPr>
            <w:tcW w:w="1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104.48</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执行数：</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104.48</w:t>
            </w:r>
          </w:p>
        </w:tc>
      </w:tr>
      <w:tr>
        <w:tblPrEx>
          <w:tblCellMar>
            <w:top w:w="0" w:type="dxa"/>
            <w:left w:w="0" w:type="dxa"/>
            <w:bottom w:w="0" w:type="dxa"/>
            <w:right w:w="0" w:type="dxa"/>
          </w:tblCellMar>
        </w:tblPrEx>
        <w:trPr>
          <w:trHeight w:val="762" w:hRule="atLeast"/>
        </w:trPr>
        <w:tc>
          <w:tcPr>
            <w:tcW w:w="191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8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其中：财政拨款</w:t>
            </w:r>
          </w:p>
        </w:tc>
        <w:tc>
          <w:tcPr>
            <w:tcW w:w="1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104.48</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其中：财政拨款</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104.48</w:t>
            </w:r>
          </w:p>
        </w:tc>
      </w:tr>
      <w:tr>
        <w:tblPrEx>
          <w:tblCellMar>
            <w:top w:w="0" w:type="dxa"/>
            <w:left w:w="0" w:type="dxa"/>
            <w:bottom w:w="0" w:type="dxa"/>
            <w:right w:w="0" w:type="dxa"/>
          </w:tblCellMar>
        </w:tblPrEx>
        <w:trPr>
          <w:trHeight w:val="762" w:hRule="atLeast"/>
        </w:trPr>
        <w:tc>
          <w:tcPr>
            <w:tcW w:w="191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8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其他资金</w:t>
            </w:r>
          </w:p>
        </w:tc>
        <w:tc>
          <w:tcPr>
            <w:tcW w:w="1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0.0</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其他资金</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0.0</w:t>
            </w:r>
          </w:p>
        </w:tc>
      </w:tr>
      <w:tr>
        <w:tblPrEx>
          <w:tblCellMar>
            <w:top w:w="0" w:type="dxa"/>
            <w:left w:w="0" w:type="dxa"/>
            <w:bottom w:w="0" w:type="dxa"/>
            <w:right w:w="0" w:type="dxa"/>
          </w:tblCellMar>
        </w:tblPrEx>
        <w:trPr>
          <w:trHeight w:val="396" w:hRule="atLeast"/>
        </w:trPr>
        <w:tc>
          <w:tcPr>
            <w:tcW w:w="7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br w:type="textWrapping"/>
            </w:r>
            <w:r>
              <w:rPr>
                <w:rFonts w:hint="eastAsia" w:ascii="宋体" w:hAnsi="宋体" w:cs="宋体"/>
                <w:b/>
                <w:bCs/>
                <w:spacing w:val="6"/>
                <w:sz w:val="20"/>
                <w:szCs w:val="20"/>
              </w:rPr>
              <w:t>年度</w:t>
            </w:r>
          </w:p>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总体</w:t>
            </w:r>
          </w:p>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目标</w:t>
            </w:r>
          </w:p>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完成</w:t>
            </w:r>
          </w:p>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情况</w:t>
            </w:r>
          </w:p>
        </w:tc>
        <w:tc>
          <w:tcPr>
            <w:tcW w:w="422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预期目标</w:t>
            </w:r>
          </w:p>
        </w:tc>
        <w:tc>
          <w:tcPr>
            <w:tcW w:w="3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目标实际完成情况</w:t>
            </w:r>
          </w:p>
        </w:tc>
      </w:tr>
      <w:tr>
        <w:tblPrEx>
          <w:tblCellMar>
            <w:top w:w="0" w:type="dxa"/>
            <w:left w:w="0" w:type="dxa"/>
            <w:bottom w:w="0" w:type="dxa"/>
            <w:right w:w="0" w:type="dxa"/>
          </w:tblCellMar>
        </w:tblPrEx>
        <w:trPr>
          <w:trHeight w:val="1684" w:hRule="atLeast"/>
        </w:trPr>
        <w:tc>
          <w:tcPr>
            <w:tcW w:w="7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422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pPr>
            <w:r>
              <w:rPr>
                <w:rFonts w:hint="eastAsia"/>
              </w:rPr>
              <w:t>目标1：加强传染病疫情监测、流行病学调查和疫情分析研判；</w:t>
            </w:r>
          </w:p>
          <w:p>
            <w:pPr>
              <w:spacing w:line="240" w:lineRule="atLeast"/>
              <w:rPr>
                <w:rFonts w:ascii="宋体" w:hAnsi="宋体" w:cs="宋体"/>
                <w:spacing w:val="6"/>
                <w:sz w:val="20"/>
                <w:szCs w:val="20"/>
              </w:rPr>
            </w:pPr>
            <w:r>
              <w:rPr>
                <w:rFonts w:hint="eastAsia"/>
              </w:rPr>
              <w:t>目标2：分别完成以新冠肺炎为主的病毒性传染病监测、基于国家致病菌识别网的细菌性传染病监测。</w:t>
            </w:r>
          </w:p>
        </w:tc>
        <w:tc>
          <w:tcPr>
            <w:tcW w:w="3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pPr>
            <w:r>
              <w:rPr>
                <w:rFonts w:hint="eastAsia"/>
              </w:rPr>
              <w:t>目标1：加强传染病疫情监测、流行病学调查和疫情分析研判；</w:t>
            </w:r>
          </w:p>
          <w:p>
            <w:pPr>
              <w:spacing w:line="240" w:lineRule="atLeast"/>
              <w:rPr>
                <w:rFonts w:ascii="宋体" w:hAnsi="宋体" w:cs="宋体"/>
                <w:spacing w:val="6"/>
                <w:sz w:val="20"/>
                <w:szCs w:val="20"/>
              </w:rPr>
            </w:pPr>
            <w:r>
              <w:rPr>
                <w:rFonts w:hint="eastAsia"/>
              </w:rPr>
              <w:t>目标2：分别完成以新冠肺炎为主的病毒性传染病监测、基于国家致病菌识别网的细菌性传染病监测。</w:t>
            </w:r>
          </w:p>
        </w:tc>
      </w:tr>
      <w:tr>
        <w:tblPrEx>
          <w:tblCellMar>
            <w:top w:w="0" w:type="dxa"/>
            <w:left w:w="0" w:type="dxa"/>
            <w:bottom w:w="0" w:type="dxa"/>
            <w:right w:w="0" w:type="dxa"/>
          </w:tblCellMar>
        </w:tblPrEx>
        <w:trPr>
          <w:trHeight w:val="629" w:hRule="atLeast"/>
        </w:trPr>
        <w:tc>
          <w:tcPr>
            <w:tcW w:w="722"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年度绩效指标完成情况</w:t>
            </w:r>
          </w:p>
        </w:tc>
        <w:tc>
          <w:tcPr>
            <w:tcW w:w="119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b/>
                <w:bCs/>
                <w:spacing w:val="6"/>
                <w:sz w:val="20"/>
                <w:szCs w:val="20"/>
              </w:rPr>
              <w:t>一级指标</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二级指标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三级指标</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预期指标值</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实际完成指标值</w:t>
            </w:r>
          </w:p>
        </w:tc>
      </w:tr>
      <w:tr>
        <w:tblPrEx>
          <w:tblCellMar>
            <w:top w:w="0" w:type="dxa"/>
            <w:left w:w="0" w:type="dxa"/>
            <w:bottom w:w="0" w:type="dxa"/>
            <w:right w:w="0" w:type="dxa"/>
          </w:tblCellMar>
        </w:tblPrEx>
        <w:trPr>
          <w:trHeight w:val="306"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ascii="宋体" w:hAnsi="宋体" w:cs="宋体"/>
                <w:b/>
                <w:bCs/>
                <w:spacing w:val="6"/>
                <w:sz w:val="20"/>
                <w:szCs w:val="20"/>
              </w:rPr>
              <w:t>完</w:t>
            </w:r>
            <w:r>
              <w:rPr>
                <w:rFonts w:ascii="宋体" w:hAnsi="宋体" w:cs="宋体"/>
                <w:b/>
                <w:bCs/>
                <w:spacing w:val="6"/>
                <w:sz w:val="20"/>
                <w:szCs w:val="20"/>
              </w:rPr>
              <w:br w:type="textWrapping"/>
            </w:r>
            <w:r>
              <w:rPr>
                <w:rFonts w:ascii="宋体" w:hAnsi="宋体" w:cs="宋体"/>
                <w:b/>
                <w:bCs/>
                <w:spacing w:val="6"/>
                <w:sz w:val="20"/>
                <w:szCs w:val="20"/>
              </w:rPr>
              <w:t>成</w:t>
            </w:r>
            <w:r>
              <w:rPr>
                <w:rFonts w:ascii="宋体" w:hAnsi="宋体" w:cs="宋体"/>
                <w:b/>
                <w:bCs/>
                <w:spacing w:val="6"/>
                <w:sz w:val="20"/>
                <w:szCs w:val="20"/>
              </w:rPr>
              <w:br w:type="textWrapping"/>
            </w:r>
            <w:r>
              <w:rPr>
                <w:rFonts w:ascii="宋体" w:hAnsi="宋体" w:cs="宋体"/>
                <w:b/>
                <w:bCs/>
                <w:spacing w:val="6"/>
                <w:sz w:val="20"/>
                <w:szCs w:val="20"/>
              </w:rPr>
              <w:t>指</w:t>
            </w:r>
            <w:r>
              <w:rPr>
                <w:rFonts w:ascii="宋体" w:hAnsi="宋体" w:cs="宋体"/>
                <w:b/>
                <w:bCs/>
                <w:spacing w:val="6"/>
                <w:sz w:val="20"/>
                <w:szCs w:val="20"/>
              </w:rPr>
              <w:br w:type="textWrapping"/>
            </w:r>
            <w:r>
              <w:rPr>
                <w:rFonts w:ascii="宋体" w:hAnsi="宋体" w:cs="宋体"/>
                <w:b/>
                <w:bCs/>
                <w:spacing w:val="6"/>
                <w:sz w:val="20"/>
                <w:szCs w:val="20"/>
              </w:rPr>
              <w:t>标</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数量指标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新冠监测采集样本量</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≥500份</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≥500份</w:t>
            </w:r>
          </w:p>
        </w:tc>
      </w:tr>
      <w:tr>
        <w:tblPrEx>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质量指标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监测完成率</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100%</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100%</w:t>
            </w:r>
          </w:p>
        </w:tc>
      </w:tr>
      <w:tr>
        <w:tblPrEx>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时效指标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完成时间</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2021年12月31日前</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2021年12月31日前</w:t>
            </w:r>
          </w:p>
        </w:tc>
      </w:tr>
      <w:tr>
        <w:tblPrEx>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成本指标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完成成本</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104.48万元</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104.48万元</w:t>
            </w:r>
          </w:p>
        </w:tc>
      </w:tr>
      <w:tr>
        <w:tblPrEx>
          <w:tblCellMar>
            <w:top w:w="0" w:type="dxa"/>
            <w:left w:w="0" w:type="dxa"/>
            <w:bottom w:w="0" w:type="dxa"/>
            <w:right w:w="0" w:type="dxa"/>
          </w:tblCellMar>
        </w:tblPrEx>
        <w:trPr>
          <w:trHeight w:val="259"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ascii="宋体" w:hAnsi="宋体" w:cs="宋体"/>
                <w:b/>
                <w:bCs/>
                <w:spacing w:val="6"/>
                <w:sz w:val="20"/>
                <w:szCs w:val="20"/>
              </w:rPr>
              <w:t>效</w:t>
            </w:r>
            <w:r>
              <w:rPr>
                <w:rFonts w:ascii="宋体" w:hAnsi="宋体" w:cs="宋体"/>
                <w:b/>
                <w:bCs/>
                <w:spacing w:val="6"/>
                <w:sz w:val="20"/>
                <w:szCs w:val="20"/>
              </w:rPr>
              <w:br w:type="textWrapping"/>
            </w:r>
            <w:r>
              <w:rPr>
                <w:rFonts w:ascii="宋体" w:hAnsi="宋体" w:cs="宋体"/>
                <w:b/>
                <w:bCs/>
                <w:spacing w:val="6"/>
                <w:sz w:val="20"/>
                <w:szCs w:val="20"/>
              </w:rPr>
              <w:t>益</w:t>
            </w:r>
            <w:r>
              <w:rPr>
                <w:rFonts w:ascii="宋体" w:hAnsi="宋体" w:cs="宋体"/>
                <w:b/>
                <w:bCs/>
                <w:spacing w:val="6"/>
                <w:sz w:val="20"/>
                <w:szCs w:val="20"/>
              </w:rPr>
              <w:br w:type="textWrapping"/>
            </w:r>
            <w:r>
              <w:rPr>
                <w:rFonts w:ascii="宋体" w:hAnsi="宋体" w:cs="宋体"/>
                <w:b/>
                <w:bCs/>
                <w:spacing w:val="6"/>
                <w:sz w:val="20"/>
                <w:szCs w:val="20"/>
              </w:rPr>
              <w:t>指</w:t>
            </w:r>
            <w:r>
              <w:rPr>
                <w:rFonts w:ascii="宋体" w:hAnsi="宋体" w:cs="宋体"/>
                <w:b/>
                <w:bCs/>
                <w:spacing w:val="6"/>
                <w:sz w:val="20"/>
                <w:szCs w:val="20"/>
              </w:rPr>
              <w:br w:type="textWrapping"/>
            </w:r>
            <w:r>
              <w:rPr>
                <w:rFonts w:ascii="宋体" w:hAnsi="宋体" w:cs="宋体"/>
                <w:b/>
                <w:bCs/>
                <w:spacing w:val="6"/>
                <w:sz w:val="20"/>
                <w:szCs w:val="20"/>
              </w:rPr>
              <w:t>标</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经济效益指标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经济效益</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无</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无</w:t>
            </w:r>
          </w:p>
        </w:tc>
      </w:tr>
      <w:tr>
        <w:tblPrEx>
          <w:tblCellMar>
            <w:top w:w="0" w:type="dxa"/>
            <w:left w:w="0" w:type="dxa"/>
            <w:bottom w:w="0" w:type="dxa"/>
            <w:right w:w="0" w:type="dxa"/>
          </w:tblCellMar>
        </w:tblPrEx>
        <w:trPr>
          <w:trHeight w:val="255"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left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社会效益</w:t>
            </w:r>
          </w:p>
          <w:p>
            <w:pPr>
              <w:spacing w:line="240" w:lineRule="atLeast"/>
              <w:jc w:val="center"/>
              <w:rPr>
                <w:rFonts w:ascii="宋体" w:hAnsi="宋体" w:cs="宋体"/>
                <w:spacing w:val="6"/>
                <w:sz w:val="20"/>
                <w:szCs w:val="20"/>
              </w:rPr>
            </w:pPr>
            <w:r>
              <w:rPr>
                <w:rFonts w:ascii="宋体" w:hAnsi="宋体" w:cs="宋体"/>
                <w:spacing w:val="6"/>
                <w:sz w:val="20"/>
                <w:szCs w:val="20"/>
              </w:rPr>
              <w:t>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传染病疫情预警</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及时有效</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及时有效</w:t>
            </w:r>
          </w:p>
        </w:tc>
      </w:tr>
      <w:tr>
        <w:tblPrEx>
          <w:tblCellMar>
            <w:top w:w="0" w:type="dxa"/>
            <w:left w:w="0" w:type="dxa"/>
            <w:bottom w:w="0" w:type="dxa"/>
            <w:right w:w="0" w:type="dxa"/>
          </w:tblCellMar>
        </w:tblPrEx>
        <w:trPr>
          <w:trHeight w:val="588"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left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生态</w:t>
            </w:r>
            <w:r>
              <w:rPr>
                <w:rFonts w:ascii="宋体" w:hAnsi="宋体" w:cs="宋体"/>
                <w:spacing w:val="6"/>
                <w:sz w:val="20"/>
                <w:szCs w:val="20"/>
              </w:rPr>
              <w:t>效益</w:t>
            </w:r>
          </w:p>
          <w:p>
            <w:pPr>
              <w:spacing w:line="240" w:lineRule="atLeast"/>
              <w:jc w:val="center"/>
              <w:rPr>
                <w:rFonts w:ascii="宋体" w:hAnsi="宋体" w:cs="宋体"/>
                <w:spacing w:val="6"/>
                <w:sz w:val="20"/>
                <w:szCs w:val="20"/>
              </w:rPr>
            </w:pPr>
            <w:r>
              <w:rPr>
                <w:rFonts w:ascii="宋体" w:hAnsi="宋体" w:cs="宋体"/>
                <w:spacing w:val="6"/>
                <w:sz w:val="20"/>
                <w:szCs w:val="20"/>
              </w:rPr>
              <w:t>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生态效益</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无影响生态环境的因素</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无影响生态环境的因素</w:t>
            </w:r>
          </w:p>
        </w:tc>
      </w:tr>
      <w:tr>
        <w:tblPrEx>
          <w:tblCellMar>
            <w:top w:w="0" w:type="dxa"/>
            <w:left w:w="0" w:type="dxa"/>
            <w:bottom w:w="0" w:type="dxa"/>
            <w:right w:w="0" w:type="dxa"/>
          </w:tblCellMar>
        </w:tblPrEx>
        <w:trPr>
          <w:trHeight w:val="550"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可持续影响指标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持续影响年限</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1年</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1年</w:t>
            </w:r>
          </w:p>
        </w:tc>
      </w:tr>
      <w:tr>
        <w:tblPrEx>
          <w:tblCellMar>
            <w:top w:w="0" w:type="dxa"/>
            <w:left w:w="0" w:type="dxa"/>
            <w:bottom w:w="0" w:type="dxa"/>
            <w:right w:w="0" w:type="dxa"/>
          </w:tblCellMar>
        </w:tblPrEx>
        <w:trPr>
          <w:trHeight w:val="90"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ascii="宋体" w:hAnsi="宋体" w:cs="宋体"/>
                <w:b/>
                <w:bCs/>
                <w:spacing w:val="6"/>
                <w:sz w:val="20"/>
                <w:szCs w:val="20"/>
              </w:rPr>
              <w:t>满意</w:t>
            </w:r>
            <w:r>
              <w:rPr>
                <w:rFonts w:ascii="宋体" w:hAnsi="宋体" w:cs="宋体"/>
                <w:b/>
                <w:bCs/>
                <w:spacing w:val="6"/>
                <w:sz w:val="20"/>
                <w:szCs w:val="20"/>
              </w:rPr>
              <w:br w:type="textWrapping"/>
            </w:r>
            <w:r>
              <w:rPr>
                <w:rFonts w:ascii="宋体" w:hAnsi="宋体" w:cs="宋体"/>
                <w:b/>
                <w:bCs/>
                <w:spacing w:val="6"/>
                <w:sz w:val="20"/>
                <w:szCs w:val="20"/>
              </w:rPr>
              <w:t>度指</w:t>
            </w:r>
            <w:r>
              <w:rPr>
                <w:rFonts w:ascii="宋体" w:hAnsi="宋体" w:cs="宋体"/>
                <w:b/>
                <w:bCs/>
                <w:spacing w:val="6"/>
                <w:sz w:val="20"/>
                <w:szCs w:val="20"/>
              </w:rPr>
              <w:br w:type="textWrapping"/>
            </w:r>
            <w:r>
              <w:rPr>
                <w:rFonts w:ascii="宋体" w:hAnsi="宋体" w:cs="宋体"/>
                <w:b/>
                <w:bCs/>
                <w:spacing w:val="6"/>
                <w:sz w:val="20"/>
                <w:szCs w:val="20"/>
              </w:rPr>
              <w:t>标</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满意度指标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各相关部门</w:t>
            </w:r>
          </w:p>
          <w:p>
            <w:pPr>
              <w:spacing w:line="240" w:lineRule="atLeast"/>
              <w:jc w:val="center"/>
              <w:rPr>
                <w:rFonts w:ascii="宋体" w:hAnsi="宋体" w:cs="宋体"/>
                <w:spacing w:val="6"/>
                <w:sz w:val="20"/>
                <w:szCs w:val="20"/>
              </w:rPr>
            </w:pPr>
            <w:r>
              <w:rPr>
                <w:rFonts w:ascii="宋体" w:hAnsi="宋体" w:cs="宋体"/>
                <w:spacing w:val="6"/>
                <w:sz w:val="20"/>
                <w:szCs w:val="20"/>
              </w:rPr>
              <w:t>满意度</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&gt;9</w:t>
            </w:r>
            <w:r>
              <w:rPr>
                <w:rFonts w:hint="eastAsia" w:ascii="宋体" w:hAnsi="宋体" w:cs="宋体"/>
                <w:spacing w:val="6"/>
                <w:sz w:val="20"/>
                <w:szCs w:val="20"/>
              </w:rPr>
              <w:t>0</w:t>
            </w:r>
            <w:r>
              <w:rPr>
                <w:rFonts w:ascii="宋体" w:hAnsi="宋体" w:cs="宋体"/>
                <w:spacing w:val="6"/>
                <w:sz w:val="20"/>
                <w:szCs w:val="20"/>
              </w:rPr>
              <w:t>%</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&gt;9</w:t>
            </w:r>
            <w:r>
              <w:rPr>
                <w:rFonts w:hint="eastAsia" w:ascii="宋体" w:hAnsi="宋体" w:cs="宋体"/>
                <w:spacing w:val="6"/>
                <w:sz w:val="20"/>
                <w:szCs w:val="20"/>
              </w:rPr>
              <w:t>0</w:t>
            </w:r>
            <w:r>
              <w:rPr>
                <w:rFonts w:ascii="宋体" w:hAnsi="宋体" w:cs="宋体"/>
                <w:spacing w:val="6"/>
                <w:sz w:val="20"/>
                <w:szCs w:val="20"/>
              </w:rPr>
              <w:t>%</w:t>
            </w:r>
          </w:p>
        </w:tc>
      </w:tr>
    </w:tbl>
    <w:p>
      <w:pPr>
        <w:pStyle w:val="6"/>
        <w:spacing w:before="93"/>
        <w:rPr>
          <w:rStyle w:val="26"/>
          <w:rFonts w:ascii="黑体" w:hAnsi="黑体" w:eastAsia="黑体"/>
          <w:b w:val="0"/>
        </w:rPr>
      </w:pPr>
    </w:p>
    <w:p>
      <w:pPr>
        <w:spacing w:line="580" w:lineRule="exact"/>
        <w:ind w:firstLine="640"/>
        <w:jc w:val="center"/>
        <w:rPr>
          <w:rFonts w:eastAsia="仿宋_GB2312"/>
          <w:b/>
          <w:bCs/>
          <w:sz w:val="32"/>
          <w:szCs w:val="32"/>
        </w:rPr>
      </w:pPr>
      <w:r>
        <w:rPr>
          <w:rFonts w:hint="eastAsia" w:eastAsia="仿宋_GB2312"/>
          <w:b/>
          <w:bCs/>
          <w:sz w:val="32"/>
          <w:szCs w:val="32"/>
        </w:rPr>
        <w:t>（六）2020年公共卫生体系建设和重大疫情防控救治体系建设项目</w:t>
      </w:r>
    </w:p>
    <w:tbl>
      <w:tblPr>
        <w:tblStyle w:val="14"/>
        <w:tblW w:w="8862" w:type="dxa"/>
        <w:tblInd w:w="0" w:type="dxa"/>
        <w:tblLayout w:type="autofit"/>
        <w:tblCellMar>
          <w:top w:w="0" w:type="dxa"/>
          <w:left w:w="0" w:type="dxa"/>
          <w:bottom w:w="0" w:type="dxa"/>
          <w:right w:w="0" w:type="dxa"/>
        </w:tblCellMar>
      </w:tblPr>
      <w:tblGrid>
        <w:gridCol w:w="722"/>
        <w:gridCol w:w="1193"/>
        <w:gridCol w:w="1290"/>
        <w:gridCol w:w="540"/>
        <w:gridCol w:w="1205"/>
        <w:gridCol w:w="1927"/>
        <w:gridCol w:w="1985"/>
      </w:tblGrid>
      <w:tr>
        <w:tblPrEx>
          <w:tblCellMar>
            <w:top w:w="0" w:type="dxa"/>
            <w:left w:w="0" w:type="dxa"/>
            <w:bottom w:w="0" w:type="dxa"/>
            <w:right w:w="0" w:type="dxa"/>
          </w:tblCellMar>
        </w:tblPrEx>
        <w:trPr>
          <w:trHeight w:val="396" w:hRule="atLeast"/>
        </w:trPr>
        <w:tc>
          <w:tcPr>
            <w:tcW w:w="19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b/>
                <w:bCs/>
                <w:spacing w:val="6"/>
                <w:sz w:val="20"/>
                <w:szCs w:val="20"/>
              </w:rPr>
            </w:pPr>
            <w:r>
              <w:rPr>
                <w:rFonts w:hint="eastAsia" w:ascii="宋体" w:hAnsi="宋体" w:cs="宋体"/>
                <w:b/>
                <w:bCs/>
                <w:spacing w:val="6"/>
                <w:sz w:val="20"/>
                <w:szCs w:val="20"/>
              </w:rPr>
              <w:t>项目名称</w:t>
            </w:r>
          </w:p>
        </w:tc>
        <w:tc>
          <w:tcPr>
            <w:tcW w:w="694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b/>
                <w:bCs/>
                <w:spacing w:val="6"/>
                <w:sz w:val="20"/>
                <w:szCs w:val="20"/>
              </w:rPr>
            </w:pPr>
            <w:r>
              <w:rPr>
                <w:rFonts w:hint="eastAsia" w:ascii="宋体" w:hAnsi="宋体" w:cs="宋体"/>
                <w:b/>
                <w:bCs/>
                <w:spacing w:val="6"/>
                <w:sz w:val="20"/>
                <w:szCs w:val="20"/>
              </w:rPr>
              <w:t>2020年公共卫生体系建设和重大疫情防控救治体系建设</w:t>
            </w:r>
          </w:p>
        </w:tc>
      </w:tr>
      <w:tr>
        <w:tblPrEx>
          <w:tblCellMar>
            <w:top w:w="0" w:type="dxa"/>
            <w:left w:w="0" w:type="dxa"/>
            <w:bottom w:w="0" w:type="dxa"/>
            <w:right w:w="0" w:type="dxa"/>
          </w:tblCellMar>
        </w:tblPrEx>
        <w:trPr>
          <w:trHeight w:val="762" w:hRule="atLeast"/>
        </w:trPr>
        <w:tc>
          <w:tcPr>
            <w:tcW w:w="19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主管部门及代码</w:t>
            </w:r>
          </w:p>
        </w:tc>
        <w:tc>
          <w:tcPr>
            <w:tcW w:w="303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四川省广安市卫生健康委员会-304001</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实施单位</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四川省广安市疾病预防控制中心</w:t>
            </w:r>
          </w:p>
        </w:tc>
      </w:tr>
      <w:tr>
        <w:tblPrEx>
          <w:tblCellMar>
            <w:top w:w="0" w:type="dxa"/>
            <w:left w:w="0" w:type="dxa"/>
            <w:bottom w:w="0" w:type="dxa"/>
            <w:right w:w="0" w:type="dxa"/>
          </w:tblCellMar>
        </w:tblPrEx>
        <w:trPr>
          <w:trHeight w:val="396" w:hRule="atLeast"/>
        </w:trPr>
        <w:tc>
          <w:tcPr>
            <w:tcW w:w="191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项目预算</w:t>
            </w:r>
            <w:r>
              <w:rPr>
                <w:rFonts w:hint="eastAsia" w:ascii="宋体" w:hAnsi="宋体" w:cs="宋体"/>
                <w:b/>
                <w:bCs/>
                <w:spacing w:val="6"/>
                <w:sz w:val="20"/>
                <w:szCs w:val="20"/>
              </w:rPr>
              <w:br w:type="textWrapping"/>
            </w:r>
            <w:r>
              <w:rPr>
                <w:rFonts w:hint="eastAsia" w:ascii="宋体" w:hAnsi="宋体" w:cs="宋体"/>
                <w:b/>
                <w:bCs/>
                <w:spacing w:val="6"/>
                <w:sz w:val="20"/>
                <w:szCs w:val="20"/>
              </w:rPr>
              <w:t>执行情况</w:t>
            </w:r>
            <w:r>
              <w:rPr>
                <w:rFonts w:hint="eastAsia" w:ascii="宋体" w:hAnsi="宋体" w:cs="宋体"/>
                <w:b/>
                <w:bCs/>
                <w:spacing w:val="6"/>
                <w:sz w:val="20"/>
                <w:szCs w:val="20"/>
              </w:rPr>
              <w:br w:type="textWrapping"/>
            </w:r>
            <w:r>
              <w:rPr>
                <w:rFonts w:hint="eastAsia" w:ascii="宋体" w:hAnsi="宋体" w:cs="宋体"/>
                <w:b/>
                <w:bCs/>
                <w:spacing w:val="6"/>
                <w:sz w:val="20"/>
                <w:szCs w:val="20"/>
              </w:rPr>
              <w:t>（万元）</w:t>
            </w:r>
          </w:p>
        </w:tc>
        <w:tc>
          <w:tcPr>
            <w:tcW w:w="18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预算数：</w:t>
            </w:r>
          </w:p>
        </w:tc>
        <w:tc>
          <w:tcPr>
            <w:tcW w:w="1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896.86</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执行数：</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860.08</w:t>
            </w:r>
          </w:p>
        </w:tc>
      </w:tr>
      <w:tr>
        <w:tblPrEx>
          <w:tblCellMar>
            <w:top w:w="0" w:type="dxa"/>
            <w:left w:w="0" w:type="dxa"/>
            <w:bottom w:w="0" w:type="dxa"/>
            <w:right w:w="0" w:type="dxa"/>
          </w:tblCellMar>
        </w:tblPrEx>
        <w:trPr>
          <w:trHeight w:val="762" w:hRule="atLeast"/>
        </w:trPr>
        <w:tc>
          <w:tcPr>
            <w:tcW w:w="191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8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其中：财政拨款</w:t>
            </w:r>
          </w:p>
        </w:tc>
        <w:tc>
          <w:tcPr>
            <w:tcW w:w="1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896.86</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其中：财政拨款</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860.08</w:t>
            </w:r>
          </w:p>
        </w:tc>
      </w:tr>
      <w:tr>
        <w:tblPrEx>
          <w:tblCellMar>
            <w:top w:w="0" w:type="dxa"/>
            <w:left w:w="0" w:type="dxa"/>
            <w:bottom w:w="0" w:type="dxa"/>
            <w:right w:w="0" w:type="dxa"/>
          </w:tblCellMar>
        </w:tblPrEx>
        <w:trPr>
          <w:trHeight w:val="762" w:hRule="atLeast"/>
        </w:trPr>
        <w:tc>
          <w:tcPr>
            <w:tcW w:w="191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8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其他资金</w:t>
            </w:r>
          </w:p>
        </w:tc>
        <w:tc>
          <w:tcPr>
            <w:tcW w:w="1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0.0</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其他资金</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0.0</w:t>
            </w:r>
          </w:p>
        </w:tc>
      </w:tr>
      <w:tr>
        <w:tblPrEx>
          <w:tblCellMar>
            <w:top w:w="0" w:type="dxa"/>
            <w:left w:w="0" w:type="dxa"/>
            <w:bottom w:w="0" w:type="dxa"/>
            <w:right w:w="0" w:type="dxa"/>
          </w:tblCellMar>
        </w:tblPrEx>
        <w:trPr>
          <w:trHeight w:val="396" w:hRule="atLeast"/>
        </w:trPr>
        <w:tc>
          <w:tcPr>
            <w:tcW w:w="7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br w:type="textWrapping"/>
            </w:r>
            <w:r>
              <w:rPr>
                <w:rFonts w:hint="eastAsia" w:ascii="宋体" w:hAnsi="宋体" w:cs="宋体"/>
                <w:b/>
                <w:bCs/>
                <w:spacing w:val="6"/>
                <w:sz w:val="20"/>
                <w:szCs w:val="20"/>
              </w:rPr>
              <w:t>年度</w:t>
            </w:r>
          </w:p>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总体</w:t>
            </w:r>
          </w:p>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目标</w:t>
            </w:r>
          </w:p>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完成</w:t>
            </w:r>
          </w:p>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情况</w:t>
            </w:r>
          </w:p>
        </w:tc>
        <w:tc>
          <w:tcPr>
            <w:tcW w:w="422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预期目标</w:t>
            </w:r>
          </w:p>
        </w:tc>
        <w:tc>
          <w:tcPr>
            <w:tcW w:w="3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目标实际完成情况</w:t>
            </w:r>
          </w:p>
        </w:tc>
      </w:tr>
      <w:tr>
        <w:tblPrEx>
          <w:tblCellMar>
            <w:top w:w="0" w:type="dxa"/>
            <w:left w:w="0" w:type="dxa"/>
            <w:bottom w:w="0" w:type="dxa"/>
            <w:right w:w="0" w:type="dxa"/>
          </w:tblCellMar>
        </w:tblPrEx>
        <w:trPr>
          <w:trHeight w:val="1684" w:hRule="atLeast"/>
        </w:trPr>
        <w:tc>
          <w:tcPr>
            <w:tcW w:w="7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422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rPr>
                <w:rFonts w:ascii="宋体" w:hAnsi="宋体" w:cs="宋体"/>
                <w:spacing w:val="6"/>
                <w:sz w:val="20"/>
                <w:szCs w:val="20"/>
              </w:rPr>
            </w:pPr>
            <w:r>
              <w:rPr>
                <w:rFonts w:hint="eastAsia" w:ascii="宋体" w:hAnsi="宋体" w:cs="宋体"/>
                <w:spacing w:val="6"/>
                <w:sz w:val="20"/>
                <w:szCs w:val="20"/>
              </w:rPr>
              <w:t>配齐配强生活饮用水“两虫”快速检测设备、全自动微生物快速质谱检测系统、超高效液相三重四极杆液质联用仪等检验检测设备和应急设备。补齐短板，填补检验检测项目空白，结束广安市健康危害因素监测中部分参数外送检测历史，更好地维护和保障人民群众生命安全和身体健康。</w:t>
            </w:r>
          </w:p>
        </w:tc>
        <w:tc>
          <w:tcPr>
            <w:tcW w:w="3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rPr>
                <w:rFonts w:ascii="宋体" w:hAnsi="宋体" w:cs="宋体"/>
                <w:spacing w:val="6"/>
                <w:sz w:val="20"/>
                <w:szCs w:val="20"/>
              </w:rPr>
            </w:pPr>
            <w:r>
              <w:rPr>
                <w:rFonts w:hint="eastAsia" w:ascii="宋体" w:hAnsi="宋体" w:cs="宋体"/>
                <w:spacing w:val="6"/>
                <w:sz w:val="20"/>
                <w:szCs w:val="20"/>
              </w:rPr>
              <w:t>配齐配强生活饮用水“两虫”快速检测设备、全自动微生物快速质谱检测系统、超高效液相三重四极杆液质联用仪等检验检测设备和应急设备。补齐短板，填补检验检测项目空白，结束广安市健康危害因素监测中部分参数外送检测历史，更好地维护和保障人民群众生命安全和身体健康。</w:t>
            </w:r>
          </w:p>
        </w:tc>
      </w:tr>
      <w:tr>
        <w:tblPrEx>
          <w:tblCellMar>
            <w:top w:w="0" w:type="dxa"/>
            <w:left w:w="0" w:type="dxa"/>
            <w:bottom w:w="0" w:type="dxa"/>
            <w:right w:w="0" w:type="dxa"/>
          </w:tblCellMar>
        </w:tblPrEx>
        <w:trPr>
          <w:trHeight w:val="629" w:hRule="atLeast"/>
        </w:trPr>
        <w:tc>
          <w:tcPr>
            <w:tcW w:w="722"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hint="eastAsia" w:ascii="宋体" w:hAnsi="宋体" w:cs="宋体"/>
                <w:b/>
                <w:bCs/>
                <w:spacing w:val="6"/>
                <w:sz w:val="20"/>
                <w:szCs w:val="20"/>
              </w:rPr>
              <w:t>年度绩效指标完成情况</w:t>
            </w:r>
          </w:p>
        </w:tc>
        <w:tc>
          <w:tcPr>
            <w:tcW w:w="119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b/>
                <w:bCs/>
                <w:spacing w:val="6"/>
                <w:sz w:val="20"/>
                <w:szCs w:val="20"/>
              </w:rPr>
              <w:t>一级指标</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二级指标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三级指标</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预期指标值</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实际完成指标值</w:t>
            </w:r>
          </w:p>
        </w:tc>
      </w:tr>
      <w:tr>
        <w:tblPrEx>
          <w:tblCellMar>
            <w:top w:w="0" w:type="dxa"/>
            <w:left w:w="0" w:type="dxa"/>
            <w:bottom w:w="0" w:type="dxa"/>
            <w:right w:w="0" w:type="dxa"/>
          </w:tblCellMar>
        </w:tblPrEx>
        <w:trPr>
          <w:trHeight w:val="295"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ascii="宋体" w:hAnsi="宋体" w:cs="宋体"/>
                <w:b/>
                <w:bCs/>
                <w:spacing w:val="6"/>
                <w:sz w:val="20"/>
                <w:szCs w:val="20"/>
              </w:rPr>
              <w:t>完</w:t>
            </w:r>
            <w:r>
              <w:rPr>
                <w:rFonts w:ascii="宋体" w:hAnsi="宋体" w:cs="宋体"/>
                <w:b/>
                <w:bCs/>
                <w:spacing w:val="6"/>
                <w:sz w:val="20"/>
                <w:szCs w:val="20"/>
              </w:rPr>
              <w:br w:type="textWrapping"/>
            </w:r>
            <w:r>
              <w:rPr>
                <w:rFonts w:ascii="宋体" w:hAnsi="宋体" w:cs="宋体"/>
                <w:b/>
                <w:bCs/>
                <w:spacing w:val="6"/>
                <w:sz w:val="20"/>
                <w:szCs w:val="20"/>
              </w:rPr>
              <w:t>成</w:t>
            </w:r>
            <w:r>
              <w:rPr>
                <w:rFonts w:ascii="宋体" w:hAnsi="宋体" w:cs="宋体"/>
                <w:b/>
                <w:bCs/>
                <w:spacing w:val="6"/>
                <w:sz w:val="20"/>
                <w:szCs w:val="20"/>
              </w:rPr>
              <w:br w:type="textWrapping"/>
            </w:r>
            <w:r>
              <w:rPr>
                <w:rFonts w:ascii="宋体" w:hAnsi="宋体" w:cs="宋体"/>
                <w:b/>
                <w:bCs/>
                <w:spacing w:val="6"/>
                <w:sz w:val="20"/>
                <w:szCs w:val="20"/>
              </w:rPr>
              <w:t>指</w:t>
            </w:r>
            <w:r>
              <w:rPr>
                <w:rFonts w:ascii="宋体" w:hAnsi="宋体" w:cs="宋体"/>
                <w:b/>
                <w:bCs/>
                <w:spacing w:val="6"/>
                <w:sz w:val="20"/>
                <w:szCs w:val="20"/>
              </w:rPr>
              <w:br w:type="textWrapping"/>
            </w:r>
            <w:r>
              <w:rPr>
                <w:rFonts w:ascii="宋体" w:hAnsi="宋体" w:cs="宋体"/>
                <w:b/>
                <w:bCs/>
                <w:spacing w:val="6"/>
                <w:sz w:val="20"/>
                <w:szCs w:val="20"/>
              </w:rPr>
              <w:t>标</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数量指标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设备数量</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≥10台（件）</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≥10台（件）</w:t>
            </w:r>
          </w:p>
        </w:tc>
      </w:tr>
      <w:tr>
        <w:tblPrEx>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质量指标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采购设备达标率</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≥95%</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≥95%</w:t>
            </w:r>
          </w:p>
        </w:tc>
      </w:tr>
      <w:tr>
        <w:tblPrEx>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时效指标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完成时间</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2021年12月31日前</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2021年12月31日前</w:t>
            </w:r>
          </w:p>
        </w:tc>
      </w:tr>
      <w:tr>
        <w:tblPrEx>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成本指标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完成成本</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896.86万元</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860.08万元</w:t>
            </w:r>
          </w:p>
        </w:tc>
      </w:tr>
      <w:tr>
        <w:tblPrEx>
          <w:tblCellMar>
            <w:top w:w="0" w:type="dxa"/>
            <w:left w:w="0" w:type="dxa"/>
            <w:bottom w:w="0" w:type="dxa"/>
            <w:right w:w="0" w:type="dxa"/>
          </w:tblCellMar>
        </w:tblPrEx>
        <w:trPr>
          <w:trHeight w:val="829"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ascii="宋体" w:hAnsi="宋体" w:cs="宋体"/>
                <w:b/>
                <w:bCs/>
                <w:spacing w:val="6"/>
                <w:sz w:val="20"/>
                <w:szCs w:val="20"/>
              </w:rPr>
              <w:t>效</w:t>
            </w:r>
            <w:r>
              <w:rPr>
                <w:rFonts w:ascii="宋体" w:hAnsi="宋体" w:cs="宋体"/>
                <w:b/>
                <w:bCs/>
                <w:spacing w:val="6"/>
                <w:sz w:val="20"/>
                <w:szCs w:val="20"/>
              </w:rPr>
              <w:br w:type="textWrapping"/>
            </w:r>
            <w:r>
              <w:rPr>
                <w:rFonts w:ascii="宋体" w:hAnsi="宋体" w:cs="宋体"/>
                <w:b/>
                <w:bCs/>
                <w:spacing w:val="6"/>
                <w:sz w:val="20"/>
                <w:szCs w:val="20"/>
              </w:rPr>
              <w:t>益</w:t>
            </w:r>
            <w:r>
              <w:rPr>
                <w:rFonts w:ascii="宋体" w:hAnsi="宋体" w:cs="宋体"/>
                <w:b/>
                <w:bCs/>
                <w:spacing w:val="6"/>
                <w:sz w:val="20"/>
                <w:szCs w:val="20"/>
              </w:rPr>
              <w:br w:type="textWrapping"/>
            </w:r>
            <w:r>
              <w:rPr>
                <w:rFonts w:ascii="宋体" w:hAnsi="宋体" w:cs="宋体"/>
                <w:b/>
                <w:bCs/>
                <w:spacing w:val="6"/>
                <w:sz w:val="20"/>
                <w:szCs w:val="20"/>
              </w:rPr>
              <w:t>指</w:t>
            </w:r>
            <w:r>
              <w:rPr>
                <w:rFonts w:ascii="宋体" w:hAnsi="宋体" w:cs="宋体"/>
                <w:b/>
                <w:bCs/>
                <w:spacing w:val="6"/>
                <w:sz w:val="20"/>
                <w:szCs w:val="20"/>
              </w:rPr>
              <w:br w:type="textWrapping"/>
            </w:r>
            <w:r>
              <w:rPr>
                <w:rFonts w:ascii="宋体" w:hAnsi="宋体" w:cs="宋体"/>
                <w:b/>
                <w:bCs/>
                <w:spacing w:val="6"/>
                <w:sz w:val="20"/>
                <w:szCs w:val="20"/>
              </w:rPr>
              <w:t>标</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经济效益指标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经济效益</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无</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无</w:t>
            </w:r>
          </w:p>
        </w:tc>
      </w:tr>
      <w:tr>
        <w:tblPrEx>
          <w:tblCellMar>
            <w:top w:w="0" w:type="dxa"/>
            <w:left w:w="0" w:type="dxa"/>
            <w:bottom w:w="0" w:type="dxa"/>
            <w:right w:w="0" w:type="dxa"/>
          </w:tblCellMar>
        </w:tblPrEx>
        <w:trPr>
          <w:trHeight w:val="1000"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left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社会效益</w:t>
            </w:r>
          </w:p>
          <w:p>
            <w:pPr>
              <w:spacing w:line="240" w:lineRule="atLeast"/>
              <w:jc w:val="center"/>
              <w:rPr>
                <w:rFonts w:ascii="宋体" w:hAnsi="宋体" w:cs="宋体"/>
                <w:spacing w:val="6"/>
                <w:sz w:val="20"/>
                <w:szCs w:val="20"/>
              </w:rPr>
            </w:pPr>
            <w:r>
              <w:rPr>
                <w:rFonts w:ascii="宋体" w:hAnsi="宋体" w:cs="宋体"/>
                <w:spacing w:val="6"/>
                <w:sz w:val="20"/>
                <w:szCs w:val="20"/>
              </w:rPr>
              <w:t>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传染病检测水平</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得到提高</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得到提高</w:t>
            </w:r>
          </w:p>
        </w:tc>
      </w:tr>
      <w:tr>
        <w:tblPrEx>
          <w:tblCellMar>
            <w:top w:w="0" w:type="dxa"/>
            <w:left w:w="0" w:type="dxa"/>
            <w:bottom w:w="0" w:type="dxa"/>
            <w:right w:w="0" w:type="dxa"/>
          </w:tblCellMar>
        </w:tblPrEx>
        <w:trPr>
          <w:trHeight w:val="588"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left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生态</w:t>
            </w:r>
            <w:r>
              <w:rPr>
                <w:rFonts w:ascii="宋体" w:hAnsi="宋体" w:cs="宋体"/>
                <w:spacing w:val="6"/>
                <w:sz w:val="20"/>
                <w:szCs w:val="20"/>
              </w:rPr>
              <w:t>效益</w:t>
            </w:r>
          </w:p>
          <w:p>
            <w:pPr>
              <w:spacing w:line="240" w:lineRule="atLeast"/>
              <w:jc w:val="center"/>
              <w:rPr>
                <w:rFonts w:ascii="宋体" w:hAnsi="宋体" w:cs="宋体"/>
                <w:spacing w:val="6"/>
                <w:sz w:val="20"/>
                <w:szCs w:val="20"/>
              </w:rPr>
            </w:pPr>
            <w:r>
              <w:rPr>
                <w:rFonts w:ascii="宋体" w:hAnsi="宋体" w:cs="宋体"/>
                <w:spacing w:val="6"/>
                <w:sz w:val="20"/>
                <w:szCs w:val="20"/>
              </w:rPr>
              <w:t>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生态效益</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无影响生态环境的因素</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无影响生态环境的因素</w:t>
            </w:r>
          </w:p>
        </w:tc>
      </w:tr>
      <w:tr>
        <w:tblPrEx>
          <w:tblCellMar>
            <w:top w:w="0" w:type="dxa"/>
            <w:left w:w="0" w:type="dxa"/>
            <w:bottom w:w="0" w:type="dxa"/>
            <w:right w:w="0" w:type="dxa"/>
          </w:tblCellMar>
        </w:tblPrEx>
        <w:trPr>
          <w:trHeight w:val="550"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可持续影响指标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持续影响年限</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长期</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hint="eastAsia" w:ascii="宋体" w:hAnsi="宋体" w:cs="宋体"/>
                <w:spacing w:val="6"/>
                <w:sz w:val="20"/>
                <w:szCs w:val="20"/>
              </w:rPr>
              <w:t>长期</w:t>
            </w:r>
          </w:p>
        </w:tc>
      </w:tr>
      <w:tr>
        <w:tblPrEx>
          <w:tblCellMar>
            <w:top w:w="0" w:type="dxa"/>
            <w:left w:w="0" w:type="dxa"/>
            <w:bottom w:w="0" w:type="dxa"/>
            <w:right w:w="0" w:type="dxa"/>
          </w:tblCellMar>
        </w:tblPrEx>
        <w:trPr>
          <w:trHeight w:val="90" w:hRule="atLeast"/>
        </w:trPr>
        <w:tc>
          <w:tcPr>
            <w:tcW w:w="7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p>
        </w:tc>
        <w:tc>
          <w:tcPr>
            <w:tcW w:w="1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b/>
                <w:bCs/>
                <w:spacing w:val="6"/>
                <w:sz w:val="20"/>
                <w:szCs w:val="20"/>
              </w:rPr>
            </w:pPr>
            <w:r>
              <w:rPr>
                <w:rFonts w:ascii="宋体" w:hAnsi="宋体" w:cs="宋体"/>
                <w:b/>
                <w:bCs/>
                <w:spacing w:val="6"/>
                <w:sz w:val="20"/>
                <w:szCs w:val="20"/>
              </w:rPr>
              <w:t>满意</w:t>
            </w:r>
            <w:r>
              <w:rPr>
                <w:rFonts w:ascii="宋体" w:hAnsi="宋体" w:cs="宋体"/>
                <w:b/>
                <w:bCs/>
                <w:spacing w:val="6"/>
                <w:sz w:val="20"/>
                <w:szCs w:val="20"/>
              </w:rPr>
              <w:br w:type="textWrapping"/>
            </w:r>
            <w:r>
              <w:rPr>
                <w:rFonts w:ascii="宋体" w:hAnsi="宋体" w:cs="宋体"/>
                <w:b/>
                <w:bCs/>
                <w:spacing w:val="6"/>
                <w:sz w:val="20"/>
                <w:szCs w:val="20"/>
              </w:rPr>
              <w:t>度指</w:t>
            </w:r>
            <w:r>
              <w:rPr>
                <w:rFonts w:ascii="宋体" w:hAnsi="宋体" w:cs="宋体"/>
                <w:b/>
                <w:bCs/>
                <w:spacing w:val="6"/>
                <w:sz w:val="20"/>
                <w:szCs w:val="20"/>
              </w:rPr>
              <w:br w:type="textWrapping"/>
            </w:r>
            <w:r>
              <w:rPr>
                <w:rFonts w:ascii="宋体" w:hAnsi="宋体" w:cs="宋体"/>
                <w:b/>
                <w:bCs/>
                <w:spacing w:val="6"/>
                <w:sz w:val="20"/>
                <w:szCs w:val="20"/>
              </w:rPr>
              <w:t>标</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满意度指标</w:t>
            </w:r>
          </w:p>
        </w:tc>
        <w:tc>
          <w:tcPr>
            <w:tcW w:w="1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各相关部门</w:t>
            </w:r>
          </w:p>
          <w:p>
            <w:pPr>
              <w:spacing w:line="240" w:lineRule="atLeast"/>
              <w:jc w:val="center"/>
              <w:rPr>
                <w:rFonts w:ascii="宋体" w:hAnsi="宋体" w:cs="宋体"/>
                <w:spacing w:val="6"/>
                <w:sz w:val="20"/>
                <w:szCs w:val="20"/>
              </w:rPr>
            </w:pPr>
            <w:r>
              <w:rPr>
                <w:rFonts w:ascii="宋体" w:hAnsi="宋体" w:cs="宋体"/>
                <w:spacing w:val="6"/>
                <w:sz w:val="20"/>
                <w:szCs w:val="20"/>
              </w:rPr>
              <w:t>满意度</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&gt;95%</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宋体" w:hAnsi="宋体" w:cs="宋体"/>
                <w:spacing w:val="6"/>
                <w:sz w:val="20"/>
                <w:szCs w:val="20"/>
              </w:rPr>
            </w:pPr>
            <w:r>
              <w:rPr>
                <w:rFonts w:ascii="宋体" w:hAnsi="宋体" w:cs="宋体"/>
                <w:spacing w:val="6"/>
                <w:sz w:val="20"/>
                <w:szCs w:val="20"/>
              </w:rPr>
              <w:t>&gt;95%</w:t>
            </w:r>
          </w:p>
        </w:tc>
      </w:tr>
    </w:tbl>
    <w:p>
      <w:pPr>
        <w:spacing w:line="600" w:lineRule="exact"/>
        <w:jc w:val="center"/>
        <w:outlineLvl w:val="0"/>
        <w:rPr>
          <w:rStyle w:val="26"/>
          <w:rFonts w:ascii="黑体" w:hAnsi="黑体" w:eastAsia="黑体"/>
          <w:b w:val="0"/>
        </w:rPr>
      </w:pPr>
      <w:bookmarkStart w:id="59" w:name="_Toc15396618"/>
      <w:r>
        <w:rPr>
          <w:rFonts w:hint="eastAsia" w:ascii="黑体" w:hAnsi="黑体" w:eastAsia="黑体"/>
          <w:color w:val="000000"/>
          <w:sz w:val="44"/>
          <w:szCs w:val="44"/>
        </w:rPr>
        <w:t>第</w:t>
      </w:r>
      <w:r>
        <w:rPr>
          <w:rStyle w:val="26"/>
          <w:rFonts w:hint="eastAsia" w:ascii="黑体" w:hAnsi="黑体" w:eastAsia="黑体"/>
          <w:b w:val="0"/>
        </w:rPr>
        <w:t>五部分 附表</w:t>
      </w:r>
      <w:bookmarkEnd w:id="57"/>
      <w:bookmarkEnd w:id="59"/>
    </w:p>
    <w:p>
      <w:pPr>
        <w:pStyle w:val="4"/>
        <w:rPr>
          <w:rFonts w:ascii="仿宋" w:hAnsi="仿宋" w:eastAsia="仿宋"/>
          <w:color w:val="000000"/>
        </w:rPr>
      </w:pPr>
      <w:bookmarkStart w:id="60"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60"/>
    </w:p>
    <w:p>
      <w:pPr>
        <w:pStyle w:val="4"/>
        <w:rPr>
          <w:rFonts w:ascii="仿宋" w:hAnsi="仿宋" w:eastAsia="仿宋"/>
          <w:color w:val="000000"/>
        </w:rPr>
      </w:pPr>
      <w:bookmarkStart w:id="61" w:name="_Toc15396620"/>
      <w:r>
        <w:rPr>
          <w:rFonts w:hint="eastAsia" w:ascii="仿宋" w:hAnsi="仿宋" w:eastAsia="仿宋"/>
          <w:b w:val="0"/>
          <w:color w:val="000000"/>
        </w:rPr>
        <w:t>二、收</w:t>
      </w:r>
      <w:r>
        <w:rPr>
          <w:rStyle w:val="27"/>
          <w:rFonts w:hint="eastAsia" w:ascii="仿宋" w:hAnsi="仿宋" w:eastAsia="仿宋"/>
          <w:b w:val="0"/>
          <w:bCs w:val="0"/>
        </w:rPr>
        <w:t>入决算表</w:t>
      </w:r>
      <w:bookmarkEnd w:id="61"/>
    </w:p>
    <w:p>
      <w:pPr>
        <w:pStyle w:val="4"/>
        <w:rPr>
          <w:rFonts w:ascii="仿宋" w:hAnsi="仿宋" w:eastAsia="仿宋"/>
          <w:color w:val="000000"/>
        </w:rPr>
      </w:pPr>
      <w:bookmarkStart w:id="62"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62"/>
    </w:p>
    <w:p>
      <w:pPr>
        <w:pStyle w:val="4"/>
        <w:rPr>
          <w:rFonts w:ascii="仿宋" w:hAnsi="仿宋" w:eastAsia="仿宋"/>
          <w:b w:val="0"/>
          <w:color w:val="000000"/>
        </w:rPr>
      </w:pPr>
      <w:bookmarkStart w:id="63"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63"/>
    </w:p>
    <w:p>
      <w:pPr>
        <w:pStyle w:val="4"/>
        <w:rPr>
          <w:rStyle w:val="27"/>
          <w:rFonts w:ascii="仿宋" w:hAnsi="仿宋" w:eastAsia="仿宋"/>
          <w:b w:val="0"/>
          <w:bCs w:val="0"/>
        </w:rPr>
      </w:pPr>
      <w:bookmarkStart w:id="64"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64"/>
      <w:bookmarkStart w:id="65" w:name="_Toc15396624"/>
    </w:p>
    <w:p>
      <w:pPr>
        <w:pStyle w:val="4"/>
        <w:rPr>
          <w:rFonts w:ascii="仿宋" w:hAnsi="仿宋" w:eastAsia="仿宋"/>
          <w:color w:val="000000"/>
        </w:rPr>
      </w:pPr>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65"/>
    </w:p>
    <w:p>
      <w:pPr>
        <w:pStyle w:val="4"/>
        <w:rPr>
          <w:rFonts w:ascii="仿宋" w:hAnsi="仿宋" w:eastAsia="仿宋"/>
          <w:color w:val="000000"/>
        </w:rPr>
      </w:pPr>
      <w:bookmarkStart w:id="66"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6"/>
    </w:p>
    <w:p>
      <w:pPr>
        <w:pStyle w:val="4"/>
        <w:rPr>
          <w:rFonts w:ascii="仿宋" w:hAnsi="仿宋" w:eastAsia="仿宋"/>
          <w:color w:val="000000"/>
        </w:rPr>
      </w:pPr>
      <w:bookmarkStart w:id="67"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67"/>
    </w:p>
    <w:p>
      <w:pPr>
        <w:pStyle w:val="4"/>
        <w:rPr>
          <w:rFonts w:ascii="仿宋" w:hAnsi="仿宋" w:eastAsia="仿宋"/>
          <w:color w:val="000000"/>
        </w:rPr>
      </w:pPr>
      <w:bookmarkStart w:id="68"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68"/>
    </w:p>
    <w:p>
      <w:pPr>
        <w:pStyle w:val="4"/>
        <w:rPr>
          <w:rFonts w:ascii="仿宋" w:hAnsi="仿宋" w:eastAsia="仿宋"/>
          <w:color w:val="000000"/>
        </w:rPr>
      </w:pPr>
      <w:bookmarkStart w:id="69"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69"/>
    </w:p>
    <w:p>
      <w:pPr>
        <w:pStyle w:val="4"/>
        <w:rPr>
          <w:rFonts w:ascii="仿宋" w:hAnsi="仿宋" w:eastAsia="仿宋"/>
          <w:color w:val="000000"/>
        </w:rPr>
      </w:pPr>
      <w:bookmarkStart w:id="70"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70"/>
    </w:p>
    <w:p>
      <w:pPr>
        <w:pStyle w:val="4"/>
        <w:rPr>
          <w:rFonts w:ascii="仿宋" w:hAnsi="仿宋" w:eastAsia="仿宋"/>
          <w:color w:val="000000"/>
        </w:rPr>
      </w:pPr>
      <w:bookmarkStart w:id="71"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71"/>
    </w:p>
    <w:p>
      <w:pPr>
        <w:pStyle w:val="4"/>
        <w:rPr>
          <w:rStyle w:val="27"/>
          <w:rFonts w:ascii="仿宋" w:hAnsi="仿宋" w:eastAsia="仿宋"/>
          <w:b w:val="0"/>
          <w:bCs w:val="0"/>
        </w:rPr>
      </w:pPr>
      <w:bookmarkStart w:id="72" w:name="_Toc15396631"/>
      <w:r>
        <w:rPr>
          <w:rStyle w:val="27"/>
          <w:rFonts w:hint="eastAsia" w:ascii="仿宋" w:hAnsi="仿宋" w:eastAsia="仿宋"/>
          <w:b w:val="0"/>
          <w:bCs w:val="0"/>
        </w:rPr>
        <w:t>十三、</w:t>
      </w:r>
      <w:r>
        <w:rPr>
          <w:rFonts w:hint="eastAsia" w:ascii="仿宋" w:hAnsi="仿宋" w:eastAsia="仿宋"/>
          <w:b w:val="0"/>
          <w:color w:val="000000"/>
        </w:rPr>
        <w:t>国有资本经营预算财政拨款收入支出决算表</w:t>
      </w:r>
    </w:p>
    <w:p>
      <w:pPr>
        <w:pStyle w:val="4"/>
        <w:rPr>
          <w:rFonts w:ascii="仿宋" w:hAnsi="仿宋" w:eastAsia="仿宋"/>
          <w:color w:val="000000" w:themeColor="text1"/>
          <w14:textFill>
            <w14:solidFill>
              <w14:schemeClr w14:val="tx1"/>
            </w14:solidFill>
          </w14:textFill>
        </w:rPr>
      </w:pPr>
      <w:r>
        <w:rPr>
          <w:rFonts w:hint="eastAsia" w:ascii="仿宋" w:hAnsi="仿宋" w:eastAsia="仿宋"/>
          <w:b w:val="0"/>
          <w:color w:val="000000"/>
        </w:rPr>
        <w:t>十四、国</w:t>
      </w:r>
      <w:r>
        <w:rPr>
          <w:rStyle w:val="27"/>
          <w:rFonts w:hint="eastAsia" w:ascii="仿宋" w:hAnsi="仿宋" w:eastAsia="仿宋"/>
          <w:b w:val="0"/>
          <w:bCs w:val="0"/>
        </w:rPr>
        <w:t>有资本经营预算财政拨款支出决算表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0000000000000000000"/>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4F70C"/>
    <w:multiLevelType w:val="singleLevel"/>
    <w:tmpl w:val="9214F70C"/>
    <w:lvl w:ilvl="0" w:tentative="0">
      <w:start w:val="7"/>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jM2RmM2M4NDBiZmU3NTFkYWQ3ZDhhN2EwZGExNTYifQ=="/>
  </w:docVars>
  <w:rsids>
    <w:rsidRoot w:val="00F1361C"/>
    <w:rsid w:val="000222C6"/>
    <w:rsid w:val="0002549F"/>
    <w:rsid w:val="000468DB"/>
    <w:rsid w:val="00055A8A"/>
    <w:rsid w:val="0006487A"/>
    <w:rsid w:val="00065F8F"/>
    <w:rsid w:val="00070A43"/>
    <w:rsid w:val="0007547B"/>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3D69"/>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3980"/>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3DD0"/>
    <w:rsid w:val="00335A74"/>
    <w:rsid w:val="0036561B"/>
    <w:rsid w:val="0037013F"/>
    <w:rsid w:val="00377BF7"/>
    <w:rsid w:val="00380C92"/>
    <w:rsid w:val="003A484F"/>
    <w:rsid w:val="003A4883"/>
    <w:rsid w:val="003B0BE0"/>
    <w:rsid w:val="003B0C1B"/>
    <w:rsid w:val="003B39D8"/>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2798"/>
    <w:rsid w:val="004A711F"/>
    <w:rsid w:val="004B199D"/>
    <w:rsid w:val="004B4690"/>
    <w:rsid w:val="004E0A2D"/>
    <w:rsid w:val="004E206B"/>
    <w:rsid w:val="004E6DF7"/>
    <w:rsid w:val="004F0FBD"/>
    <w:rsid w:val="00505A47"/>
    <w:rsid w:val="00512FDA"/>
    <w:rsid w:val="00520DA0"/>
    <w:rsid w:val="005602B0"/>
    <w:rsid w:val="005664BB"/>
    <w:rsid w:val="00566FFA"/>
    <w:rsid w:val="0057481D"/>
    <w:rsid w:val="0058486E"/>
    <w:rsid w:val="00585B33"/>
    <w:rsid w:val="005863E1"/>
    <w:rsid w:val="0059014D"/>
    <w:rsid w:val="005A304C"/>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7F8A"/>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69DF"/>
    <w:rsid w:val="00871F71"/>
    <w:rsid w:val="00872FD8"/>
    <w:rsid w:val="00873028"/>
    <w:rsid w:val="00885AF4"/>
    <w:rsid w:val="008939CD"/>
    <w:rsid w:val="008B768C"/>
    <w:rsid w:val="008C4DB1"/>
    <w:rsid w:val="008C4EAF"/>
    <w:rsid w:val="008C5176"/>
    <w:rsid w:val="008C7FD0"/>
    <w:rsid w:val="008E1DE7"/>
    <w:rsid w:val="008E707C"/>
    <w:rsid w:val="008F43BF"/>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3B3"/>
    <w:rsid w:val="00AE16BA"/>
    <w:rsid w:val="00AE1EBE"/>
    <w:rsid w:val="00B03C9D"/>
    <w:rsid w:val="00B060AE"/>
    <w:rsid w:val="00B10517"/>
    <w:rsid w:val="00B14E76"/>
    <w:rsid w:val="00B161B8"/>
    <w:rsid w:val="00B2048C"/>
    <w:rsid w:val="00B210C9"/>
    <w:rsid w:val="00B310B9"/>
    <w:rsid w:val="00B35F3F"/>
    <w:rsid w:val="00B36CBB"/>
    <w:rsid w:val="00B425E0"/>
    <w:rsid w:val="00B440AA"/>
    <w:rsid w:val="00B44B70"/>
    <w:rsid w:val="00B53C56"/>
    <w:rsid w:val="00B57DAF"/>
    <w:rsid w:val="00B6535D"/>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1D89"/>
    <w:rsid w:val="00D254F7"/>
    <w:rsid w:val="00D26091"/>
    <w:rsid w:val="00D2685C"/>
    <w:rsid w:val="00D30005"/>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7009"/>
    <w:rsid w:val="00FF1E02"/>
    <w:rsid w:val="00FF30B4"/>
    <w:rsid w:val="022C51DF"/>
    <w:rsid w:val="0669648E"/>
    <w:rsid w:val="06B801E1"/>
    <w:rsid w:val="07FE7838"/>
    <w:rsid w:val="09651C71"/>
    <w:rsid w:val="099905EA"/>
    <w:rsid w:val="09B3669D"/>
    <w:rsid w:val="0A2032A3"/>
    <w:rsid w:val="0A9371D4"/>
    <w:rsid w:val="0ACB72E5"/>
    <w:rsid w:val="0B8C564F"/>
    <w:rsid w:val="0BD1285F"/>
    <w:rsid w:val="0C234952"/>
    <w:rsid w:val="0DE21480"/>
    <w:rsid w:val="10121F3C"/>
    <w:rsid w:val="10C055FF"/>
    <w:rsid w:val="118107EC"/>
    <w:rsid w:val="122E5535"/>
    <w:rsid w:val="13A42943"/>
    <w:rsid w:val="13A6179B"/>
    <w:rsid w:val="166100A9"/>
    <w:rsid w:val="16A238AD"/>
    <w:rsid w:val="16BB723D"/>
    <w:rsid w:val="1793097A"/>
    <w:rsid w:val="182E5007"/>
    <w:rsid w:val="18534BA8"/>
    <w:rsid w:val="186E2A09"/>
    <w:rsid w:val="18D32AD1"/>
    <w:rsid w:val="19375FF7"/>
    <w:rsid w:val="19A02401"/>
    <w:rsid w:val="1D155CEE"/>
    <w:rsid w:val="1DC54782"/>
    <w:rsid w:val="1E8B5456"/>
    <w:rsid w:val="204360E2"/>
    <w:rsid w:val="23C36CFC"/>
    <w:rsid w:val="240371BF"/>
    <w:rsid w:val="24270C66"/>
    <w:rsid w:val="24E3525A"/>
    <w:rsid w:val="26172211"/>
    <w:rsid w:val="29FD04D3"/>
    <w:rsid w:val="2BDC73E3"/>
    <w:rsid w:val="2CF92D3D"/>
    <w:rsid w:val="2D1A11AB"/>
    <w:rsid w:val="2D36021E"/>
    <w:rsid w:val="2FBC7E53"/>
    <w:rsid w:val="30634AC4"/>
    <w:rsid w:val="30B97C74"/>
    <w:rsid w:val="31981078"/>
    <w:rsid w:val="319F7F4E"/>
    <w:rsid w:val="31C06AA2"/>
    <w:rsid w:val="33564B93"/>
    <w:rsid w:val="34D66C80"/>
    <w:rsid w:val="37405F3D"/>
    <w:rsid w:val="3786702C"/>
    <w:rsid w:val="384F1DA4"/>
    <w:rsid w:val="387E5813"/>
    <w:rsid w:val="39B90593"/>
    <w:rsid w:val="39FA05B2"/>
    <w:rsid w:val="3A8B515E"/>
    <w:rsid w:val="3C66733D"/>
    <w:rsid w:val="3D065BAF"/>
    <w:rsid w:val="3D432D7C"/>
    <w:rsid w:val="3FFA232E"/>
    <w:rsid w:val="3FFEB9B6"/>
    <w:rsid w:val="4194777E"/>
    <w:rsid w:val="421666B2"/>
    <w:rsid w:val="429C7D6B"/>
    <w:rsid w:val="43522485"/>
    <w:rsid w:val="4574072F"/>
    <w:rsid w:val="47B01E42"/>
    <w:rsid w:val="482A15FB"/>
    <w:rsid w:val="495363B8"/>
    <w:rsid w:val="49A30776"/>
    <w:rsid w:val="4BFA53EC"/>
    <w:rsid w:val="4DDB18B1"/>
    <w:rsid w:val="4ECE2238"/>
    <w:rsid w:val="4EFA7613"/>
    <w:rsid w:val="50667B86"/>
    <w:rsid w:val="516C490F"/>
    <w:rsid w:val="52224331"/>
    <w:rsid w:val="52F10AFE"/>
    <w:rsid w:val="55C04EA2"/>
    <w:rsid w:val="56085159"/>
    <w:rsid w:val="57B9D0E7"/>
    <w:rsid w:val="59D67356"/>
    <w:rsid w:val="5A455061"/>
    <w:rsid w:val="5C473312"/>
    <w:rsid w:val="5D3DD2C1"/>
    <w:rsid w:val="5DAD189A"/>
    <w:rsid w:val="5EBBB5E4"/>
    <w:rsid w:val="604C38E0"/>
    <w:rsid w:val="61092DC2"/>
    <w:rsid w:val="61523001"/>
    <w:rsid w:val="62444766"/>
    <w:rsid w:val="62787789"/>
    <w:rsid w:val="631122C9"/>
    <w:rsid w:val="635A392B"/>
    <w:rsid w:val="635F13F4"/>
    <w:rsid w:val="66581683"/>
    <w:rsid w:val="67704F2B"/>
    <w:rsid w:val="67F51B31"/>
    <w:rsid w:val="6A7E6C52"/>
    <w:rsid w:val="6C4A05C8"/>
    <w:rsid w:val="6C6C1232"/>
    <w:rsid w:val="6CC762B8"/>
    <w:rsid w:val="6CEE2D6F"/>
    <w:rsid w:val="6D2D17FD"/>
    <w:rsid w:val="6D4D6A44"/>
    <w:rsid w:val="6E8E3022"/>
    <w:rsid w:val="6ED36BA4"/>
    <w:rsid w:val="6F072F89"/>
    <w:rsid w:val="6F8E6E59"/>
    <w:rsid w:val="70C075D3"/>
    <w:rsid w:val="72734D90"/>
    <w:rsid w:val="735108A0"/>
    <w:rsid w:val="7364289B"/>
    <w:rsid w:val="739075C5"/>
    <w:rsid w:val="75585ABA"/>
    <w:rsid w:val="759B6318"/>
    <w:rsid w:val="76950A1B"/>
    <w:rsid w:val="77366120"/>
    <w:rsid w:val="774F572B"/>
    <w:rsid w:val="775977DD"/>
    <w:rsid w:val="77DF05D1"/>
    <w:rsid w:val="7908556B"/>
    <w:rsid w:val="793988A9"/>
    <w:rsid w:val="7A8711FD"/>
    <w:rsid w:val="7CDC7CD3"/>
    <w:rsid w:val="7D1172F8"/>
    <w:rsid w:val="7DB43665"/>
    <w:rsid w:val="7E880CD6"/>
    <w:rsid w:val="7EFA86DC"/>
    <w:rsid w:val="7FAF5630"/>
    <w:rsid w:val="7FFA3364"/>
    <w:rsid w:val="B977D56F"/>
    <w:rsid w:val="BF75E09C"/>
    <w:rsid w:val="DD15BC62"/>
    <w:rsid w:val="F1E59A97"/>
    <w:rsid w:val="F3FE34AC"/>
    <w:rsid w:val="F7D79197"/>
    <w:rsid w:val="FAACCA49"/>
    <w:rsid w:val="FDF7685D"/>
    <w:rsid w:val="FFD929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able of figures"/>
    <w:basedOn w:val="1"/>
    <w:next w:val="1"/>
    <w:qFormat/>
    <w:uiPriority w:val="0"/>
    <w:pPr>
      <w:ind w:left="200" w:leftChars="200" w:hanging="200" w:hangingChars="200"/>
    </w:pPr>
    <w:rPr>
      <w:szCs w:val="21"/>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字符"/>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字符"/>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字符"/>
    <w:link w:val="6"/>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5">
    <w:name w:val="列出段落1"/>
    <w:basedOn w:val="1"/>
    <w:qFormat/>
    <w:uiPriority w:val="34"/>
    <w:pPr>
      <w:ind w:firstLine="420" w:firstLineChars="200"/>
    </w:pPr>
  </w:style>
  <w:style w:type="character" w:customStyle="1" w:styleId="26">
    <w:name w:val="标题 1 字符"/>
    <w:basedOn w:val="15"/>
    <w:link w:val="3"/>
    <w:qFormat/>
    <w:uiPriority w:val="9"/>
    <w:rPr>
      <w:rFonts w:ascii="Times New Roman" w:hAnsi="Times New Roman"/>
      <w:b/>
      <w:bCs/>
      <w:kern w:val="44"/>
      <w:sz w:val="44"/>
      <w:szCs w:val="44"/>
    </w:rPr>
  </w:style>
  <w:style w:type="character" w:customStyle="1" w:styleId="27">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字符"/>
    <w:basedOn w:val="15"/>
    <w:link w:val="8"/>
    <w:semiHidden/>
    <w:qFormat/>
    <w:uiPriority w:val="99"/>
    <w:rPr>
      <w:rFonts w:ascii="Times New Roman" w:hAnsi="Times New Roman"/>
      <w:kern w:val="2"/>
      <w:sz w:val="18"/>
      <w:szCs w:val="18"/>
    </w:rPr>
  </w:style>
  <w:style w:type="character" w:customStyle="1" w:styleId="30">
    <w:name w:val="标题 3 字符"/>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ToCaption"/>
    <w:basedOn w:val="1"/>
    <w:next w:val="1"/>
    <w:qFormat/>
    <w:uiPriority w:val="0"/>
    <w:pPr>
      <w:ind w:left="200" w:leftChars="200" w:hanging="200" w:hangingChars="200"/>
      <w:textAlignment w:val="baseline"/>
    </w:pPr>
  </w:style>
  <w:style w:type="character" w:customStyle="1" w:styleId="33">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1</Pages>
  <Words>22895</Words>
  <Characters>5639</Characters>
  <Lines>46</Lines>
  <Paragraphs>56</Paragraphs>
  <TotalTime>9</TotalTime>
  <ScaleCrop>false</ScaleCrop>
  <LinksUpToDate>false</LinksUpToDate>
  <CharactersWithSpaces>28478</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2023-09-20T03:59:00Z</dcterms:created>
  <dc:creator>曹颖</dc:creator>
  <cp:lastModifiedBy>huawei</cp:lastModifiedBy>
  <cp:lastPrinted>2021-08-02T11:56:00Z</cp:lastPrinted>
  <dcterms:modified xsi:type="dcterms:W3CDTF">2023-10-26T17:34:15Z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AEB2F3E2D9F981E762323A655C14B57C</vt:lpwstr>
  </property>
</Properties>
</file>