
<file path=[Content_Types].xml><?xml version="1.0" encoding="utf-8"?>
<Types xmlns="http://schemas.openxmlformats.org/package/2006/content-types">
  <Default Extension="xml" ContentType="application/xml"/>
  <Default Extension="xls" ContentType="application/vnd.ms-exce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黑体" w:hAnsi="黑体" w:eastAsia="黑体" w:cs="黑体"/>
          <w:sz w:val="72"/>
          <w:szCs w:val="72"/>
        </w:rPr>
      </w:pPr>
      <w:bookmarkStart w:id="1" w:name="_Toc15377193"/>
      <w:bookmarkStart w:id="2" w:name="_Toc15396597"/>
      <w:bookmarkStart w:id="3" w:name="_Toc15378441"/>
      <w:bookmarkStart w:id="4" w:name="_Toc15396475"/>
      <w:bookmarkStart w:id="5" w:name="_Toc15377425"/>
      <w:r>
        <w:rPr>
          <w:rFonts w:hint="eastAsia" w:ascii="黑体" w:hAnsi="黑体" w:eastAsia="黑体" w:cs="黑体"/>
          <w:sz w:val="72"/>
          <w:szCs w:val="72"/>
        </w:rPr>
        <w:t>202</w:t>
      </w:r>
      <w:r>
        <w:rPr>
          <w:rFonts w:hint="eastAsia" w:ascii="黑体" w:hAnsi="黑体" w:eastAsia="黑体" w:cs="黑体"/>
          <w:sz w:val="72"/>
          <w:szCs w:val="72"/>
          <w:lang w:val="en-US" w:eastAsia="zh-CN"/>
        </w:rPr>
        <w:t>1</w:t>
      </w:r>
      <w:r>
        <w:rPr>
          <w:rFonts w:hint="eastAsia" w:ascii="黑体" w:hAnsi="黑体" w:eastAsia="黑体" w:cs="黑体"/>
          <w:sz w:val="72"/>
          <w:szCs w:val="72"/>
        </w:rPr>
        <w:t>年度</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黑体" w:hAnsi="黑体" w:eastAsia="黑体" w:cs="黑体"/>
          <w:sz w:val="72"/>
          <w:szCs w:val="72"/>
        </w:rPr>
      </w:pPr>
      <w:bookmarkStart w:id="6" w:name="_Toc15377426"/>
      <w:bookmarkStart w:id="7" w:name="_Toc15377194"/>
      <w:bookmarkStart w:id="8" w:name="_Toc15396598"/>
      <w:bookmarkStart w:id="9" w:name="_Toc15306268"/>
      <w:bookmarkStart w:id="10" w:name="_Toc15378442"/>
      <w:bookmarkStart w:id="11" w:name="_Toc15396476"/>
      <w:r>
        <w:rPr>
          <w:rFonts w:hint="eastAsia" w:ascii="黑体" w:hAnsi="黑体" w:eastAsia="黑体" w:cs="黑体"/>
          <w:sz w:val="72"/>
          <w:szCs w:val="72"/>
          <w:lang w:eastAsia="zh-CN"/>
        </w:rPr>
        <w:t>市矿山救护大队单位</w:t>
      </w:r>
      <w:r>
        <w:rPr>
          <w:rFonts w:hint="eastAsia" w:ascii="黑体" w:hAnsi="黑体" w:eastAsia="黑体" w:cs="黑体"/>
          <w:sz w:val="72"/>
          <w:szCs w:val="72"/>
        </w:rPr>
        <w:t>决算</w:t>
      </w:r>
      <w:bookmarkEnd w:id="6"/>
      <w:bookmarkEnd w:id="7"/>
      <w:bookmarkEnd w:id="8"/>
      <w:bookmarkEnd w:id="9"/>
      <w:bookmarkEnd w:id="10"/>
      <w:bookmarkEnd w:id="11"/>
      <w:r>
        <w:rPr>
          <w:rFonts w:hint="eastAsia" w:ascii="黑体" w:hAnsi="黑体" w:eastAsia="黑体" w:cs="黑体"/>
          <w:sz w:val="72"/>
          <w:szCs w:val="72"/>
        </w:rPr>
        <w:t>编制说明</w:t>
      </w:r>
    </w:p>
    <w:p>
      <w:pPr>
        <w:bidi w:val="0"/>
        <w:rPr>
          <w:rFonts w:ascii="宋体" w:hAnsi="宋体"/>
          <w:color w:val="000000"/>
          <w:szCs w:val="72"/>
        </w:rPr>
      </w:pPr>
    </w:p>
    <w:p>
      <w:pPr>
        <w:widowControl/>
        <w:jc w:val="center"/>
        <w:rPr>
          <w:rFonts w:ascii="方正小标宋简体" w:hAnsi="宋体" w:eastAsia="方正小标宋简体"/>
          <w:color w:val="000000"/>
          <w:sz w:val="52"/>
          <w:szCs w:val="52"/>
        </w:rPr>
      </w:pPr>
    </w:p>
    <w:p>
      <w:pPr>
        <w:widowControl/>
        <w:jc w:val="center"/>
        <w:rPr>
          <w:rFonts w:ascii="仿宋" w:hAnsi="仿宋" w:eastAsia="仿宋"/>
          <w:color w:val="auto"/>
          <w:sz w:val="36"/>
          <w:szCs w:val="36"/>
        </w:rPr>
      </w:pPr>
      <w:r>
        <w:rPr>
          <w:rFonts w:ascii="方正小标宋简体" w:hAnsi="宋体" w:eastAsia="方正小标宋简体"/>
          <w:color w:val="000000"/>
          <w:sz w:val="36"/>
          <w:szCs w:val="36"/>
        </w:rPr>
        <w:br w:type="page"/>
      </w:r>
      <w:bookmarkStart w:id="12" w:name="_Toc15377196"/>
      <w:bookmarkStart w:id="13" w:name="_Toc15396599"/>
      <w:r>
        <w:rPr>
          <w:rFonts w:ascii="仿宋" w:hAnsi="仿宋" w:eastAsia="仿宋"/>
          <w:color w:val="auto"/>
          <w:sz w:val="36"/>
          <w:szCs w:val="36"/>
          <w:lang w:val="zh-CN"/>
        </w:rPr>
        <w:t>目录</w:t>
      </w:r>
    </w:p>
    <w:p>
      <w:pPr>
        <w:pStyle w:val="13"/>
        <w:tabs>
          <w:tab w:val="right" w:leader="dot" w:pos="8306"/>
        </w:tabs>
      </w:pPr>
      <w:r>
        <w:rPr>
          <w:rFonts w:ascii="仿宋" w:eastAsia="仿宋"/>
          <w:b w:val="0"/>
          <w:bCs w:val="0"/>
          <w:caps w:val="0"/>
          <w:sz w:val="28"/>
        </w:rPr>
        <w:fldChar w:fldCharType="begin"/>
      </w:r>
      <w:r>
        <w:rPr>
          <w:rFonts w:ascii="仿宋" w:eastAsia="仿宋"/>
          <w:b w:val="0"/>
          <w:bCs w:val="0"/>
          <w:caps w:val="0"/>
          <w:sz w:val="28"/>
        </w:rPr>
        <w:instrText xml:space="preserve"> TOC \o "1-2" \h \z \u </w:instrText>
      </w:r>
      <w:r>
        <w:rPr>
          <w:rFonts w:ascii="仿宋" w:eastAsia="仿宋"/>
          <w:b w:val="0"/>
          <w:bCs w:val="0"/>
          <w:caps w:val="0"/>
          <w:sz w:val="28"/>
        </w:rPr>
        <w:fldChar w:fldCharType="separate"/>
      </w:r>
      <w:r>
        <w:rPr>
          <w:rFonts w:ascii="仿宋" w:eastAsia="仿宋"/>
          <w:bCs w:val="0"/>
          <w:caps w:val="0"/>
        </w:rPr>
        <w:fldChar w:fldCharType="begin"/>
      </w:r>
      <w:r>
        <w:rPr>
          <w:rFonts w:ascii="仿宋" w:eastAsia="仿宋"/>
          <w:bCs w:val="0"/>
          <w:caps w:val="0"/>
        </w:rPr>
        <w:instrText xml:space="preserve"> HYPERLINK \l _Toc18655 </w:instrText>
      </w:r>
      <w:r>
        <w:rPr>
          <w:rFonts w:ascii="仿宋" w:eastAsia="仿宋"/>
          <w:bCs w:val="0"/>
          <w:caps w:val="0"/>
        </w:rPr>
        <w:fldChar w:fldCharType="separate"/>
      </w:r>
      <w:r>
        <w:rPr>
          <w:rFonts w:hint="eastAsia" w:ascii="黑体" w:hAnsi="黑体" w:eastAsia="黑体"/>
        </w:rPr>
        <w:t xml:space="preserve">第一部分 </w:t>
      </w:r>
      <w:r>
        <w:rPr>
          <w:rFonts w:hint="eastAsia" w:ascii="黑体" w:hAnsi="黑体" w:eastAsia="黑体"/>
          <w:bCs w:val="0"/>
        </w:rPr>
        <w:t>单位概况</w:t>
      </w:r>
      <w:r>
        <w:tab/>
      </w:r>
      <w:r>
        <w:fldChar w:fldCharType="begin"/>
      </w:r>
      <w:r>
        <w:instrText xml:space="preserve"> PAGEREF _Toc18655 \h </w:instrText>
      </w:r>
      <w:r>
        <w:fldChar w:fldCharType="separate"/>
      </w:r>
      <w:r>
        <w:t>3</w:t>
      </w:r>
      <w:r>
        <w:fldChar w:fldCharType="end"/>
      </w:r>
      <w:r>
        <w:rPr>
          <w:rFonts w:ascii="仿宋" w:eastAsia="仿宋"/>
          <w:bCs w:val="0"/>
          <w:caps w:val="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_Toc11791 </w:instrText>
      </w:r>
      <w:r>
        <w:rPr>
          <w:rFonts w:ascii="仿宋" w:hAnsi="Calibri" w:eastAsia="仿宋"/>
          <w:bCs/>
          <w:caps/>
          <w:szCs w:val="20"/>
        </w:rPr>
        <w:fldChar w:fldCharType="separate"/>
      </w:r>
      <w:r>
        <w:rPr>
          <w:rFonts w:hint="eastAsia" w:ascii="黑体" w:hAnsi="黑体" w:eastAsia="黑体"/>
        </w:rPr>
        <w:t>一、基</w:t>
      </w:r>
      <w:r>
        <w:rPr>
          <w:rFonts w:hint="eastAsia" w:ascii="黑体" w:hAnsi="黑体" w:eastAsia="黑体"/>
          <w:bCs w:val="0"/>
        </w:rPr>
        <w:t>本职能</w:t>
      </w:r>
      <w:r>
        <w:rPr>
          <w:rFonts w:hint="eastAsia" w:ascii="黑体" w:hAnsi="黑体" w:eastAsia="黑体"/>
          <w:bCs w:val="0"/>
          <w:lang w:eastAsia="zh-CN"/>
        </w:rPr>
        <w:t>及主要工作。</w:t>
      </w:r>
      <w:r>
        <w:tab/>
      </w:r>
      <w:r>
        <w:fldChar w:fldCharType="begin"/>
      </w:r>
      <w:r>
        <w:instrText xml:space="preserve"> PAGEREF _Toc11791 \h </w:instrText>
      </w:r>
      <w:r>
        <w:fldChar w:fldCharType="separate"/>
      </w:r>
      <w:r>
        <w:t>3</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_Toc10184 </w:instrText>
      </w:r>
      <w:r>
        <w:rPr>
          <w:rFonts w:ascii="仿宋" w:hAnsi="Calibri" w:eastAsia="仿宋"/>
          <w:bCs/>
          <w:caps/>
          <w:szCs w:val="20"/>
        </w:rPr>
        <w:fldChar w:fldCharType="separate"/>
      </w:r>
      <w:r>
        <w:rPr>
          <w:rFonts w:hint="eastAsia" w:asciiTheme="minorEastAsia" w:hAnsiTheme="minorEastAsia" w:eastAsiaTheme="minorEastAsia" w:cstheme="minorEastAsia"/>
          <w:bCs w:val="0"/>
          <w:lang w:eastAsia="zh-CN"/>
        </w:rPr>
        <w:t>（</w:t>
      </w:r>
      <w:r>
        <w:rPr>
          <w:rFonts w:hint="eastAsia" w:asciiTheme="minorEastAsia" w:hAnsiTheme="minorEastAsia" w:eastAsiaTheme="minorEastAsia" w:cstheme="minorEastAsia"/>
          <w:bCs w:val="0"/>
          <w:lang w:val="en-US" w:eastAsia="zh-CN"/>
        </w:rPr>
        <w:t>1</w:t>
      </w:r>
      <w:r>
        <w:rPr>
          <w:rFonts w:hint="eastAsia" w:asciiTheme="minorEastAsia" w:hAnsiTheme="minorEastAsia" w:eastAsiaTheme="minorEastAsia" w:cstheme="minorEastAsia"/>
          <w:bCs w:val="0"/>
          <w:lang w:eastAsia="zh-CN"/>
        </w:rPr>
        <w:t>）基本职能</w:t>
      </w:r>
      <w:r>
        <w:tab/>
      </w:r>
      <w:r>
        <w:fldChar w:fldCharType="begin"/>
      </w:r>
      <w:r>
        <w:instrText xml:space="preserve"> PAGEREF _Toc10184 \h </w:instrText>
      </w:r>
      <w:r>
        <w:fldChar w:fldCharType="separate"/>
      </w:r>
      <w:r>
        <w:t>3</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_Toc13613 </w:instrText>
      </w:r>
      <w:r>
        <w:rPr>
          <w:rFonts w:ascii="仿宋" w:hAnsi="Calibri" w:eastAsia="仿宋"/>
          <w:bCs/>
          <w:caps/>
          <w:szCs w:val="20"/>
        </w:rPr>
        <w:fldChar w:fldCharType="separate"/>
      </w:r>
      <w:r>
        <w:rPr>
          <w:rFonts w:hint="eastAsia" w:asciiTheme="minorEastAsia" w:hAnsiTheme="minorEastAsia" w:eastAsiaTheme="minorEastAsia" w:cstheme="minorEastAsia"/>
          <w:lang w:val="en-US" w:eastAsia="zh-CN"/>
        </w:rPr>
        <w:t>（2）主要工作</w:t>
      </w:r>
      <w:r>
        <w:tab/>
      </w:r>
      <w:r>
        <w:fldChar w:fldCharType="begin"/>
      </w:r>
      <w:r>
        <w:instrText xml:space="preserve"> PAGEREF _Toc13613 \h </w:instrText>
      </w:r>
      <w:r>
        <w:fldChar w:fldCharType="separate"/>
      </w:r>
      <w:r>
        <w:t>3</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_Toc31231 </w:instrText>
      </w:r>
      <w:r>
        <w:rPr>
          <w:rFonts w:ascii="仿宋" w:hAnsi="Calibri" w:eastAsia="仿宋"/>
          <w:bCs/>
          <w:caps/>
          <w:szCs w:val="20"/>
        </w:rPr>
        <w:fldChar w:fldCharType="separate"/>
      </w:r>
      <w:r>
        <w:rPr>
          <w:rFonts w:hint="eastAsia" w:ascii="黑体" w:hAnsi="黑体" w:eastAsia="黑体"/>
          <w:bCs w:val="0"/>
          <w:lang w:eastAsia="zh-CN"/>
        </w:rPr>
        <w:t xml:space="preserve">二、 </w:t>
      </w:r>
      <w:r>
        <w:rPr>
          <w:rFonts w:hint="eastAsia" w:ascii="黑体" w:hAnsi="黑体" w:eastAsia="黑体"/>
          <w:lang w:eastAsia="zh-CN"/>
        </w:rPr>
        <w:t>机构设置</w:t>
      </w:r>
      <w:r>
        <w:rPr>
          <w:rFonts w:hint="eastAsia" w:ascii="黑体" w:hAnsi="黑体" w:eastAsia="黑体"/>
          <w:bCs w:val="0"/>
          <w:lang w:eastAsia="zh-CN"/>
        </w:rPr>
        <w:t>。</w:t>
      </w:r>
      <w:r>
        <w:tab/>
      </w:r>
      <w:r>
        <w:fldChar w:fldCharType="begin"/>
      </w:r>
      <w:r>
        <w:instrText xml:space="preserve"> PAGEREF _Toc31231 \h </w:instrText>
      </w:r>
      <w:r>
        <w:fldChar w:fldCharType="separate"/>
      </w:r>
      <w:r>
        <w:t>4</w:t>
      </w:r>
      <w:r>
        <w:fldChar w:fldCharType="end"/>
      </w:r>
      <w:r>
        <w:rPr>
          <w:rFonts w:ascii="仿宋" w:hAnsi="Calibri" w:eastAsia="仿宋"/>
          <w:bCs/>
          <w:caps/>
          <w:szCs w:val="20"/>
        </w:rPr>
        <w:fldChar w:fldCharType="end"/>
      </w:r>
    </w:p>
    <w:p>
      <w:pPr>
        <w:pStyle w:val="13"/>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_Toc3702 </w:instrText>
      </w:r>
      <w:r>
        <w:rPr>
          <w:rFonts w:ascii="仿宋" w:hAnsi="Calibri" w:eastAsia="仿宋"/>
          <w:bCs/>
          <w:caps/>
          <w:szCs w:val="20"/>
        </w:rPr>
        <w:fldChar w:fldCharType="separate"/>
      </w:r>
      <w:r>
        <w:rPr>
          <w:rFonts w:hint="eastAsia" w:ascii="黑体" w:hAnsi="黑体" w:eastAsia="黑体"/>
        </w:rPr>
        <w:t xml:space="preserve">第二部分 </w:t>
      </w:r>
      <w:r>
        <w:rPr>
          <w:rFonts w:hint="eastAsia" w:ascii="黑体" w:hAnsi="黑体" w:eastAsia="黑体"/>
          <w:bCs w:val="0"/>
        </w:rPr>
        <w:t>2021年度单位决算情况说明</w:t>
      </w:r>
      <w:r>
        <w:tab/>
      </w:r>
      <w:r>
        <w:fldChar w:fldCharType="begin"/>
      </w:r>
      <w:r>
        <w:instrText xml:space="preserve"> PAGEREF _Toc3702 \h </w:instrText>
      </w:r>
      <w:r>
        <w:fldChar w:fldCharType="separate"/>
      </w:r>
      <w:r>
        <w:t>4</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_Toc27264 </w:instrText>
      </w:r>
      <w:r>
        <w:rPr>
          <w:rFonts w:ascii="仿宋" w:hAnsi="Calibri" w:eastAsia="仿宋"/>
          <w:bCs/>
          <w:caps/>
          <w:szCs w:val="20"/>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_Toc27264 \h </w:instrText>
      </w:r>
      <w:r>
        <w:fldChar w:fldCharType="separate"/>
      </w:r>
      <w:r>
        <w:t>4</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_Toc898 </w:instrText>
      </w:r>
      <w:r>
        <w:rPr>
          <w:rFonts w:ascii="仿宋" w:hAnsi="Calibri" w:eastAsia="仿宋"/>
          <w:bCs/>
          <w:caps/>
          <w:szCs w:val="20"/>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_Toc898 \h </w:instrText>
      </w:r>
      <w:r>
        <w:fldChar w:fldCharType="separate"/>
      </w:r>
      <w:r>
        <w:t>5</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_Toc24827 </w:instrText>
      </w:r>
      <w:r>
        <w:rPr>
          <w:rFonts w:ascii="仿宋" w:hAnsi="Calibri" w:eastAsia="仿宋"/>
          <w:bCs/>
          <w:caps/>
          <w:szCs w:val="20"/>
        </w:rP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_Toc24827 \h </w:instrText>
      </w:r>
      <w:r>
        <w:fldChar w:fldCharType="separate"/>
      </w:r>
      <w:r>
        <w:t>6</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_Toc24895 </w:instrText>
      </w:r>
      <w:r>
        <w:rPr>
          <w:rFonts w:ascii="仿宋" w:hAnsi="Calibri" w:eastAsia="仿宋"/>
          <w:bCs/>
          <w:caps/>
          <w:szCs w:val="20"/>
        </w:rPr>
        <w:fldChar w:fldCharType="separate"/>
      </w:r>
      <w:r>
        <w:rPr>
          <w:rFonts w:hint="eastAsia" w:ascii="黑体" w:hAnsi="黑体" w:eastAsia="黑体"/>
          <w:szCs w:val="32"/>
        </w:rPr>
        <w:t>四</w:t>
      </w:r>
      <w:r>
        <w:rPr>
          <w:rFonts w:hint="eastAsia" w:ascii="黑体" w:hAnsi="黑体" w:eastAsia="黑体"/>
          <w:szCs w:val="32"/>
          <w:lang w:val="en-US" w:eastAsia="zh-CN"/>
        </w:rPr>
        <w:t>四</w:t>
      </w:r>
      <w:r>
        <w:rPr>
          <w:rFonts w:hint="eastAsia" w:ascii="黑体" w:hAnsi="黑体" w:eastAsia="黑体"/>
          <w:szCs w:val="32"/>
        </w:rPr>
        <w:t>、财</w:t>
      </w:r>
      <w:r>
        <w:rPr>
          <w:rFonts w:hint="eastAsia" w:ascii="黑体" w:hAnsi="黑体" w:eastAsia="黑体"/>
        </w:rPr>
        <w:t>政拨款收入支出决算总体情况说明</w:t>
      </w:r>
      <w:r>
        <w:tab/>
      </w:r>
      <w:r>
        <w:fldChar w:fldCharType="begin"/>
      </w:r>
      <w:r>
        <w:instrText xml:space="preserve"> PAGEREF _Toc24895 \h </w:instrText>
      </w:r>
      <w:r>
        <w:fldChar w:fldCharType="separate"/>
      </w:r>
      <w:r>
        <w:t>6</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_Toc9439 </w:instrText>
      </w:r>
      <w:r>
        <w:rPr>
          <w:rFonts w:ascii="仿宋" w:hAnsi="Calibri" w:eastAsia="仿宋"/>
          <w:bCs/>
          <w:caps/>
          <w:szCs w:val="20"/>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_Toc9439 \h </w:instrText>
      </w:r>
      <w:r>
        <w:fldChar w:fldCharType="separate"/>
      </w:r>
      <w:r>
        <w:t>7</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_Toc32021 </w:instrText>
      </w:r>
      <w:r>
        <w:rPr>
          <w:rFonts w:ascii="仿宋" w:hAnsi="Calibri" w:eastAsia="仿宋"/>
          <w:bCs/>
          <w:caps/>
          <w:szCs w:val="20"/>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_Toc32021 \h </w:instrText>
      </w:r>
      <w:r>
        <w:fldChar w:fldCharType="separate"/>
      </w:r>
      <w:r>
        <w:t>9</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_Toc23394 </w:instrText>
      </w:r>
      <w:r>
        <w:rPr>
          <w:rFonts w:ascii="仿宋" w:hAnsi="Calibri" w:eastAsia="仿宋"/>
          <w:bCs/>
          <w:caps/>
          <w:szCs w:val="20"/>
        </w:rPr>
        <w:fldChar w:fldCharType="separate"/>
      </w:r>
      <w:r>
        <w:rPr>
          <w:rFonts w:hint="eastAsia" w:ascii="黑体" w:eastAsia="黑体"/>
          <w:szCs w:val="32"/>
        </w:rPr>
        <w:t>七、</w:t>
      </w:r>
      <w:r>
        <w:rPr>
          <w:rFonts w:hint="eastAsia" w:ascii="黑体" w:hAnsi="黑体" w:eastAsia="黑体"/>
        </w:rPr>
        <w:t>一般公共预算财政拨款项目支出决算情况说明</w:t>
      </w:r>
      <w:r>
        <w:tab/>
      </w:r>
      <w:r>
        <w:fldChar w:fldCharType="begin"/>
      </w:r>
      <w:r>
        <w:instrText xml:space="preserve"> PAGEREF _Toc23394 \h </w:instrText>
      </w:r>
      <w:r>
        <w:fldChar w:fldCharType="separate"/>
      </w:r>
      <w:r>
        <w:t>10</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_Toc23331 </w:instrText>
      </w:r>
      <w:r>
        <w:rPr>
          <w:rFonts w:ascii="仿宋" w:hAnsi="Calibri" w:eastAsia="仿宋"/>
          <w:bCs/>
          <w:caps/>
          <w:szCs w:val="20"/>
        </w:rPr>
        <w:fldChar w:fldCharType="separate"/>
      </w:r>
      <w:r>
        <w:rPr>
          <w:rFonts w:hint="eastAsia" w:ascii="黑体" w:hAnsi="黑体" w:eastAsia="黑体"/>
        </w:rPr>
        <w:t>八、“三公”经费财政拨款支出决算情况说明</w:t>
      </w:r>
      <w:r>
        <w:tab/>
      </w:r>
      <w:r>
        <w:fldChar w:fldCharType="begin"/>
      </w:r>
      <w:r>
        <w:instrText xml:space="preserve"> PAGEREF _Toc23331 \h </w:instrText>
      </w:r>
      <w:r>
        <w:fldChar w:fldCharType="separate"/>
      </w:r>
      <w:r>
        <w:t>10</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_Toc23959 </w:instrText>
      </w:r>
      <w:r>
        <w:rPr>
          <w:rFonts w:ascii="仿宋" w:hAnsi="Calibri" w:eastAsia="仿宋"/>
          <w:bCs/>
          <w:caps/>
          <w:szCs w:val="20"/>
        </w:rPr>
        <w:fldChar w:fldCharType="separate"/>
      </w:r>
      <w:r>
        <w:rPr>
          <w:rFonts w:hint="eastAsia" w:ascii="黑体" w:eastAsia="黑体"/>
          <w:szCs w:val="32"/>
        </w:rPr>
        <w:t>九、</w:t>
      </w:r>
      <w:r>
        <w:rPr>
          <w:rFonts w:hint="eastAsia" w:ascii="黑体" w:hAnsi="黑体" w:eastAsia="黑体"/>
        </w:rPr>
        <w:t>政府性基金预算支出决算情况说明</w:t>
      </w:r>
      <w:r>
        <w:tab/>
      </w:r>
      <w:r>
        <w:fldChar w:fldCharType="begin"/>
      </w:r>
      <w:r>
        <w:instrText xml:space="preserve"> PAGEREF _Toc23959 \h </w:instrText>
      </w:r>
      <w:r>
        <w:fldChar w:fldCharType="separate"/>
      </w:r>
      <w:r>
        <w:t>12</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_Toc7176 </w:instrText>
      </w:r>
      <w:r>
        <w:rPr>
          <w:rFonts w:ascii="仿宋" w:hAnsi="Calibri" w:eastAsia="仿宋"/>
          <w:bCs/>
          <w:caps/>
          <w:szCs w:val="20"/>
        </w:rPr>
        <w:fldChar w:fldCharType="separate"/>
      </w:r>
      <w:r>
        <w:rPr>
          <w:rFonts w:hint="eastAsia" w:ascii="黑体" w:hAnsi="黑体" w:eastAsia="黑体"/>
        </w:rPr>
        <w:t>十、国有资本经营预算支出决算情况说明</w:t>
      </w:r>
      <w:r>
        <w:tab/>
      </w:r>
      <w:r>
        <w:fldChar w:fldCharType="begin"/>
      </w:r>
      <w:r>
        <w:instrText xml:space="preserve"> PAGEREF _Toc7176 \h </w:instrText>
      </w:r>
      <w:r>
        <w:fldChar w:fldCharType="separate"/>
      </w:r>
      <w:r>
        <w:t>12</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_Toc28281 </w:instrText>
      </w:r>
      <w:r>
        <w:rPr>
          <w:rFonts w:ascii="仿宋" w:hAnsi="Calibri" w:eastAsia="仿宋"/>
          <w:bCs/>
          <w:caps/>
          <w:szCs w:val="20"/>
        </w:rPr>
        <w:fldChar w:fldCharType="separate"/>
      </w:r>
      <w:r>
        <w:rPr>
          <w:rFonts w:hint="eastAsia" w:ascii="黑体" w:hAnsi="黑体" w:eastAsia="黑体"/>
          <w:szCs w:val="32"/>
        </w:rPr>
        <w:t>十一</w:t>
      </w:r>
      <w:r>
        <w:rPr>
          <w:rFonts w:hint="eastAsia" w:ascii="黑体" w:hAnsi="黑体" w:eastAsia="黑体"/>
        </w:rPr>
        <w:t>、其他重要事项的情况说明</w:t>
      </w:r>
      <w:r>
        <w:tab/>
      </w:r>
      <w:r>
        <w:fldChar w:fldCharType="begin"/>
      </w:r>
      <w:r>
        <w:instrText xml:space="preserve"> PAGEREF _Toc28281 \h </w:instrText>
      </w:r>
      <w:r>
        <w:fldChar w:fldCharType="separate"/>
      </w:r>
      <w:r>
        <w:t>12</w:t>
      </w:r>
      <w:r>
        <w:fldChar w:fldCharType="end"/>
      </w:r>
      <w:r>
        <w:rPr>
          <w:rFonts w:ascii="仿宋" w:hAnsi="Calibri" w:eastAsia="仿宋"/>
          <w:bCs/>
          <w:caps/>
          <w:szCs w:val="20"/>
        </w:rPr>
        <w:fldChar w:fldCharType="end"/>
      </w:r>
    </w:p>
    <w:p>
      <w:pPr>
        <w:pStyle w:val="13"/>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_Toc28741 </w:instrText>
      </w:r>
      <w:r>
        <w:rPr>
          <w:rFonts w:ascii="仿宋" w:hAnsi="Calibri" w:eastAsia="仿宋"/>
          <w:bCs/>
          <w:caps/>
          <w:szCs w:val="20"/>
        </w:rP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_Toc28741 \h </w:instrText>
      </w:r>
      <w:r>
        <w:fldChar w:fldCharType="separate"/>
      </w:r>
      <w:r>
        <w:t>16</w:t>
      </w:r>
      <w:r>
        <w:fldChar w:fldCharType="end"/>
      </w:r>
      <w:r>
        <w:rPr>
          <w:rFonts w:ascii="仿宋" w:hAnsi="Calibri" w:eastAsia="仿宋"/>
          <w:bCs/>
          <w:caps/>
          <w:szCs w:val="20"/>
        </w:rPr>
        <w:fldChar w:fldCharType="end"/>
      </w:r>
    </w:p>
    <w:p>
      <w:pPr>
        <w:pStyle w:val="13"/>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_Toc22583 </w:instrText>
      </w:r>
      <w:r>
        <w:rPr>
          <w:rFonts w:ascii="仿宋" w:hAnsi="Calibri" w:eastAsia="仿宋"/>
          <w:bCs/>
          <w:caps/>
          <w:szCs w:val="20"/>
        </w:rP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_Toc22583 \h </w:instrText>
      </w:r>
      <w:r>
        <w:fldChar w:fldCharType="separate"/>
      </w:r>
      <w:r>
        <w:t>19</w:t>
      </w:r>
      <w:r>
        <w:fldChar w:fldCharType="end"/>
      </w:r>
      <w:r>
        <w:rPr>
          <w:rFonts w:ascii="仿宋" w:hAnsi="Calibri" w:eastAsia="仿宋"/>
          <w:bCs/>
          <w:caps/>
          <w:szCs w:val="20"/>
        </w:rPr>
        <w:fldChar w:fldCharType="end"/>
      </w:r>
    </w:p>
    <w:p>
      <w:pPr>
        <w:pStyle w:val="13"/>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_Toc3666 </w:instrText>
      </w:r>
      <w:r>
        <w:rPr>
          <w:rFonts w:ascii="仿宋" w:hAnsi="Calibri" w:eastAsia="仿宋"/>
          <w:bCs/>
          <w:caps/>
          <w:szCs w:val="20"/>
        </w:rPr>
        <w:fldChar w:fldCharType="separate"/>
      </w:r>
      <w:r>
        <w:rPr>
          <w:rFonts w:hint="eastAsia" w:ascii="黑体" w:hAnsi="黑体" w:eastAsia="黑体" w:cs="黑体"/>
          <w:szCs w:val="32"/>
        </w:rPr>
        <w:t>附件1</w:t>
      </w:r>
      <w:r>
        <w:tab/>
      </w:r>
      <w:r>
        <w:fldChar w:fldCharType="begin"/>
      </w:r>
      <w:r>
        <w:instrText xml:space="preserve"> PAGEREF _Toc3666 \h </w:instrText>
      </w:r>
      <w:r>
        <w:fldChar w:fldCharType="separate"/>
      </w:r>
      <w:r>
        <w:t>19</w:t>
      </w:r>
      <w:r>
        <w:fldChar w:fldCharType="end"/>
      </w:r>
      <w:r>
        <w:rPr>
          <w:rFonts w:ascii="仿宋" w:hAnsi="Calibri" w:eastAsia="仿宋"/>
          <w:bCs/>
          <w:caps/>
          <w:szCs w:val="20"/>
        </w:rPr>
        <w:fldChar w:fldCharType="end"/>
      </w:r>
    </w:p>
    <w:p>
      <w:pPr>
        <w:pStyle w:val="13"/>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_Toc16476 </w:instrText>
      </w:r>
      <w:r>
        <w:rPr>
          <w:rFonts w:ascii="仿宋" w:hAnsi="Calibri" w:eastAsia="仿宋"/>
          <w:bCs/>
          <w:caps/>
          <w:szCs w:val="20"/>
        </w:rPr>
        <w:fldChar w:fldCharType="separate"/>
      </w:r>
      <w:r>
        <w:rPr>
          <w:rFonts w:hint="eastAsia" w:ascii="黑体" w:hAnsi="黑体" w:eastAsia="黑体" w:cs="黑体"/>
          <w:szCs w:val="32"/>
        </w:rPr>
        <w:t>附件2</w:t>
      </w:r>
      <w:r>
        <w:tab/>
      </w:r>
      <w:r>
        <w:fldChar w:fldCharType="begin"/>
      </w:r>
      <w:r>
        <w:instrText xml:space="preserve"> PAGEREF _Toc16476 \h </w:instrText>
      </w:r>
      <w:r>
        <w:fldChar w:fldCharType="separate"/>
      </w:r>
      <w:r>
        <w:t>26</w:t>
      </w:r>
      <w:r>
        <w:fldChar w:fldCharType="end"/>
      </w:r>
      <w:r>
        <w:rPr>
          <w:rFonts w:ascii="仿宋" w:hAnsi="Calibri" w:eastAsia="仿宋"/>
          <w:bCs/>
          <w:caps/>
          <w:szCs w:val="20"/>
        </w:rPr>
        <w:fldChar w:fldCharType="end"/>
      </w:r>
    </w:p>
    <w:p>
      <w:pPr>
        <w:pStyle w:val="13"/>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_Toc4765 </w:instrText>
      </w:r>
      <w:r>
        <w:rPr>
          <w:rFonts w:ascii="仿宋" w:hAnsi="Calibri" w:eastAsia="仿宋"/>
          <w:bCs/>
          <w:caps/>
          <w:szCs w:val="20"/>
        </w:rPr>
        <w:fldChar w:fldCharType="separate"/>
      </w:r>
      <w:r>
        <w:rPr>
          <w:rFonts w:hint="eastAsia" w:ascii="黑体" w:hAnsi="黑体" w:eastAsia="黑体" w:cs="黑体"/>
          <w:szCs w:val="32"/>
          <w:lang w:eastAsia="zh-CN"/>
        </w:rPr>
        <w:t>附件</w:t>
      </w:r>
      <w:r>
        <w:rPr>
          <w:rFonts w:hint="eastAsia" w:ascii="黑体" w:hAnsi="黑体" w:eastAsia="黑体" w:cs="黑体"/>
          <w:szCs w:val="32"/>
          <w:lang w:val="en-US" w:eastAsia="zh-CN"/>
        </w:rPr>
        <w:t>3</w:t>
      </w:r>
      <w:r>
        <w:rPr>
          <w:rFonts w:hint="eastAsia" w:ascii="黑体" w:hAnsi="黑体" w:eastAsia="黑体" w:cs="黑体"/>
          <w:szCs w:val="32"/>
          <w:lang w:eastAsia="zh-CN"/>
        </w:rPr>
        <w:t>：</w:t>
      </w:r>
      <w:r>
        <w:tab/>
      </w:r>
      <w:r>
        <w:fldChar w:fldCharType="begin"/>
      </w:r>
      <w:r>
        <w:instrText xml:space="preserve"> PAGEREF _Toc4765 \h </w:instrText>
      </w:r>
      <w:r>
        <w:fldChar w:fldCharType="separate"/>
      </w:r>
      <w:r>
        <w:t>30</w:t>
      </w:r>
      <w:r>
        <w:fldChar w:fldCharType="end"/>
      </w:r>
      <w:r>
        <w:rPr>
          <w:rFonts w:ascii="仿宋" w:hAnsi="Calibri" w:eastAsia="仿宋"/>
          <w:bCs/>
          <w:caps/>
          <w:szCs w:val="20"/>
        </w:rPr>
        <w:fldChar w:fldCharType="end"/>
      </w:r>
    </w:p>
    <w:p>
      <w:pPr>
        <w:pStyle w:val="13"/>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_Toc29290 </w:instrText>
      </w:r>
      <w:r>
        <w:rPr>
          <w:rFonts w:ascii="仿宋" w:hAnsi="Calibri" w:eastAsia="仿宋"/>
          <w:bCs/>
          <w:caps/>
          <w:szCs w:val="20"/>
        </w:rP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_Toc29290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_Toc24646 </w:instrText>
      </w:r>
      <w:r>
        <w:rPr>
          <w:rFonts w:ascii="仿宋" w:hAnsi="Calibri" w:eastAsia="仿宋"/>
          <w:bCs/>
          <w:caps/>
          <w:szCs w:val="20"/>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_Toc24646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_Toc31772 </w:instrText>
      </w:r>
      <w:r>
        <w:rPr>
          <w:rFonts w:ascii="仿宋" w:hAnsi="Calibri" w:eastAsia="仿宋"/>
          <w:bCs/>
          <w:caps/>
          <w:szCs w:val="20"/>
        </w:rP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_Toc31772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_Toc4295 </w:instrText>
      </w:r>
      <w:r>
        <w:rPr>
          <w:rFonts w:ascii="仿宋" w:hAnsi="Calibri" w:eastAsia="仿宋"/>
          <w:bCs/>
          <w:caps/>
          <w:szCs w:val="20"/>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_Toc4295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_Toc4334 </w:instrText>
      </w:r>
      <w:r>
        <w:rPr>
          <w:rFonts w:ascii="仿宋" w:hAnsi="Calibri" w:eastAsia="仿宋"/>
          <w:bCs/>
          <w:caps/>
          <w:szCs w:val="20"/>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_Toc4334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_Toc12791 </w:instrText>
      </w:r>
      <w:r>
        <w:rPr>
          <w:rFonts w:ascii="仿宋" w:hAnsi="Calibri" w:eastAsia="仿宋"/>
          <w:bCs/>
          <w:caps/>
          <w:szCs w:val="20"/>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_Toc12791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_Toc5780 </w:instrText>
      </w:r>
      <w:r>
        <w:rPr>
          <w:rFonts w:ascii="仿宋" w:hAnsi="Calibri" w:eastAsia="仿宋"/>
          <w:bCs/>
          <w:caps/>
          <w:szCs w:val="20"/>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_Toc5780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_Toc19716 </w:instrText>
      </w:r>
      <w:r>
        <w:rPr>
          <w:rFonts w:ascii="仿宋" w:hAnsi="Calibri" w:eastAsia="仿宋"/>
          <w:bCs/>
          <w:caps/>
          <w:szCs w:val="20"/>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_Toc19716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_Toc2701 </w:instrText>
      </w:r>
      <w:r>
        <w:rPr>
          <w:rFonts w:ascii="仿宋" w:hAnsi="Calibri" w:eastAsia="仿宋"/>
          <w:bCs/>
          <w:caps/>
          <w:szCs w:val="20"/>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_Toc2701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_Toc18007 </w:instrText>
      </w:r>
      <w:r>
        <w:rPr>
          <w:rFonts w:ascii="仿宋" w:hAnsi="Calibri" w:eastAsia="仿宋"/>
          <w:bCs/>
          <w:caps/>
          <w:szCs w:val="20"/>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_Toc18007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_Toc12537 </w:instrText>
      </w:r>
      <w:r>
        <w:rPr>
          <w:rFonts w:ascii="仿宋" w:hAnsi="Calibri" w:eastAsia="仿宋"/>
          <w:bCs/>
          <w:caps/>
          <w:szCs w:val="20"/>
        </w:rP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_Toc12537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_Toc25986 </w:instrText>
      </w:r>
      <w:r>
        <w:rPr>
          <w:rFonts w:ascii="仿宋" w:hAnsi="Calibri" w:eastAsia="仿宋"/>
          <w:bCs/>
          <w:caps/>
          <w:szCs w:val="20"/>
        </w:rP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_Toc25986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_Toc16207 </w:instrText>
      </w:r>
      <w:r>
        <w:rPr>
          <w:rFonts w:ascii="仿宋" w:hAnsi="Calibri" w:eastAsia="仿宋"/>
          <w:bCs/>
          <w:caps/>
          <w:szCs w:val="20"/>
        </w:rP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_Toc16207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_Toc3488 </w:instrText>
      </w:r>
      <w:r>
        <w:rPr>
          <w:rFonts w:ascii="仿宋" w:hAnsi="Calibri" w:eastAsia="仿宋"/>
          <w:bCs/>
          <w:caps/>
          <w:szCs w:val="20"/>
        </w:rPr>
        <w:fldChar w:fldCharType="separate"/>
      </w:r>
      <w:r>
        <w:rPr>
          <w:rFonts w:hint="eastAsia" w:ascii="仿宋" w:hAnsi="仿宋" w:eastAsia="仿宋"/>
          <w:bCs w:val="0"/>
        </w:rPr>
        <w:t>十三、</w:t>
      </w:r>
      <w:r>
        <w:rPr>
          <w:rFonts w:hint="eastAsia" w:ascii="仿宋" w:hAnsi="仿宋" w:eastAsia="仿宋"/>
        </w:rPr>
        <w:t>国有资本经营预算财政拨款收入支出决算表</w:t>
      </w:r>
      <w:r>
        <w:tab/>
      </w:r>
      <w:r>
        <w:fldChar w:fldCharType="begin"/>
      </w:r>
      <w:r>
        <w:instrText xml:space="preserve"> PAGEREF _Toc3488 \h </w:instrText>
      </w:r>
      <w:r>
        <w:fldChar w:fldCharType="separate"/>
      </w:r>
      <w:r>
        <w:t>31</w:t>
      </w:r>
      <w:r>
        <w:fldChar w:fldCharType="end"/>
      </w:r>
      <w:r>
        <w:rPr>
          <w:rFonts w:ascii="仿宋" w:hAnsi="Calibri" w:eastAsia="仿宋"/>
          <w:bCs/>
          <w:caps/>
          <w:szCs w:val="20"/>
        </w:rPr>
        <w:fldChar w:fldCharType="end"/>
      </w:r>
    </w:p>
    <w:p>
      <w:pPr>
        <w:pStyle w:val="16"/>
        <w:tabs>
          <w:tab w:val="right" w:leader="dot" w:pos="8306"/>
        </w:tabs>
      </w:pPr>
      <w:r>
        <w:rPr>
          <w:rFonts w:ascii="仿宋" w:hAnsi="Calibri" w:eastAsia="仿宋"/>
          <w:bCs/>
          <w:caps/>
          <w:szCs w:val="20"/>
        </w:rPr>
        <w:fldChar w:fldCharType="begin"/>
      </w:r>
      <w:r>
        <w:rPr>
          <w:rFonts w:ascii="仿宋" w:hAnsi="Calibri" w:eastAsia="仿宋"/>
          <w:bCs/>
          <w:caps/>
          <w:szCs w:val="20"/>
        </w:rPr>
        <w:instrText xml:space="preserve"> HYPERLINK \l _Toc2482 </w:instrText>
      </w:r>
      <w:r>
        <w:rPr>
          <w:rFonts w:ascii="仿宋" w:hAnsi="Calibri" w:eastAsia="仿宋"/>
          <w:bCs/>
          <w:caps/>
          <w:szCs w:val="20"/>
        </w:rPr>
        <w:fldChar w:fldCharType="separate"/>
      </w:r>
      <w:r>
        <w:rPr>
          <w:rFonts w:hint="eastAsia" w:ascii="仿宋" w:hAnsi="仿宋" w:eastAsia="仿宋"/>
        </w:rPr>
        <w:t>十四、国</w:t>
      </w:r>
      <w:r>
        <w:rPr>
          <w:rFonts w:hint="eastAsia" w:ascii="仿宋" w:hAnsi="仿宋" w:eastAsia="仿宋"/>
          <w:bCs w:val="0"/>
        </w:rPr>
        <w:t>有资本经营预算财政拨款支出决算表</w:t>
      </w:r>
      <w:r>
        <w:tab/>
      </w:r>
      <w:r>
        <w:fldChar w:fldCharType="begin"/>
      </w:r>
      <w:r>
        <w:instrText xml:space="preserve"> PAGEREF _Toc2482 \h </w:instrText>
      </w:r>
      <w:r>
        <w:fldChar w:fldCharType="separate"/>
      </w:r>
      <w:r>
        <w:t>31</w:t>
      </w:r>
      <w:r>
        <w:fldChar w:fldCharType="end"/>
      </w:r>
      <w:r>
        <w:rPr>
          <w:rFonts w:ascii="仿宋" w:hAnsi="Calibri" w:eastAsia="仿宋"/>
          <w:bCs/>
          <w:caps/>
          <w:szCs w:val="20"/>
        </w:rPr>
        <w:fldChar w:fldCharType="end"/>
      </w:r>
    </w:p>
    <w:p>
      <w:pPr>
        <w:rPr>
          <w:rFonts w:ascii="仿宋" w:hAnsi="Calibri" w:eastAsia="仿宋"/>
          <w:bCs/>
          <w:caps/>
          <w:sz w:val="28"/>
          <w:szCs w:val="20"/>
        </w:rPr>
      </w:pPr>
      <w:r>
        <w:rPr>
          <w:rFonts w:ascii="仿宋" w:hAnsi="Calibri" w:eastAsia="仿宋"/>
          <w:bCs/>
          <w:caps/>
          <w:szCs w:val="20"/>
        </w:rPr>
        <w:fldChar w:fldCharType="end"/>
      </w:r>
    </w:p>
    <w:p>
      <w:pPr>
        <w:pStyle w:val="2"/>
        <w:jc w:val="center"/>
        <w:rPr>
          <w:rStyle w:val="30"/>
          <w:rFonts w:ascii="黑体" w:hAnsi="黑体" w:eastAsia="黑体"/>
          <w:b/>
          <w:bCs w:val="0"/>
        </w:rPr>
      </w:pPr>
      <w:bookmarkStart w:id="14" w:name="_Toc18655"/>
      <w:r>
        <w:rPr>
          <w:rFonts w:hint="eastAsia" w:ascii="黑体" w:hAnsi="黑体" w:eastAsia="黑体"/>
          <w:b w:val="0"/>
        </w:rPr>
        <w:t xml:space="preserve">第一部分 </w:t>
      </w:r>
      <w:r>
        <w:rPr>
          <w:rStyle w:val="30"/>
          <w:rFonts w:hint="eastAsia" w:ascii="黑体" w:hAnsi="黑体" w:eastAsia="黑体"/>
          <w:b w:val="0"/>
          <w:bCs w:val="0"/>
        </w:rPr>
        <w:t>单位概况</w:t>
      </w:r>
      <w:bookmarkEnd w:id="12"/>
      <w:bookmarkEnd w:id="13"/>
      <w:bookmarkEnd w:id="14"/>
    </w:p>
    <w:p>
      <w:pPr>
        <w:pStyle w:val="3"/>
        <w:rPr>
          <w:rStyle w:val="31"/>
          <w:rFonts w:hint="eastAsia" w:ascii="黑体" w:hAnsi="黑体" w:eastAsia="黑体"/>
          <w:b w:val="0"/>
          <w:bCs w:val="0"/>
          <w:lang w:eastAsia="zh-CN"/>
        </w:rPr>
      </w:pPr>
      <w:bookmarkStart w:id="15" w:name="_Toc15396600"/>
      <w:bookmarkStart w:id="16" w:name="_Toc15377197"/>
      <w:bookmarkStart w:id="17" w:name="_Toc11791"/>
      <w:r>
        <w:rPr>
          <w:rFonts w:hint="eastAsia" w:ascii="黑体" w:hAnsi="黑体" w:eastAsia="黑体"/>
          <w:b w:val="0"/>
          <w:color w:val="000000"/>
        </w:rPr>
        <w:t>一、基</w:t>
      </w:r>
      <w:r>
        <w:rPr>
          <w:rStyle w:val="31"/>
          <w:rFonts w:hint="eastAsia" w:ascii="黑体" w:hAnsi="黑体" w:eastAsia="黑体"/>
          <w:b w:val="0"/>
          <w:bCs w:val="0"/>
        </w:rPr>
        <w:t>本职能</w:t>
      </w:r>
      <w:bookmarkEnd w:id="15"/>
      <w:bookmarkEnd w:id="16"/>
      <w:r>
        <w:rPr>
          <w:rStyle w:val="31"/>
          <w:rFonts w:hint="eastAsia" w:ascii="黑体" w:hAnsi="黑体" w:eastAsia="黑体"/>
          <w:b w:val="0"/>
          <w:bCs w:val="0"/>
          <w:lang w:eastAsia="zh-CN"/>
        </w:rPr>
        <w:t>及主要工作。</w:t>
      </w:r>
      <w:bookmarkEnd w:id="17"/>
    </w:p>
    <w:p>
      <w:pPr>
        <w:rPr>
          <w:rFonts w:hint="eastAsia" w:asciiTheme="minorEastAsia" w:hAnsiTheme="minorEastAsia" w:eastAsiaTheme="minorEastAsia" w:cstheme="minorEastAsia"/>
          <w:b w:val="0"/>
          <w:bCs w:val="0"/>
          <w:lang w:eastAsia="zh-CN"/>
        </w:rPr>
      </w:pPr>
      <w:bookmarkStart w:id="18" w:name="_Toc10184"/>
      <w:r>
        <w:rPr>
          <w:rStyle w:val="31"/>
          <w:rFonts w:hint="eastAsia" w:asciiTheme="minorEastAsia" w:hAnsiTheme="minorEastAsia" w:eastAsiaTheme="minorEastAsia" w:cstheme="minorEastAsia"/>
          <w:b w:val="0"/>
          <w:bCs w:val="0"/>
          <w:lang w:eastAsia="zh-CN"/>
        </w:rPr>
        <w:t>（</w:t>
      </w:r>
      <w:r>
        <w:rPr>
          <w:rStyle w:val="31"/>
          <w:rFonts w:hint="eastAsia" w:asciiTheme="minorEastAsia" w:hAnsiTheme="minorEastAsia" w:eastAsiaTheme="minorEastAsia" w:cstheme="minorEastAsia"/>
          <w:b w:val="0"/>
          <w:bCs w:val="0"/>
          <w:lang w:val="en-US" w:eastAsia="zh-CN"/>
        </w:rPr>
        <w:t>1</w:t>
      </w:r>
      <w:r>
        <w:rPr>
          <w:rStyle w:val="31"/>
          <w:rFonts w:hint="eastAsia" w:asciiTheme="minorEastAsia" w:hAnsiTheme="minorEastAsia" w:eastAsiaTheme="minorEastAsia" w:cstheme="minorEastAsia"/>
          <w:b w:val="0"/>
          <w:bCs w:val="0"/>
          <w:lang w:eastAsia="zh-CN"/>
        </w:rPr>
        <w:t>）基本职能</w:t>
      </w:r>
      <w:bookmarkEnd w:id="18"/>
    </w:p>
    <w:p>
      <w:pPr>
        <w:spacing w:line="590" w:lineRule="exact"/>
        <w:ind w:firstLine="640" w:firstLineChars="200"/>
        <w:rPr>
          <w:rFonts w:hint="eastAsia" w:ascii="仿宋" w:hAnsi="仿宋" w:eastAsia="仿宋" w:cs="仿宋"/>
          <w:sz w:val="32"/>
          <w:szCs w:val="32"/>
        </w:rPr>
      </w:pPr>
      <w:r>
        <w:rPr>
          <w:rFonts w:eastAsia="仿宋"/>
          <w:sz w:val="32"/>
        </w:rPr>
        <w:t>负责抢救井下遇险遇难人员，处理井下水、火、瓦斯、煤尘和顶板等灾害事故。</w:t>
      </w:r>
    </w:p>
    <w:p>
      <w:pPr>
        <w:pStyle w:val="3"/>
        <w:rPr>
          <w:rFonts w:hint="eastAsia" w:asciiTheme="minorEastAsia" w:hAnsiTheme="minorEastAsia" w:eastAsiaTheme="minorEastAsia" w:cstheme="minorEastAsia"/>
          <w:b w:val="0"/>
          <w:color w:val="000000"/>
          <w:lang w:val="en-US" w:eastAsia="zh-CN"/>
        </w:rPr>
      </w:pPr>
      <w:bookmarkStart w:id="19" w:name="_Toc13613"/>
      <w:r>
        <w:rPr>
          <w:rFonts w:hint="eastAsia" w:asciiTheme="minorEastAsia" w:hAnsiTheme="minorEastAsia" w:eastAsiaTheme="minorEastAsia" w:cstheme="minorEastAsia"/>
          <w:b w:val="0"/>
          <w:color w:val="000000"/>
          <w:lang w:val="en-US" w:eastAsia="zh-CN"/>
        </w:rPr>
        <w:t>（2）主要工作</w:t>
      </w:r>
      <w:bookmarkEnd w:id="19"/>
    </w:p>
    <w:p>
      <w:pPr>
        <w:spacing w:line="590" w:lineRule="exact"/>
        <w:ind w:firstLine="640" w:firstLineChars="200"/>
        <w:rPr>
          <w:rFonts w:hint="eastAsia" w:eastAsia="仿宋"/>
          <w:sz w:val="32"/>
        </w:rPr>
      </w:pPr>
      <w:r>
        <w:rPr>
          <w:rFonts w:hint="eastAsia" w:ascii="仿宋" w:hAnsi="仿宋" w:eastAsia="仿宋" w:cs="仿宋"/>
          <w:sz w:val="32"/>
        </w:rPr>
        <w:t>一是认真组织开展救护业务理论知识、救护设备操作、医疗急救、一般技术操作、应急救援演练、军事化队容、风纪、礼节等的学习训练；二是强化战备值班，实行准军</w:t>
      </w:r>
      <w:r>
        <w:rPr>
          <w:rFonts w:hint="eastAsia" w:eastAsia="仿宋"/>
          <w:sz w:val="32"/>
        </w:rPr>
        <w:t>事化管理，严格24小时战备值班制度，保证队伍随时处于应急战备状态；三是为煤矿提供技术服务，排除事故隐患。为辖区煤矿企业启封密闭、瓦斯排放等安全技术工作4次，出动55人次；参加洪涝抢险3次；参加广宁市场突发事件1次，圆满完成各项任务。参加了2021年度四川省安全生产（矿山）专业救援二级队伍技术竞赛并获得一等奖 。加强战备值班，积极主动完成领导交办的各项任务,市矿山救护大队实行24小时全天候战备值守，保证队伍随时处于战备状态，做到了“闻警即到、速战能胜”。</w:t>
      </w:r>
    </w:p>
    <w:p>
      <w:pPr>
        <w:pStyle w:val="3"/>
        <w:numPr>
          <w:ilvl w:val="0"/>
          <w:numId w:val="1"/>
        </w:numPr>
        <w:rPr>
          <w:rStyle w:val="31"/>
          <w:rFonts w:hint="eastAsia" w:ascii="黑体" w:hAnsi="黑体" w:eastAsia="黑体"/>
          <w:b w:val="0"/>
          <w:bCs w:val="0"/>
          <w:lang w:eastAsia="zh-CN"/>
        </w:rPr>
      </w:pPr>
      <w:bookmarkStart w:id="20" w:name="_Toc31231"/>
      <w:r>
        <w:rPr>
          <w:rFonts w:hint="eastAsia" w:ascii="黑体" w:hAnsi="黑体" w:eastAsia="黑体"/>
          <w:b w:val="0"/>
          <w:color w:val="000000"/>
          <w:lang w:eastAsia="zh-CN"/>
        </w:rPr>
        <w:t>机构设置</w:t>
      </w:r>
      <w:r>
        <w:rPr>
          <w:rStyle w:val="31"/>
          <w:rFonts w:hint="eastAsia" w:ascii="黑体" w:hAnsi="黑体" w:eastAsia="黑体"/>
          <w:b w:val="0"/>
          <w:bCs w:val="0"/>
          <w:lang w:eastAsia="zh-CN"/>
        </w:rPr>
        <w:t>。</w:t>
      </w:r>
      <w:bookmarkEnd w:id="20"/>
    </w:p>
    <w:p>
      <w:pPr>
        <w:numPr>
          <w:ilvl w:val="0"/>
          <w:numId w:val="0"/>
        </w:numPr>
        <w:rPr>
          <w:rFonts w:ascii="仿宋" w:hAnsi="仿宋" w:eastAsia="仿宋"/>
          <w:color w:val="000000"/>
          <w:kern w:val="0"/>
          <w:sz w:val="32"/>
          <w:szCs w:val="32"/>
        </w:rPr>
      </w:pPr>
      <w:r>
        <w:rPr>
          <w:rFonts w:hint="eastAsia"/>
          <w:lang w:val="en-US" w:eastAsia="zh-CN"/>
        </w:rPr>
        <w:t xml:space="preserve">   </w:t>
      </w:r>
      <w:r>
        <w:rPr>
          <w:rFonts w:hint="eastAsia" w:ascii="仿宋_GB2312" w:eastAsia="仿宋_GB2312"/>
          <w:sz w:val="32"/>
          <w:szCs w:val="32"/>
        </w:rPr>
        <w:t>广安市矿山救护大队</w:t>
      </w:r>
      <w:r>
        <w:rPr>
          <w:rFonts w:hint="eastAsia" w:ascii="仿宋_GB2312" w:eastAsia="仿宋_GB2312"/>
          <w:sz w:val="32"/>
          <w:szCs w:val="32"/>
          <w:lang w:eastAsia="zh-CN"/>
        </w:rPr>
        <w:t>为</w:t>
      </w:r>
      <w:r>
        <w:rPr>
          <w:rFonts w:hint="eastAsia" w:ascii="仿宋_GB2312" w:eastAsia="仿宋_GB2312"/>
          <w:sz w:val="32"/>
          <w:szCs w:val="32"/>
        </w:rPr>
        <w:t>广安市应急局</w:t>
      </w:r>
      <w:r>
        <w:rPr>
          <w:rFonts w:hint="eastAsia" w:ascii="仿宋_GB2312" w:eastAsia="仿宋_GB2312"/>
          <w:sz w:val="32"/>
          <w:szCs w:val="32"/>
          <w:lang w:eastAsia="zh-CN"/>
        </w:rPr>
        <w:t>管理的副县级公益一类事业单位</w:t>
      </w:r>
      <w:r>
        <w:rPr>
          <w:rFonts w:hint="eastAsia" w:ascii="仿宋_GB2312" w:eastAsia="仿宋_GB2312"/>
          <w:sz w:val="32"/>
          <w:szCs w:val="32"/>
        </w:rPr>
        <w:t>，大队设置有办公室、总工室、战训科、直属中队，现有事业编制8人和救护队员</w:t>
      </w:r>
      <w:r>
        <w:rPr>
          <w:rFonts w:hint="eastAsia" w:ascii="仿宋_GB2312" w:eastAsia="仿宋_GB2312"/>
          <w:sz w:val="32"/>
          <w:szCs w:val="32"/>
          <w:lang w:val="en-US" w:eastAsia="zh-CN"/>
        </w:rPr>
        <w:t>44</w:t>
      </w:r>
      <w:r>
        <w:rPr>
          <w:rFonts w:hint="eastAsia" w:ascii="仿宋_GB2312" w:eastAsia="仿宋_GB2312"/>
          <w:sz w:val="32"/>
          <w:szCs w:val="32"/>
        </w:rPr>
        <w:t>人定额临聘岗位，均纳入市财政全额拨款</w:t>
      </w:r>
      <w:r>
        <w:rPr>
          <w:rFonts w:hint="eastAsia" w:ascii="仿宋_GB2312" w:eastAsia="仿宋_GB2312"/>
          <w:sz w:val="32"/>
          <w:szCs w:val="32"/>
          <w:lang w:eastAsia="zh-CN"/>
        </w:rPr>
        <w:t>。</w:t>
      </w:r>
    </w:p>
    <w:p>
      <w:pPr>
        <w:pStyle w:val="2"/>
        <w:ind w:right="440"/>
        <w:jc w:val="right"/>
        <w:rPr>
          <w:rStyle w:val="30"/>
          <w:rFonts w:ascii="黑体" w:hAnsi="黑体" w:eastAsia="黑体"/>
          <w:b w:val="0"/>
          <w:bCs w:val="0"/>
        </w:rPr>
      </w:pPr>
      <w:bookmarkStart w:id="21" w:name="_Toc15396602"/>
      <w:bookmarkStart w:id="22" w:name="_Toc37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30"/>
          <w:rFonts w:hint="eastAsia" w:ascii="黑体" w:hAnsi="黑体" w:eastAsia="黑体"/>
          <w:b w:val="0"/>
          <w:bCs w:val="0"/>
        </w:rPr>
        <w:t>2021年度单位决算情况说明</w:t>
      </w:r>
      <w:bookmarkEnd w:id="21"/>
      <w:bookmarkEnd w:id="22"/>
      <w:bookmarkEnd w:id="23"/>
    </w:p>
    <w:p>
      <w:pPr>
        <w:pStyle w:val="29"/>
        <w:numPr>
          <w:ilvl w:val="0"/>
          <w:numId w:val="2"/>
        </w:numPr>
        <w:spacing w:line="600" w:lineRule="exact"/>
        <w:ind w:firstLineChars="0"/>
        <w:outlineLvl w:val="1"/>
        <w:rPr>
          <w:rStyle w:val="31"/>
          <w:rFonts w:ascii="黑体" w:hAnsi="黑体" w:eastAsia="黑体"/>
          <w:b w:val="0"/>
        </w:rPr>
      </w:pPr>
      <w:bookmarkStart w:id="24" w:name="_Toc15377205"/>
      <w:bookmarkStart w:id="25" w:name="_Toc27264"/>
      <w:bookmarkStart w:id="26" w:name="_Toc15396603"/>
      <w:r>
        <w:rPr>
          <w:rFonts w:hint="eastAsia" w:ascii="黑体" w:hAnsi="黑体" w:eastAsia="黑体"/>
          <w:color w:val="000000"/>
          <w:sz w:val="32"/>
          <w:szCs w:val="32"/>
        </w:rPr>
        <w:t>收</w:t>
      </w:r>
      <w:r>
        <w:rPr>
          <w:rStyle w:val="31"/>
          <w:rFonts w:hint="eastAsia" w:ascii="黑体" w:hAnsi="黑体" w:eastAsia="黑体"/>
          <w:b w:val="0"/>
        </w:rPr>
        <w:t>入支出决算总体情况说明</w:t>
      </w:r>
      <w:bookmarkEnd w:id="24"/>
      <w:bookmarkEnd w:id="25"/>
      <w:bookmarkEnd w:id="26"/>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668.87</w:t>
      </w:r>
      <w:r>
        <w:rPr>
          <w:rFonts w:hint="eastAsia" w:ascii="仿宋" w:hAnsi="仿宋" w:eastAsia="仿宋"/>
          <w:color w:val="000000"/>
          <w:sz w:val="32"/>
          <w:szCs w:val="32"/>
          <w:lang w:eastAsia="zh-CN"/>
        </w:rPr>
        <w:t>万元，支出总计</w:t>
      </w:r>
      <w:r>
        <w:rPr>
          <w:rFonts w:hint="eastAsia" w:ascii="仿宋" w:hAnsi="仿宋" w:eastAsia="仿宋"/>
          <w:color w:val="000000"/>
          <w:sz w:val="32"/>
          <w:szCs w:val="32"/>
          <w:lang w:val="en-US" w:eastAsia="zh-CN"/>
        </w:rPr>
        <w:t>668.87</w:t>
      </w:r>
      <w:r>
        <w:rPr>
          <w:rFonts w:hint="eastAsia" w:ascii="仿宋" w:hAnsi="仿宋" w:eastAsia="仿宋"/>
          <w:color w:val="000000"/>
          <w:sz w:val="32"/>
          <w:szCs w:val="32"/>
        </w:rPr>
        <w:t>万元。与2020年相比，收入总计增加55.92万元，增长9.12%，支出总计增加55.92万元，增长9.12%。主要变动原因是</w:t>
      </w:r>
      <w:r>
        <w:rPr>
          <w:rFonts w:hint="eastAsia" w:ascii="仿宋" w:hAnsi="仿宋" w:eastAsia="仿宋"/>
          <w:sz w:val="32"/>
          <w:szCs w:val="32"/>
          <w:lang w:val="en-US" w:eastAsia="zh-CN"/>
        </w:rPr>
        <w:t>2021年度</w:t>
      </w:r>
      <w:r>
        <w:rPr>
          <w:rFonts w:hint="eastAsia" w:ascii="仿宋" w:hAnsi="仿宋" w:eastAsia="仿宋"/>
          <w:sz w:val="32"/>
          <w:szCs w:val="32"/>
        </w:rPr>
        <w:t>临聘人员经费增加。</w:t>
      </w:r>
    </w:p>
    <w:p>
      <w:pPr>
        <w:spacing w:line="600" w:lineRule="exact"/>
        <w:ind w:firstLine="420" w:firstLineChars="200"/>
        <w:jc w:val="left"/>
        <w:rPr>
          <w:rFonts w:ascii="仿宋_GB2312" w:eastAsia="仿宋_GB2312"/>
          <w:color w:val="000000"/>
          <w:sz w:val="32"/>
          <w:szCs w:val="32"/>
        </w:rPr>
      </w:pPr>
      <w:r>
        <w:pict>
          <v:shape id="图表 1" o:spid="_x0000_s1040" o:spt="75" type="#_x0000_t75" style="position:absolute;left:0pt;margin-left:31.95pt;margin-top:26.75pt;height:189.1pt;width:354.25pt;mso-wrap-distance-bottom:0pt;mso-wrap-distance-left:9pt;mso-wrap-distance-right:9pt;mso-wrap-distance-top:0pt;z-index:251659264;mso-width-relative:margin;mso-height-relative:margin;" o:ole="t" filled="f" o:preferrelative="t" stroked="f" coordsize="21600,21600">
            <v:path/>
            <v:fill on="f" focussize="0,0"/>
            <v:stroke on="f" joinstyle="miter"/>
            <v:imagedata r:id="rId7" o:title=""/>
            <o:lock v:ext="edit" aspectratio="t"/>
            <w10:wrap type="square"/>
          </v:shape>
          <o:OLEObject Type="Embed" ProgID="Excel.Sheet.8" ShapeID="图表 1" DrawAspect="Content" ObjectID="_1468075725" r:id="rId6">
            <o:LockedField>false</o:LockedField>
          </o:OLEObject>
        </w:pict>
      </w:r>
    </w:p>
    <w:p>
      <w:pPr>
        <w:spacing w:line="600" w:lineRule="exact"/>
        <w:jc w:val="left"/>
        <w:rPr>
          <w:rFonts w:ascii="仿宋_GB2312" w:eastAsia="仿宋_GB2312"/>
          <w:color w:val="000000"/>
          <w:sz w:val="32"/>
          <w:szCs w:val="32"/>
        </w:rPr>
      </w:pPr>
    </w:p>
    <w:p>
      <w:pPr>
        <w:pStyle w:val="29"/>
        <w:numPr>
          <w:ilvl w:val="0"/>
          <w:numId w:val="2"/>
        </w:numPr>
        <w:spacing w:line="600" w:lineRule="exact"/>
        <w:ind w:firstLineChars="0"/>
        <w:outlineLvl w:val="1"/>
        <w:rPr>
          <w:rStyle w:val="31"/>
          <w:rFonts w:ascii="黑体" w:hAnsi="黑体" w:eastAsia="黑体"/>
          <w:b w:val="0"/>
        </w:rPr>
      </w:pPr>
      <w:bookmarkStart w:id="27" w:name="_Toc898"/>
      <w:bookmarkStart w:id="28" w:name="_Toc15377206"/>
      <w:bookmarkStart w:id="29" w:name="_Toc15396604"/>
      <w:r>
        <w:rPr>
          <w:rFonts w:hint="eastAsia" w:ascii="黑体" w:hAnsi="黑体" w:eastAsia="黑体"/>
          <w:color w:val="000000"/>
          <w:sz w:val="32"/>
          <w:szCs w:val="32"/>
        </w:rPr>
        <w:t>收</w:t>
      </w:r>
      <w:r>
        <w:rPr>
          <w:rStyle w:val="31"/>
          <w:rFonts w:hint="eastAsia" w:ascii="黑体" w:hAnsi="黑体" w:eastAsia="黑体"/>
          <w:b w:val="0"/>
        </w:rPr>
        <w:t>入决算情况说明</w:t>
      </w:r>
      <w:bookmarkEnd w:id="27"/>
      <w:bookmarkEnd w:id="28"/>
      <w:bookmarkEnd w:id="29"/>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sz w:val="32"/>
          <w:szCs w:val="32"/>
        </w:rPr>
        <w:t>20</w:t>
      </w:r>
      <w:r>
        <w:rPr>
          <w:rFonts w:hint="eastAsia"/>
          <w:sz w:val="32"/>
          <w:szCs w:val="32"/>
        </w:rPr>
        <w:t>21年本年收入合计368.87万元（不含年初结转和结余300万），其中：一般公共预算财政拨款收入368.87万元，占100</w:t>
      </w:r>
      <w:r>
        <w:rPr>
          <w:sz w:val="32"/>
          <w:szCs w:val="32"/>
        </w:rPr>
        <w:t>%</w:t>
      </w:r>
      <w:r>
        <w:rPr>
          <w:rFonts w:hint="eastAsia"/>
          <w:sz w:val="32"/>
          <w:szCs w:val="32"/>
        </w:rPr>
        <w:t>；政府性基金预算财政拨款收入0万元，占0</w:t>
      </w:r>
      <w:r>
        <w:rPr>
          <w:sz w:val="32"/>
          <w:szCs w:val="32"/>
        </w:rPr>
        <w:t>%</w:t>
      </w:r>
      <w:r>
        <w:rPr>
          <w:rFonts w:hint="eastAsia"/>
          <w:sz w:val="32"/>
          <w:szCs w:val="32"/>
        </w:rPr>
        <w:t>；上级补助收入0万元，占0</w:t>
      </w:r>
      <w:r>
        <w:rPr>
          <w:sz w:val="32"/>
          <w:szCs w:val="32"/>
        </w:rPr>
        <w:t>%</w:t>
      </w:r>
      <w:r>
        <w:rPr>
          <w:rFonts w:hint="eastAsia"/>
          <w:sz w:val="32"/>
          <w:szCs w:val="32"/>
        </w:rPr>
        <w:t>；事业收入0万元，占0</w:t>
      </w:r>
      <w:r>
        <w:rPr>
          <w:sz w:val="32"/>
          <w:szCs w:val="32"/>
        </w:rPr>
        <w:t>%</w:t>
      </w:r>
      <w:r>
        <w:rPr>
          <w:rFonts w:hint="eastAsia"/>
          <w:sz w:val="32"/>
          <w:szCs w:val="32"/>
        </w:rPr>
        <w:t>；经营收入0万元，占0</w:t>
      </w:r>
      <w:r>
        <w:rPr>
          <w:sz w:val="32"/>
          <w:szCs w:val="32"/>
        </w:rPr>
        <w:t>%</w:t>
      </w:r>
      <w:r>
        <w:rPr>
          <w:rFonts w:hint="eastAsia"/>
          <w:sz w:val="32"/>
          <w:szCs w:val="32"/>
        </w:rPr>
        <w:t>；附属单位上缴收入0万元，占0</w:t>
      </w:r>
      <w:r>
        <w:rPr>
          <w:sz w:val="32"/>
          <w:szCs w:val="32"/>
        </w:rPr>
        <w:t>%</w:t>
      </w:r>
      <w:r>
        <w:rPr>
          <w:rFonts w:hint="eastAsia"/>
          <w:sz w:val="32"/>
          <w:szCs w:val="32"/>
        </w:rPr>
        <w:t>；其他收入0万元，占0</w:t>
      </w:r>
      <w:r>
        <w:rPr>
          <w:sz w:val="32"/>
          <w:szCs w:val="32"/>
        </w:rPr>
        <w:t>%</w:t>
      </w:r>
      <w:r>
        <w:rPr>
          <w:rFonts w:hint="eastAsia"/>
          <w:sz w:val="32"/>
          <w:szCs w:val="32"/>
        </w:rPr>
        <w:t>。</w:t>
      </w:r>
    </w:p>
    <w:p>
      <w:pPr>
        <w:spacing w:line="600" w:lineRule="exact"/>
        <w:ind w:firstLine="420" w:firstLineChars="200"/>
        <w:outlineLvl w:val="1"/>
        <w:rPr>
          <w:rFonts w:ascii="仿宋" w:hAnsi="仿宋" w:eastAsia="仿宋"/>
          <w:b/>
          <w:color w:val="FF0000"/>
          <w:sz w:val="32"/>
          <w:szCs w:val="32"/>
        </w:rPr>
      </w:pPr>
      <w:r>
        <w:pict>
          <v:shape id="_x0000_s1041" o:spid="_x0000_s1041" o:spt="75" type="#_x0000_t75" style="position:absolute;left:0pt;margin-left:0.5pt;margin-top:20.2pt;height:244.8pt;width:388.8pt;mso-wrap-distance-bottom:0pt;mso-wrap-distance-left:9pt;mso-wrap-distance-right:9pt;mso-wrap-distance-top:0pt;z-index:251660288;mso-width-relative:margin;mso-height-relative:margin;" o:ole="t" filled="f" o:preferrelative="t" stroked="f" coordsize="21600,21600">
            <v:path/>
            <v:fill on="f" focussize="0,0"/>
            <v:stroke on="f" joinstyle="miter"/>
            <v:imagedata r:id="rId9" o:title=""/>
            <o:lock v:ext="edit" aspectratio="t"/>
            <w10:wrap type="square"/>
          </v:shape>
          <o:OLEObject Type="Embed" ProgID="Excel.Sheet.8" ShapeID="_x0000_s1041" DrawAspect="Content" ObjectID="_1468075726" r:id="rId8">
            <o:LockedField>false</o:LockedField>
          </o:OLEObject>
        </w:pict>
      </w:r>
    </w:p>
    <w:p>
      <w:pPr>
        <w:pStyle w:val="29"/>
        <w:numPr>
          <w:ilvl w:val="0"/>
          <w:numId w:val="2"/>
        </w:numPr>
        <w:spacing w:line="600" w:lineRule="exact"/>
        <w:ind w:firstLineChars="0"/>
        <w:outlineLvl w:val="1"/>
        <w:rPr>
          <w:rStyle w:val="31"/>
          <w:rFonts w:ascii="黑体" w:hAnsi="黑体" w:eastAsia="黑体"/>
          <w:b w:val="0"/>
        </w:rPr>
      </w:pPr>
      <w:bookmarkStart w:id="30" w:name="_Toc15396605"/>
      <w:bookmarkStart w:id="31" w:name="_Toc24827"/>
      <w:bookmarkStart w:id="32" w:name="_Toc15377207"/>
      <w:r>
        <w:rPr>
          <w:rFonts w:hint="eastAsia" w:ascii="黑体" w:hAnsi="黑体" w:eastAsia="黑体"/>
          <w:color w:val="000000"/>
          <w:sz w:val="32"/>
          <w:szCs w:val="32"/>
        </w:rPr>
        <w:t>支</w:t>
      </w:r>
      <w:r>
        <w:rPr>
          <w:rStyle w:val="31"/>
          <w:rFonts w:hint="eastAsia" w:ascii="黑体" w:hAnsi="黑体" w:eastAsia="黑体"/>
          <w:b w:val="0"/>
        </w:rPr>
        <w:t>出决算情况说明</w:t>
      </w:r>
      <w:bookmarkEnd w:id="30"/>
      <w:bookmarkEnd w:id="31"/>
      <w:bookmarkEnd w:id="3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olor w:val="000000"/>
          <w:szCs w:val="32"/>
        </w:rPr>
      </w:pPr>
      <w:r>
        <w:rPr>
          <w:sz w:val="32"/>
          <w:szCs w:val="32"/>
        </w:rPr>
        <w:t>20</w:t>
      </w:r>
      <w:r>
        <w:rPr>
          <w:rFonts w:hint="eastAsia"/>
          <w:sz w:val="32"/>
          <w:szCs w:val="32"/>
        </w:rPr>
        <w:t>21年本年支出合计668.87万元，其中：基本支出368.87万元，占55.15</w:t>
      </w:r>
      <w:r>
        <w:rPr>
          <w:sz w:val="32"/>
          <w:szCs w:val="32"/>
        </w:rPr>
        <w:t>%</w:t>
      </w:r>
      <w:r>
        <w:rPr>
          <w:rFonts w:hint="eastAsia"/>
          <w:sz w:val="32"/>
          <w:szCs w:val="32"/>
        </w:rPr>
        <w:t>；项目支出300万元，占44.85</w:t>
      </w:r>
      <w:r>
        <w:rPr>
          <w:sz w:val="32"/>
          <w:szCs w:val="32"/>
        </w:rPr>
        <w:t>%</w:t>
      </w:r>
      <w:r>
        <w:rPr>
          <w:rFonts w:hint="eastAsia"/>
          <w:sz w:val="32"/>
          <w:szCs w:val="32"/>
        </w:rPr>
        <w:t>；</w:t>
      </w:r>
      <w:r>
        <w:rPr>
          <w:rFonts w:hint="eastAsia"/>
          <w:sz w:val="32"/>
          <w:szCs w:val="32"/>
          <w:lang w:eastAsia="zh-CN"/>
        </w:rPr>
        <w:t>无</w:t>
      </w:r>
      <w:r>
        <w:rPr>
          <w:rFonts w:hint="eastAsia"/>
          <w:sz w:val="32"/>
          <w:szCs w:val="32"/>
        </w:rPr>
        <w:t>上缴上级支出</w:t>
      </w:r>
      <w:r>
        <w:rPr>
          <w:rFonts w:hint="eastAsia"/>
          <w:sz w:val="32"/>
          <w:szCs w:val="32"/>
          <w:lang w:eastAsia="zh-CN"/>
        </w:rPr>
        <w:t>、</w:t>
      </w:r>
      <w:r>
        <w:rPr>
          <w:rFonts w:hint="eastAsia"/>
          <w:sz w:val="32"/>
          <w:szCs w:val="32"/>
        </w:rPr>
        <w:t>经营支出</w:t>
      </w:r>
      <w:r>
        <w:rPr>
          <w:rFonts w:hint="eastAsia"/>
          <w:sz w:val="32"/>
          <w:szCs w:val="32"/>
          <w:lang w:eastAsia="zh-CN"/>
        </w:rPr>
        <w:t>、</w:t>
      </w:r>
      <w:r>
        <w:rPr>
          <w:rFonts w:hint="eastAsia"/>
          <w:sz w:val="32"/>
          <w:szCs w:val="32"/>
        </w:rPr>
        <w:t>对附属单位补助支出。</w:t>
      </w:r>
    </w:p>
    <w:p>
      <w:pPr>
        <w:spacing w:line="600" w:lineRule="exact"/>
        <w:outlineLvl w:val="1"/>
        <w:rPr>
          <w:rFonts w:ascii="仿宋" w:hAnsi="仿宋" w:eastAsia="仿宋"/>
          <w:color w:val="000000"/>
          <w:sz w:val="32"/>
          <w:szCs w:val="32"/>
        </w:rPr>
      </w:pPr>
      <w:r>
        <w:pict>
          <v:shape id="_x0000_s1042" o:spid="_x0000_s1042" o:spt="75" type="#_x0000_t75" style="position:absolute;left:0pt;margin-left:11.75pt;margin-top:14.35pt;height:214.35pt;width:355.65pt;mso-wrap-distance-bottom:0pt;mso-wrap-distance-left:9pt;mso-wrap-distance-right:9pt;mso-wrap-distance-top:0pt;z-index:251661312;mso-width-relative:margin;mso-height-relative:margin;" o:ole="t" filled="f" o:preferrelative="t" stroked="f" coordsize="21600,21600">
            <v:path/>
            <v:fill on="f" focussize="0,0"/>
            <v:stroke on="f"/>
            <v:imagedata r:id="rId11" o:title=""/>
            <o:lock v:ext="edit" aspectratio="t"/>
            <w10:wrap type="square"/>
          </v:shape>
          <o:OLEObject Type="Embed" ProgID="Excel.Sheet.8" ShapeID="_x0000_s1042" DrawAspect="Content" ObjectID="_1468075727" r:id="rId10">
            <o:LockedField>false</o:LockedField>
          </o:OLEObject>
        </w:pic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pStyle w:val="6"/>
        <w:rPr>
          <w:rFonts w:ascii="仿宋" w:hAnsi="仿宋" w:eastAsia="仿宋"/>
          <w:color w:val="000000"/>
          <w:sz w:val="32"/>
          <w:szCs w:val="32"/>
        </w:rPr>
      </w:pPr>
    </w:p>
    <w:p>
      <w:pPr>
        <w:pStyle w:val="6"/>
        <w:rPr>
          <w:rFonts w:ascii="仿宋" w:hAnsi="仿宋" w:eastAsia="仿宋"/>
          <w:color w:val="000000"/>
          <w:sz w:val="32"/>
          <w:szCs w:val="32"/>
        </w:rPr>
      </w:pPr>
    </w:p>
    <w:p>
      <w:pPr>
        <w:pStyle w:val="6"/>
        <w:rPr>
          <w:rFonts w:ascii="仿宋" w:hAnsi="仿宋" w:eastAsia="仿宋"/>
          <w:color w:val="000000"/>
          <w:sz w:val="32"/>
          <w:szCs w:val="32"/>
        </w:rPr>
      </w:pPr>
    </w:p>
    <w:p>
      <w:pPr>
        <w:spacing w:line="600" w:lineRule="exact"/>
        <w:ind w:firstLine="640" w:firstLineChars="200"/>
        <w:outlineLvl w:val="1"/>
        <w:rPr>
          <w:rStyle w:val="31"/>
          <w:rFonts w:ascii="黑体" w:hAnsi="黑体" w:eastAsia="黑体"/>
          <w:b w:val="0"/>
        </w:rPr>
      </w:pPr>
      <w:bookmarkStart w:id="33" w:name="_Toc24895"/>
      <w:bookmarkStart w:id="34" w:name="_Toc15377208"/>
      <w:bookmarkStart w:id="35" w:name="_Toc15396606"/>
      <w:r>
        <w:rPr>
          <w:rFonts w:hint="eastAsia" w:ascii="黑体" w:hAnsi="黑体" w:eastAsia="黑体"/>
          <w:color w:val="000000"/>
          <w:sz w:val="32"/>
          <w:szCs w:val="32"/>
        </w:rPr>
        <w:t>四</w:t>
      </w: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、财</w:t>
      </w:r>
      <w:r>
        <w:rPr>
          <w:rStyle w:val="31"/>
          <w:rFonts w:hint="eastAsia" w:ascii="黑体" w:hAnsi="黑体" w:eastAsia="黑体"/>
          <w:b w:val="0"/>
        </w:rPr>
        <w:t>政拨款收入支出决算总体情况说明</w:t>
      </w:r>
      <w:bookmarkEnd w:id="33"/>
      <w:bookmarkEnd w:id="34"/>
      <w:bookmarkEnd w:id="35"/>
    </w:p>
    <w:p>
      <w:pPr>
        <w:spacing w:line="600" w:lineRule="exact"/>
        <w:ind w:firstLine="640"/>
        <w:rPr>
          <w:rFonts w:ascii="仿宋" w:hAnsi="仿宋" w:eastAsia="仿宋"/>
          <w:sz w:val="32"/>
          <w:szCs w:val="32"/>
        </w:rPr>
      </w:pPr>
      <w:r>
        <w:rPr>
          <w:rFonts w:ascii="仿宋" w:hAnsi="仿宋" w:eastAsia="仿宋"/>
          <w:color w:val="000000"/>
          <w:sz w:val="32"/>
          <w:szCs w:val="32"/>
        </w:rPr>
        <w:t>20</w:t>
      </w:r>
      <w:r>
        <w:rPr>
          <w:rFonts w:hint="eastAsia" w:ascii="仿宋" w:hAnsi="仿宋" w:eastAsia="仿宋"/>
          <w:color w:val="000000"/>
          <w:sz w:val="32"/>
          <w:szCs w:val="32"/>
        </w:rPr>
        <w:t>21年年初财政拨款结转和结余300万元，财政拨款收入总计368.87万元，财政拨款支出总计668.87万元。与2020年相比，财政拨款收入总计增加55.92万元，增长9.12</w:t>
      </w:r>
      <w:r>
        <w:rPr>
          <w:rFonts w:ascii="仿宋" w:hAnsi="仿宋" w:eastAsia="仿宋"/>
          <w:color w:val="000000"/>
          <w:sz w:val="32"/>
          <w:szCs w:val="32"/>
        </w:rPr>
        <w:t>%</w:t>
      </w:r>
      <w:r>
        <w:rPr>
          <w:rFonts w:hint="eastAsia" w:ascii="仿宋" w:hAnsi="仿宋" w:eastAsia="仿宋"/>
          <w:color w:val="000000"/>
          <w:sz w:val="32"/>
          <w:szCs w:val="32"/>
        </w:rPr>
        <w:t>，财政拨款支出总计增加55.92万元，增长9.12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当年临聘人员经费增加。</w:t>
      </w:r>
    </w:p>
    <w:p>
      <w:pPr>
        <w:spacing w:line="600" w:lineRule="exact"/>
        <w:ind w:firstLine="640"/>
        <w:rPr>
          <w:rFonts w:ascii="仿宋" w:hAnsi="仿宋" w:eastAsia="仿宋"/>
          <w:color w:val="000000"/>
          <w:sz w:val="32"/>
          <w:szCs w:val="32"/>
        </w:rPr>
      </w:pPr>
    </w:p>
    <w:p>
      <w:pPr>
        <w:spacing w:line="600" w:lineRule="exact"/>
        <w:ind w:firstLine="420" w:firstLineChars="200"/>
        <w:rPr>
          <w:rFonts w:ascii="仿宋" w:hAnsi="仿宋" w:eastAsia="仿宋"/>
          <w:color w:val="000000"/>
          <w:sz w:val="32"/>
          <w:szCs w:val="32"/>
        </w:rPr>
      </w:pPr>
      <w:r>
        <w:pict>
          <v:shape id="_x0000_s1043" o:spid="_x0000_s1043" o:spt="75" type="#_x0000_t75" style="position:absolute;left:0pt;margin-left:49.6pt;margin-top:8.85pt;height:171.35pt;width:322.55pt;mso-wrap-distance-bottom:0pt;mso-wrap-distance-left:9pt;mso-wrap-distance-right:9pt;mso-wrap-distance-top:0pt;z-index:251662336;mso-width-relative:margin;mso-height-relative:margin;" filled="f" o:preferrelative="t" stroked="f" coordsize="21600,2160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C2EKwM&#10;AQAANgIAAA4AAABkcnMvZTJvRG9jLnhtbJyRzWrDMBCE74W+g9h7IzuUkBjLuZhCT720D7CVVrbA&#10;lsRKqdu3r3DSv1Mht9kd+JidbY/v8yTeiJMLXkG9qUCQ18E4Pyh4eX6424NIGb3BKXhS8EEJjt3t&#10;TbvEhrZhDJMhFgXiU7NEBWPOsZEy6ZFmTJsQyRfTBp4xl5EHaRiXQp8nua2qnVwCm8hBU0pl259N&#10;6Fa+taTzk7WJspgU7KrDDkT+Eqzgvj7UIF4V7KuqBtm12AyMcXT6EgmvSDSj8yXAN6rHjOLE7gqU&#10;HpFzYelmVZdQ+mrSBVAu/7/nYK3T1Ad9msnnc9lME+by6TS6mEBw44wCfjRrd/LPxV37Mxf9+93d&#10;JwAAAP//AwBQSwMEFAAGAAgAAAAhAKSN6ukmAQAAAAIAACAAAABkcnMvY2hhcnRzL19yZWxzL2No&#10;YXJ0MS54bWwucmVsc6yRsU7DMBCGdyTewboJBuIkA6qqOl0AKQOqhMrGYpJLYnDsyDYo3VjgFRgQ&#10;Q7cOiIUVwdOk8BgYUKRWqsTCctLdL3/3n//RuK0luUZjhVYMoiAEgirTuVAlg9Pp0d4AiHVc5Vxq&#10;hQxmaGGcbG+NTlBy5x/ZSjSWeIqyDCrnmiGlNquw5jbQDSqvFNrU3PnWlLTh2SUvkcZhuE/NKgOS&#10;NSZJcwYmzWMg01njN//N1kUhMjzQ2VWNym1YQbXEyfkFZs5DuSnRMSiERG+ZpsOzOIyj7u7l4/m+&#10;u33qXm/8IBqsDrqHt8/5Yme5mC8f33eDVtqec6xzb/GwdWgUl0A33xL95y3O/zFOfHRG5Nj7YBAE&#10;9Ef5rb0eBT6Hb1t0Lbfk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O2Jw590AAAAJ&#10;AQAADwAAAGRycy9kb3ducmV2LnhtbEyPQUvDQBCF70L/wzIFb+0mGqrEbIoEvAiCiV5622anSTA7&#10;G7KbdvvvHUHQ02N4w3vfK/bRjuKMsx8cKUi3CQik1pmBOgWfHy+bRxA+aDJ6dIQKruhhX65uCp0b&#10;d6Eaz03oBIeQz7WCPoQpl9K3PVrtt25CYu/kZqsDn3MnzawvHG5HeZckO2n1QNzQ6wmrHtuvZrEK&#10;6lOsqjZbDvG1bprl/e16cFQpdbuOz08gAsbw9ww/+IwOJTMd3ULGi1HBJuUp4VfZ32VZCuKo4D5L&#10;H0CWhfy/oPwGAAD//wMAUEsDBBQABgAIAAAAIQCrbkcXTgcAABoWAAAVAAAAZHJzL2NoYXJ0cy9j&#10;aGFydDEueG1s7FhNbxzHEb0HyH+YjAw4BkLuzOz3QkuDXEK2YFIiRMoBcuud6d2dsGd60tNLLnVS&#10;ENiH+JBDBMSwT85JB0M5xAkQxHF+TLKMbvkLedXds18kZcqIEUDIHnZ7qrurq6qrXr3Zu+/OMuGd&#10;cVWmMu/74XbgezyPZZLm477/+OTeVsf3Ss3yhAmZ875/wUv/3Z0f/uBu3IsnTOnjgsXcg5K87MV9&#10;f6J10avVynjCM1Zuy4LnmBtJlTGNRzWuJYqdQ3kmalEQtGpGie8UsO+gIGNpXu1Xt9kvR6M05vsy&#10;nmY819YKxQXTiEA5SYvS34FzCdM87AYN74yJvh/4NRIKlo+t4Mlka/DACpWc5glPBlLlCOPK+izu&#10;7QrNVQ5VA5lrnOb8zG4VqYyp02mxFcusgHHDVKT6wpgLA6F7MJHww3vEfzFNFS/7fhw2qkBgeCUU&#10;WRorWcqR3obGmo1CdRuktl3r1CJ3H3A2bPRKfSG4dSgMIvK2tjjXmHCPCTFk8SnFZmXxYulynjZu&#10;BoN2xUIdsuLhmfKG47DvCx36np5hlJxiNBxHJItIhlFyihGLYwQSK9ygkmDeShZr6pWkXq1BUOwa&#10;BMoOmpWkWUlalaTlexOR5qcIJP343kiK962gGtkEMClMzuhUC24GM/pWaTzZuct6Q5lcHClEj/VE&#10;qY8pqOahIElxpOgn4aNHR8orn6AGcRdwnZLOS833tO/nKD4qRJWeoghzeWxGWMZKDpsgC5AVrFdK&#10;kSb3UiHMgxoPB0K5lAzoYy5xYxmlfu7pi4KPUMt9f/7ik3/+7be0kvU4u2EiLq+dqFWuIFcWzhkP&#10;Fdyj+un7tnY8JvSBeeb51uNje5zemX/+De3UZr/dSHYsd9vVy92LSqRNjVfvfeXJ//76s5df/f7y&#10;2d8vP3l++eU3l8/+/I+nv7x89of5x3/814vfXT7968sXX8x/8+n8188vf/XR/OM/rR1FzsLk6tIx&#10;0CYHBLuQU41Qxj0JlMXjCkCgaNz155LuzERc5N5534+aDVwWeb6YwhEiN2fYXXRGlXBsquUJPexz&#10;wTVP1g4phNS7ijMywtpDo4zlUyYOjH3LmROmxlzb7WkOQKN7iXuzQ5k4JODJmFvhxXXCmTt6Owq6&#10;9UYrjDrtZqseBc2O21TNN8JGp9tsdqNmN2xE+Nj582q+3Wi2Md+pt7qNejcCthlLJtV8vd7qdMKg&#10;3mqH3WY96DRpHjFZ9wuCpctDpgbUs8gjjPdTVxqxFFb5GFheoDnZM2IxLQHfPLGTZ0xdDKSQaxiP&#10;K+TI0riXJpXndrVUCa8qz0qqu765RJt73b1968dmid42KWBIjjzT90cP+Bh1feZuzTWwmBnngSOP&#10;+IjMHu28bfN7/tGX86+fovpefvHc+3EURNFW0N6Kuu+8/aO3dt+qRz36rlOAzT5oGDA0edJR6AFa&#10;oEsad42F9hARi0px72wHCsP5X766tsBsaZHqM3ODhbGx0hCiCpyG4HU0QN3SSPtgfMbQRQGdnVTn&#10;0+x1grFngoHvZTCgYREMS3UGKJedOz+5cyfYDgITNMOAjPiWEWu1Otud9rdFBQW23W0aaLdfzfUd&#10;8HZpnX2oomDcp8DYBE4OhqKkeJQTeX7AxzxPPuAbaIWZDxno4golotUDph+wbD3TSH7M1bXyI66o&#10;h1/RszcdDgU/Tp+sqoKFC9PGrPhpmmiHAVHYdbVmkLWw+raitpWy2X2Hg2EYtQOgTevqBKIctiOD&#10;TThoFSCQJLsGwm/UU8YMrXdMMZMqhUOGQlorsjQ/ZDM6jyK8XJgYfF7znM2OpKONQ2sgbuxepsE3&#10;iDVTzvT99ziwmAlQADlF8A5ASHgCrmA3ZOznUp2k8ekhKKNVbgiDQUyYcvOkxiZc/MKCnM/0ibRa&#10;K8BadCBqQNScus0IdClmRd8fgTxgmBUwpszHIFFijPeIWCvTvNaxjl4K+IKQgOaZNWKaoZFYq0NK&#10;ZTodR02zh6ORFXcqMXqgebUgLQjtBkoWqtT7rHTpYc62ugxFp7uwLRS0ZjTisT4oqTPTBZk2TD3b&#10;sjHL2DwlteFfBKhggVI9cabdgsV1vxcSVzcfsmLT9++dxAEPjphixFJXaZw1xXIfGz7gK94zyl3X&#10;D8NwpcbcHHf5TrTlZ1y5fKMnlwbkITr3UOwinayMUqqSIjHKiqWENmGAc/JwKnR6cCaQ0HaPpbsG&#10;8G0tA7muFvWafSu1+l8qasctTI2+p9KE6LoFWkf+3uiiQnVd9fwagKua5f8E4ewNtOrNb6Hc/0cI&#10;92II9LFvrAaIXB5/d4RYa88GPa5HCDO1x/U55w4VhvbBICJYYlXeN7au271Xrb4x0fjDtHyYC0eG&#10;XM9N0rLYAxKelrsOzcBOLEIR99knOvUQnQM0YAOMqleQyshXNUn8K2J82+h0bzRkbFYZUB99+xY9&#10;F63gDfvn5DVKCsSN/moU+0wzT+F9tO+r+0lk3p6osz4u6C/N9VRc3WOI0PIv3Z3/AAAA//8DAFBL&#10;AwQUAAYACAAAACEAI2wFJ4AGAABUGwAAHAAAAGRycy90aGVtZS90aGVtZU92ZXJyaWRlMS54bWzs&#10;WU1vG0UYviPxH0Z7b2MndhpHdarYsRtI00axW9TjeHe8O83szmpmnNQ31B6RkBAFcaASNw4IqNRK&#10;XMqvCRRBkfoXeGdmd70Tr0nSRlBBfUi8s8+83+8zH7567X7M0CERkvKk7dUv1zxEEp8HNAnb3u1h&#10;/9Kah6TCSYAZT0jbmxLpXdt4/72reF1FJCa3YK6gAUEgJ5HruO1FSqXrS0vSh9dYXuYpSeDdmIsY&#10;K3gU4VIg8BHIj9nScq22uhRjmngbINBnYqBnEZTgGHTdGo+pT8yr4KCuEXIqu0ygQ8zaHogI+NGQ&#10;3FceYlgqeNH2aubjLW1cXcLr2SSmFswtzeubTzYvmxAcLBudIhwVSuv9RuvKViHfAJiax/V6vW6v&#10;XsgzAOz7JMlsKcts9NfqnVxmCWS/zsvu1pq1hosvyV+Zs7nV6XSarcwWK9SA7NfGHH6tttrYXHbw&#10;BmTxzTl8o7PZ7a46eAOy+NU5fP9Ka7Xh4g0oYjQ5mEPrhPb7mfQCMuZsuxK+BvC1WgafoaAaiurS&#10;KsY8UYtqLcb3uOgDQAMZVjRBapqSMfahJrs4HgmKtQK8TnDpjR3y5dyQ1oWkL2iq2t6HKU68EuTV&#10;8+9fPX+Kjh88O37w0/HDh8cPfrSCnFnbOAnLs15++9mfjz9Gfzz95uWjL6rxsoz/9YdPfvn582og&#10;tM/MvRdfPvnt2ZMXX336+3ePKuCbAo/K8CGNiUQ3yRHa5zE4ZqLiWk5G4nwzhhGm5RmbSShxgrWW&#10;Cvk9FTnom1PMsuw4dnSIG8E7AuijCnh9cs8xeBCJiaIVmnei2AHucs46XFRGYUfrKoV5OEnCauVi&#10;UsbtY3xYpbuLEye/vUkKvJmXpeN4NyKOmXsMJwqHJCEK6Xf8gJAK7+5S6sR1l/qCSz5W6C5FHUwr&#10;QzKkI6eaZpO2aQx5mVb5DPl2YrN7B3U4q/J6ixy6SOgKzCqMHxLmhPE6nigcV4kc4piVA34Dq6jK&#10;yMFU+GVcTyrIdEgYR72ASFk155YAf0tJ38HAWJVp32XT2EUKRQ+qZN7AnJeRW/ygG+E4rcIOaBKV&#10;sR/IAyhRjPa4qoLvcrdD9DPkAScL032HEifdp7PBbRo6Js0KRL+ZiIpcXifcqd/BlI0xMVQDpO5w&#10;dUyTvyNuRoG5rYaLI26gyhdfP66w+22l7E1Yvap6ZvsEUS/CnaTnLhcBffvZeQtPkj0CDTG/RL0j&#10;53fk7P3nyXlRP188Jc9YGAha70XsRttsu+OFu+4xZWygpozckGbjLWHtCfowqOeZwyQpTmFpBF91&#10;J4MCBxcKbOYgwdVHVEWDCKewaa97WkgoM9GhRCmXcFg0w5WyNR42/soeNZv6EGKZQ2K1ywM7vKKH&#10;87NGIcZYFUqr0Spa0QLOqmzlSiYUfHsdZXVt1Jm11Y1phhQdbYXLOsTmUA4hL1yDwSKasKlBsBWC&#10;KK/CcV6rhsMOZiTQcbc5ytNiYnKRKZIRhqsHcx3Q1H7P56hukpTXypwj2g+bI31wPCVqJW0tLfYN&#10;tJ0lSWV1jQXq8uy9SZbyCp5lCaSdbEeWlJuTJeio7bWay00P+Thte2M4J8PXOIWsS72PxCyE+yRf&#10;CVv2pzazLo2yw7ljbhPU4erDxn3OYYcHUiHVFpaRLQ3zKisBlmhN1v7lJoT1ohyoYKOzWbGyBsXw&#10;r1kBcXRTS8Zj4qtysksjOnb2MaNSPlFEDKLgCI3YROxjSL8uVfAnoBKuOwwj6Ae4m9PRNq9ccs6a&#10;rnwjZnB2HLM0whnd6hbNO9nCDSEVNpinknngW6Xtxrnzu2Ja/oJcKZfx/8wVvZ7A7cNKoDPgw0Wv&#10;wEh3StvjQkUcWCiNqN8XsHEw3AHVAve78BqKCu6gzX9BDvV/23NWhmlrOESqfRoiQWE9UpEgZA9o&#10;yVTfKcLq2dplRbJMkKmokrkytWaPyCFhQ82Bq3pt91AEpW7YJKMBgztZf+5z1kGjUG9yyv3mMFmx&#10;9toe+Kd3PraZwSmXh82GJo9/YWKxPZitqna+mZ6vvWVH9IvZNquRd4W7FLSytn9NE8651FrGmvN4&#10;uZkbB1mc9xgGiw1RCndISP+B9Y8Kn9lfMPSCOuT7wK0IfrzQwqBsoKov2Y0H0gRpB0ewcbKDtpi0&#10;KBvabOuko5Yv1he80y30ngi2tuws+T5nsIvNmavO6cWLDHYWYSfWdmxhqCGzJ1sUhsb5QcYkxvkl&#10;bOMvAAAA//8DAFBLAQItABQABgAIAAAAIQBAH/RBMAEAAOACAAATAAAAAAAAAAAAAAAAAAAAAABb&#10;Q29udGVudF9UeXBlc10ueG1sUEsBAi0AFAAGAAgAAAAhADj9If/WAAAAlAEAAAsAAAAAAAAAAAAA&#10;AAAAYQEAAF9yZWxzLy5yZWxzUEsBAi0AFAAGAAgAAAAhAGC2EKwMAQAANgIAAA4AAAAAAAAAAAAA&#10;AAAAYAIAAGRycy9lMm9Eb2MueG1sUEsBAi0AFAAGAAgAAAAhAKSN6ukmAQAAAAIAACAAAAAAAAAA&#10;AAAAAAAAmAMAAGRycy9jaGFydHMvX3JlbHMvY2hhcnQxLnhtbC5yZWxzUEsBAi0AFAAGAAgAAAAh&#10;AKsWzUa5AAAAIgEAABkAAAAAAAAAAAAAAAAA/AQAAGRycy9fcmVscy9lMm9Eb2MueG1sLnJlbHNQ&#10;SwECLQAUAAYACAAAACEAO2Jw590AAAAJAQAADwAAAAAAAAAAAAAAAADsBQAAZHJzL2Rvd25yZXYu&#10;eG1sUEsBAi0AFAAGAAgAAAAhAKtuRxdOBwAAGhYAABUAAAAAAAAAAAAAAAAA9gYAAGRycy9jaGFy&#10;dHMvY2hhcnQxLnhtbFBLAQItABQABgAIAAAAIQAjbAUngAYAAFQbAAAcAAAAAAAAAAAAAAAAAHcO&#10;AABkcnMvdGhlbWUvdGhlbWVPdmVycmlkZTEueG1sUEsFBgAAAAAIAAgAFQIAADEVAAAAAA==&#10;">
            <v:path/>
            <v:fill on="f" focussize="0,0"/>
            <v:stroke on="f" joinstyle="miter"/>
            <v:imagedata r:id="rId12" o:title=""/>
            <o:lock v:ext="edit" aspectratio="f"/>
            <w10:wrap type="square"/>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31"/>
          <w:rFonts w:ascii="黑体" w:hAnsi="黑体" w:eastAsia="黑体"/>
          <w:b w:val="0"/>
        </w:rPr>
      </w:pPr>
      <w:bookmarkStart w:id="36" w:name="_Toc9439"/>
      <w:bookmarkStart w:id="37" w:name="_Toc15377209"/>
      <w:bookmarkStart w:id="38"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1"/>
          <w:rFonts w:hint="eastAsia" w:ascii="黑体" w:hAnsi="黑体" w:eastAsia="黑体"/>
          <w:b w:val="0"/>
        </w:rPr>
        <w:t>般公共预算财政拨款支出决算情况说明</w:t>
      </w:r>
      <w:bookmarkEnd w:id="36"/>
      <w:bookmarkEnd w:id="37"/>
      <w:bookmarkEnd w:id="38"/>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21年一般公共预算财政拨款支出668.87万元，占本年支出合计的100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20年相比，一般公共预算财政拨款增加55.92万元，增长9.12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当年临聘人员经费增加。</w:t>
      </w:r>
    </w:p>
    <w:p>
      <w:pPr>
        <w:spacing w:line="600" w:lineRule="exact"/>
        <w:ind w:firstLine="643" w:firstLineChars="200"/>
        <w:outlineLvl w:val="2"/>
        <w:rPr>
          <w:rFonts w:ascii="仿宋" w:hAnsi="仿宋" w:eastAsia="仿宋"/>
          <w:b/>
          <w:color w:val="000000"/>
          <w:sz w:val="32"/>
          <w:szCs w:val="32"/>
        </w:rPr>
      </w:pPr>
      <w:bookmarkStart w:id="39" w:name="_Toc15377211"/>
    </w:p>
    <w:p>
      <w:pPr>
        <w:spacing w:line="600" w:lineRule="exact"/>
        <w:outlineLvl w:val="2"/>
        <w:rPr>
          <w:rFonts w:ascii="仿宋" w:hAnsi="仿宋" w:eastAsia="仿宋"/>
          <w:b/>
          <w:color w:val="000000"/>
          <w:sz w:val="32"/>
          <w:szCs w:val="32"/>
        </w:rPr>
      </w:pPr>
      <w:r>
        <w:pict>
          <v:shape id="_x0000_s1044" o:spid="_x0000_s1044" o:spt="75" type="#_x0000_t75" style="position:absolute;left:0pt;margin-left:3.25pt;margin-top:4.55pt;height:162.25pt;width:387.35pt;mso-wrap-distance-bottom:0pt;mso-wrap-distance-left:9pt;mso-wrap-distance-right:9pt;mso-wrap-distance-top:0pt;z-index:251663360;mso-width-relative:margin;mso-height-relative:margin;" o:ole="t" filled="f" o:preferrelative="t" stroked="f" coordsize="21600,21600">
            <v:path/>
            <v:fill on="f" focussize="0,0"/>
            <v:stroke on="f" joinstyle="miter"/>
            <v:imagedata r:id="rId14" o:title=""/>
            <o:lock v:ext="edit" aspectratio="t"/>
            <w10:wrap type="square"/>
          </v:shape>
          <o:OLEObject Type="Embed" ProgID="Excel.Sheet.8" ShapeID="_x0000_s1044" DrawAspect="Content" ObjectID="_1468075728" r:id="rId13">
            <o:LockedField>false</o:LockedField>
          </o:OLEObject>
        </w:pict>
      </w:r>
    </w:p>
    <w:p>
      <w:pPr>
        <w:spacing w:line="600" w:lineRule="exact"/>
        <w:ind w:firstLine="643" w:firstLineChars="200"/>
        <w:outlineLvl w:val="2"/>
        <w:rPr>
          <w:rFonts w:ascii="仿宋" w:hAnsi="仿宋" w:eastAsia="仿宋"/>
          <w:b/>
          <w:color w:val="000000"/>
          <w:sz w:val="32"/>
          <w:szCs w:val="32"/>
        </w:rPr>
      </w:pPr>
      <w:bookmarkStart w:id="40" w:name="_Toc80371181"/>
      <w:r>
        <w:rPr>
          <w:rFonts w:hint="eastAsia" w:ascii="仿宋" w:hAnsi="仿宋" w:eastAsia="仿宋"/>
          <w:b/>
          <w:color w:val="000000"/>
          <w:sz w:val="32"/>
          <w:szCs w:val="32"/>
        </w:rPr>
        <w:t>（二）一般公共预算财政拨款支出决算结构情况</w:t>
      </w:r>
      <w:bookmarkEnd w:id="39"/>
      <w:bookmarkEnd w:id="40"/>
    </w:p>
    <w:p>
      <w:pPr>
        <w:spacing w:line="600" w:lineRule="exact"/>
        <w:ind w:firstLine="640"/>
        <w:rPr>
          <w:rFonts w:hint="eastAsia" w:ascii="仿宋" w:hAnsi="仿宋" w:eastAsia="仿宋"/>
          <w:b/>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21年一般公共预算财政拨款支出668.87万元，主要用于以下方面</w:t>
      </w:r>
      <w:r>
        <w:rPr>
          <w:rFonts w:ascii="仿宋" w:hAnsi="仿宋" w:eastAsia="仿宋"/>
          <w:color w:val="000000"/>
          <w:sz w:val="32"/>
          <w:szCs w:val="32"/>
        </w:rPr>
        <w:t>:</w:t>
      </w:r>
      <w:r>
        <w:rPr>
          <w:rFonts w:hint="eastAsia" w:ascii="仿宋" w:hAnsi="仿宋" w:eastAsia="仿宋"/>
          <w:b/>
          <w:color w:val="000000"/>
          <w:sz w:val="32"/>
          <w:szCs w:val="32"/>
        </w:rPr>
        <w:t xml:space="preserve"> </w:t>
      </w:r>
    </w:p>
    <w:p>
      <w:pPr>
        <w:spacing w:line="600" w:lineRule="exact"/>
        <w:ind w:firstLine="640"/>
        <w:rPr>
          <w:rFonts w:hint="eastAsia" w:ascii="仿宋" w:hAnsi="仿宋" w:eastAsia="仿宋"/>
          <w:color w:val="000000"/>
          <w:sz w:val="32"/>
          <w:szCs w:val="32"/>
        </w:rPr>
      </w:pPr>
      <w:r>
        <w:rPr>
          <w:rFonts w:hint="eastAsia" w:ascii="仿宋" w:hAnsi="仿宋" w:eastAsia="仿宋"/>
          <w:b/>
          <w:color w:val="000000"/>
          <w:sz w:val="32"/>
          <w:szCs w:val="32"/>
        </w:rPr>
        <w:t>社会保障和就业</w:t>
      </w:r>
      <w:r>
        <w:rPr>
          <w:rFonts w:hint="eastAsia" w:ascii="仿宋" w:hAnsi="仿宋" w:eastAsia="仿宋"/>
          <w:b/>
          <w:bCs/>
          <w:color w:val="000000"/>
          <w:sz w:val="32"/>
          <w:szCs w:val="32"/>
        </w:rPr>
        <w:t>支出（类）</w:t>
      </w:r>
      <w:r>
        <w:rPr>
          <w:rFonts w:hint="eastAsia" w:ascii="仿宋" w:hAnsi="仿宋" w:eastAsia="仿宋"/>
          <w:color w:val="000000"/>
          <w:sz w:val="32"/>
          <w:szCs w:val="32"/>
        </w:rPr>
        <w:t>8.33万元，占1.25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r>
        <w:rPr>
          <w:rFonts w:hint="eastAsia" w:ascii="仿宋" w:hAnsi="仿宋" w:eastAsia="仿宋"/>
          <w:b/>
          <w:bCs/>
          <w:color w:val="000000"/>
          <w:sz w:val="32"/>
          <w:szCs w:val="32"/>
        </w:rPr>
        <w:t>卫生健康支出（类）</w:t>
      </w:r>
      <w:r>
        <w:rPr>
          <w:rFonts w:hint="eastAsia" w:ascii="仿宋" w:hAnsi="仿宋" w:eastAsia="仿宋"/>
          <w:color w:val="000000"/>
          <w:sz w:val="32"/>
          <w:szCs w:val="32"/>
        </w:rPr>
        <w:t>4.64万元，占0.69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b/>
          <w:bCs/>
          <w:color w:val="000000"/>
          <w:sz w:val="32"/>
          <w:szCs w:val="32"/>
        </w:rPr>
        <w:t>灾害防治及应急管理支出（类）</w:t>
      </w:r>
      <w:r>
        <w:rPr>
          <w:rFonts w:hint="eastAsia" w:ascii="仿宋" w:hAnsi="仿宋" w:eastAsia="仿宋"/>
          <w:color w:val="000000"/>
          <w:sz w:val="32"/>
          <w:szCs w:val="32"/>
        </w:rPr>
        <w:t>655.9万元，占98.06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 w:hAnsi="仿宋" w:eastAsia="仿宋"/>
          <w:b/>
          <w:color w:val="000000"/>
          <w:sz w:val="32"/>
          <w:szCs w:val="32"/>
        </w:rPr>
      </w:pPr>
      <w:r>
        <w:pict>
          <v:shape id="_x0000_s1045" o:spid="_x0000_s1045" o:spt="75" type="#_x0000_t75" style="position:absolute;left:0pt;margin-left:-2.35pt;margin-top:26.1pt;height:213.1pt;width:387.15pt;mso-wrap-distance-bottom:0pt;mso-wrap-distance-left:9pt;mso-wrap-distance-right:9pt;mso-wrap-distance-top:0pt;z-index:251664384;mso-width-relative:margin;mso-height-relative:margin;" filled="f" o:preferrelative="t" stroked="f" coordsize="21600,2160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ScdBgM&#10;AQAANgIAAA4AAABkcnMvZTJvRG9jLnhtbJyRwU7DMBBE70j8g7V36rSUtI3q9BIhceICH7DY68ZS&#10;Yltrl8DfY9qCygmpt9kd6Wl2drv7GAfxTpxc8ArmswoEeR2M83sFry+Pd2sQKaM3OARPCj4pwa69&#10;vdlOsaFF6MNgiEWB+NRMUUGfc2ykTLqnEdMsRPLFtIFHzGXkvTSMU6GPg1xUVS2nwCZy0JRS2XYn&#10;E9oj31rS+dnaRFkMCupqU4PIP4KLWK5WIN4ULDcP9yDbLTZ7xtg7fY6EVyQa0fkS4BfVYUZxYHcF&#10;SvfIubB0c1TnUPpq0hlQLv+/52Ct09QFfRjJ51PZTAPm8unUu5hAcOOMAn4y8+/u5J+LL+eiL9/d&#10;fgEAAP//AwBQSwMEFAAGAAgAAAAhAKSN6ukmAQAAAAIAACAAAABkcnMvY2hhcnRzL19yZWxzL2No&#10;YXJ0MS54bWwucmVsc6yRsU7DMBCGdyTewboJBuIkA6qqOl0AKQOqhMrGYpJLYnDsyDYo3VjgFRgQ&#10;Q7cOiIUVwdOk8BgYUKRWqsTCctLdL3/3n//RuK0luUZjhVYMoiAEgirTuVAlg9Pp0d4AiHVc5Vxq&#10;hQxmaGGcbG+NTlBy5x/ZSjSWeIqyDCrnmiGlNquw5jbQDSqvFNrU3PnWlLTh2SUvkcZhuE/NKgOS&#10;NSZJcwYmzWMg01njN//N1kUhMjzQ2VWNym1YQbXEyfkFZs5DuSnRMSiERG+ZpsOzOIyj7u7l4/m+&#10;u33qXm/8IBqsDrqHt8/5Yme5mC8f33eDVtqec6xzb/GwdWgUl0A33xL95y3O/zFOfHRG5Nj7YBAE&#10;9Ef5rb0eBT6Hb1t0Lbfk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vwensN8AAAAJ&#10;AQAADwAAAGRycy9kb3ducmV2LnhtbEyPQUvDQBCF74L/YRnBW7tptDbEbIooop6qrYLHbXbMxmZn&#10;Y3bTxn/fEQQ9PYY3vPe9Yjm6VuyxD40nBbNpAgKp8qahWsHr5n6SgQhRk9GtJ1TwjQGW5elJoXPj&#10;D/SC+3WsBYdQyLUCG2OXSxkqi06Hqe+Q2PvwvdORz76WptcHDnetTJPkSjrdEDdY3eGtxWq3HpyC&#10;nTXP74u7hzdLqzr7GlaPn/bJK3V+Nt5cg4g4xr9n+MFndCiZaesHMkG0CiYznhJ/lf0suZiD2Cq4&#10;TOcpyLKQ/xeURwAAAP//AwBQSwMEFAAGAAgAAAAhAI/k+n1jBwAAcxkAABUAAABkcnMvY2hhcnRz&#10;L2NoYXJ0MS54bWzcWeuPG0US/34S/8MwQQIkbM/D4/FY8aKN96I7sSGrLOF7e6Ztj7bnQU97s5tP&#10;QeIA8RAIIoHC4wQ6JKRDuQNOOhS48M+sd5P/4qr64fXs60yAg2R3ZfdUV9dU/bpe3Xv+2Z2MWduU&#10;V2mR92236dgWzeMiSfNx3776wsVG17YqQfKEsCKnfXuXVvazK4/94XzciyeEi82SxNQCIXnVi/v2&#10;RIiy12pV8YRmpGoWJc1hblTwjAh45ONWwsk1EJ6xluc4nZYUYmsB5AEEZCTNzXq+zPpiNEpjulbE&#10;04zmQmnBKSMCEKgmaVnZK2BcQgR1I6dtbRPWtx27hURG8rEiXJ80Bs8rIi+meUKTQcFzgHGBP4t7&#10;q0xQnoOoQZELeJu2M1sKqYzwrWnZiIusBOWGKUvFrlQXFATZg0kBdlhX6EvTlNOqb8du2wABw2NQ&#10;ZGnMi6oYiSZIbCkUzG6g2LDVbXl6P8BYt92rxC6jyiDX8dDa1vy9UoWLhLEhibcQmwXmOevhPC48&#10;Cgauihm/RMrL29wajt2+zYRrW2IHRskWjIZjD2ke0mCUbMGIxDEACRx6YCgwryhzHt9QfMMDoCge&#10;AEoNAkMJDKVjKB3bmrA03wIg8cu2RgX7kyKYkXIA6cJojEgFo3Kwg588jScr50lvWCS7GxzQIz1W&#10;iU0EVT6USCk3OH4ldHRlg1vVdYjBtgNBOESns1L5Oe3bOQQfBiJPtyAI82JTjoCNVBR0ApoDXkF6&#10;VcHS5GLKmHzg4+GAcbWDvvyRm3iEDV0/t8RuSUcQy317dvvNvf+8j5ykR8kpE3F14kTLmAK+MjdO&#10;WsjBPIyfvq1ixyJMrMtnmjeuboJxD4ntYBfYguCIldlHdztoqJDmKjtx5uEwdkBYOuTpmTu9aG3z&#10;4TV1CZ9etHTvuxv3Xv9q9hf4+/r+568c3P7g3r8+37/54/6bX+5/dXf/5j9mr92Zvfot0A++f3//&#10;01eOAEPzZINwghF9lstjQoUggU+TLGAgZO5gZLeYCmCIewVUZ3hcKCyQbHXayAuMdRmpLLeu9W0v&#10;wOyBLjifglewXL5DrcJ3mERFpqJ4AR/WKKOCJrWXlKwQq5wSVGJBnzKlA6z8SN4mfHdQsMLUPRd9&#10;CdSjEApxL012agILnlCdjXRBTTakmKOMw+lwyKi/VlttbK6nOGw06DzJmZqgkK1xKnygpAcnZcq6&#10;GCxDx0RoHCEnjkY0FusVbg+AOUdVG3PUJo3Jz7RJ1dSjmVvu+W9gk9Qm7v1Mm/zjIKOvoh//P2xa&#10;H7IK3TSBQc1d9Y4pn8eZjORTwtZlTOKzdutGuxkFbsf1As+LukHgtcM/NjQ0Ol4bbtONgqATdrt+&#10;0HEcJwo0C3hOXSwQDt+IOm0Uupsc0kpcTIWOrUlxbZ2OIcU8R48kBZh5kUA3jx2riUSgDYh4nmS6&#10;kdOBVwF9k/IT6RuUY4tVDz7gvyCjcjO9vigKtDb4me95NGsoDq2qGzzH0Ws6rudHXuCHYRC5vncM&#10;Ra/Zdl2/6zhtJ+j4rhMZlkcPRZPm5vnbhMQSqR2rh2pNfmLPGT1qLecpFVgldVVxFVSQv8G1f0cB&#10;ZRQiUCvXobPXOcDkJDqnYyIyzqKSpu+Ggaz9tcJXLZ4Cog7+npR3S16JNVJNVNhLCZrtaPfAFnXQ&#10;8S8TaUxkNYdTyhU6QvVGK0+qLgk7qR9uQLd877Mvrac8x/MaTtjwoqeffPyJ1SfanR5+drGaynUg&#10;YUCgJKOMUgzggK2zkawYSLMgyagzDzQhKwcv353d/vb+h9/sf/P97J03Zndu7t/44uD2Zwfvvqp6&#10;NZS8Lat1KVU0AlyAC2dmb//94OZfZy9/Mbvz77NXeHrFwd/u7v1wa+/HT+7f+nj23luzf369992t&#10;k5bCmw/NUQ8SHRhqvCBfoxb5NPspsF2QsMHnIWwgYQ6bunIZFAldOffMuXNO03EkvPImRpKXxLYT&#10;BM3of+HXbnb8aPEnPG2Fwa/b9P06DwByaIB6MEBJhBA71VdioZEOt2ToLtS8X7UWnhW6oP1c7VEK&#10;sbbJ4PZm1dwnSRWBZ7G5NsH9IJUARS2277JhQC9jcjRvLbhqKs4o0ZfAhVROoMmYKvbdk4i6KQqa&#10;bQ+KtBO2w07HDwLXlOq4Z9qVZuR2Qy8Cj3GdMISE1FZir+mWo9ntel4bm4GO43XdIArVvM5NYdPp&#10;hK4fdh0pJ/SjpVqqX/oc9cDFtuvBZdOjdL+zdLEFr1T+JxM7+OeLaXU5Z9ovdIlL0qq8AMfmrWpV&#10;174xKZUDYLyvYfBfhjPxJaI9zsTO/B7OBE69DNaPeHDdiDLhUFfjUoU0CnCLYlL27RHcjsEwK5O+&#10;XeVjuCVkY7gojwU/odLWXwH3mJKHTTOIF+XbbgBnAHwxdHXT7PJopMhdQ0Z9jJTj2p1So+G+Ce+g&#10;lTlYrU85oz6wx7qo9C/vsiAVBZ+0Db/2leTSLhv36I68w2drRBCLw6VG3+Z/TlQdw/uTqyX+r0Cn&#10;LmlMfY1sO6Rvyv+VrPwXAAD//wMAUEsDBBQABgAIAAAAIQAjbAUngAYAAFQbAAAcAAAAZHJzL3Ro&#10;ZW1lL3RoZW1lT3ZlcnJpZGUxLnhtbOxZTW8bRRi+I/EfRntvYyd2Gkd1qtixG0jTRrFb1ON4d7w7&#10;zezOamac1DfUHpGQEAVxoBI3Dgio1Epcyq8JFEGR+hd4Z2Z3vROvSdJGUEF9SLyzz7zf7zMfvnrt&#10;fszQIRGS8qTt1S/XPEQSnwc0Cdve7WH/0pqHpMJJgBlPSNubEuld23j/vat4XUUkJrdgrqABQSAn&#10;keu47UVKpetLS9KH11he5ilJ4N2YixgreBThUiDwEciP2dJyrba6FGOaeBsg0GdioGcRlOAYdN0a&#10;j6lPzKvgoK4Rciq7TKBDzNoeiAj40ZDcVx5iWCp40fZq5uMtbVxdwuvZJKYWzC3N65tPNi+bEBws&#10;G50iHBVK6/1G68pWId8AmJrH9Xq9bq9eyDMA7PskyWwpy2z01+qdXGYJZL/Oy+7WmrWGiy/JX5mz&#10;udXpdJqtzBYr1IDs18Ycfq222thcdvAGZPHNOXyjs9ntrjp4A7L41Tl8/0prteHiDShiNDmYQ+uE&#10;9vuZ9AIy5my7Er4G8LVaBp+hoBqK6tIqxjxRi2otxve46ANAAxlWNEFqmpIx9qEmuzgeCYq1ArxO&#10;cOmNHfLl3JDWhaQvaKra3ocpTrwS5NXz7189f4qOHzw7fvDT8cOHxw9+tIKcWds4CcuzXn772Z+P&#10;P0Z/PP3m5aMvqvGyjP/1h09++fnzaiC0z8y9F18++e3Zkxdfffr7d48q4JsCj8rwIY2JRDfJEdrn&#10;MThmouJaTkbifDOGEablGZtJKHGCtZYK+T0VOeibU8yy7Dh2dIgbwTsC6KMKeH1yzzF4EImJohWa&#10;d6LYAe5yzjpcVEZhR+sqhXk4ScJq5WJSxu1jfFilu4sTJ7+9SQq8mZel43g3Io6ZewwnCockIQrp&#10;d/yAkArv7lLqxHWX+oJLPlboLkUdTCtDMqQjp5pmk7ZpDHmZVvkM+XZis3sHdTir8nqLHLpI6ArM&#10;KowfEuaE8TqeKBxXiRzimJUDfgOrqMrIwVT4ZVxPKsh0SBhHvYBIWTXnlgB/S0nfwcBYlWnfZdPY&#10;RQpFD6pk3sCcl5Fb/KAb4Titwg5oEpWxH8gDKFGM9riqgu9yt0P0M+QBJwvTfYcSJ92ns8FtGjom&#10;zQpEv5mIilxeJ9yp38GUjTExVAOk7nB1TJO/I25GgbmthosjbqDKF18/rrD7baXsTVi9qnpm+wRR&#10;L8KdpOcuFwF9+9l5C0+SPQINMb9EvSPnd+Ts/efJeVE/Xzwlz1gYCFrvRexG22y744W77jFlbKCm&#10;jNyQZuMtYe0J+jCo55nDJClOYWkEX3UngwIHFwps5iDB1UdURYMIp7Bpr3taSCgz0aFEKZdwWDTD&#10;lbI1Hjb+yh41m/oQYplDYrXLAzu8oofzs0YhxlgVSqvRKlrRAs6qbOVKJhR8ex1ldW3UmbXVjWmG&#10;FB1thcs6xOZQDiEvXIPBIpqwqUGwFYIor8JxXquGww5mJNBxtznK02JicpEpkhGGqwdzHdDUfs/n&#10;qG6SlNfKnCPaD5sjfXA8JWolbS0t9g20nSVJZXWNBery7L1JlvIKnmUJpJ1sR5aUm5Ml6KjttZrL&#10;TQ/5OG17Yzgnw9c4haxLvY/ELIT7JF8JW/anNrMujbLDuWNuE9Th6sPGfc5hhwdSIdUWlpEtDfMq&#10;KwGWaE3W/uUmhPWiHKhgo7NZsbIGxfCvWQFxdFNLxmPiq3KySyM6dvYxo1I+UUQMouAIjdhE7GNI&#10;vy5V8CegEq47DCPoB7ib09E2r1xyzpqufCNmcHYcszTCGd3qFs072cINIRU2mKeSeeBbpe3GufO7&#10;Ylr+glwpl/H/zBW9nsDtw0qgM+DDRa/ASHdK2+NCRRxYKI2o3xewcTDcAdUC97vwGooK7qDNf0EO&#10;9X/bc1aGaWs4RKp9GiJBYT1SkSBkD2jJVN8pwurZ2mVFskyQqaiSuTK1Zo/IIWFDzYGrem33UASl&#10;btgkowGDO1l/7nPWQaNQb3LK/eYwWbH22h74p3c+tpnBKZeHzYYmj39hYrE9mK2qdr6Znq+9ZUf0&#10;i9k2q5F3hbsUtLK2f00TzrnUWsaa83i5mRsHWZz3GAaLDVEKd0hI/4H1jwqf2V8w9II65PvArQh+&#10;vNDCoGygqi/ZjQfSBGkHR7BxsoO2mLQoG9ps66Sjli/WF7zTLfSeCLa27Cz5Pmewi82Zq87pxYsM&#10;dhZhJ9Z2bGGoIbMnWxSGxvlBxiTG+SVs4y8AAAD//wMAUEsBAi0AFAAGAAgAAAAhAEAf9EEwAQAA&#10;4AIAABMAAAAAAAAAAAAAAAAAAAAAAFtDb250ZW50X1R5cGVzXS54bWxQSwECLQAUAAYACAAAACEA&#10;OP0h/9YAAACUAQAACwAAAAAAAAAAAAAAAABhAQAAX3JlbHMvLnJlbHNQSwECLQAUAAYACAAAACEA&#10;RJx0GAwBAAA2AgAADgAAAAAAAAAAAAAAAABgAgAAZHJzL2Uyb0RvYy54bWxQSwECLQAUAAYACAAA&#10;ACEApI3q6SYBAAAAAgAAIAAAAAAAAAAAAAAAAACYAwAAZHJzL2NoYXJ0cy9fcmVscy9jaGFydDEu&#10;eG1sLnJlbHNQSwECLQAUAAYACAAAACEAqxbNRrkAAAAiAQAAGQAAAAAAAAAAAAAAAAD8BAAAZHJz&#10;L19yZWxzL2Uyb0RvYy54bWwucmVsc1BLAQItABQABgAIAAAAIQC/B6ew3wAAAAkBAAAPAAAAAAAA&#10;AAAAAAAAAOwFAABkcnMvZG93bnJldi54bWxQSwECLQAUAAYACAAAACEAj+T6fWMHAABzGQAAFQAA&#10;AAAAAAAAAAAAAAD4BgAAZHJzL2NoYXJ0cy9jaGFydDEueG1sUEsBAi0AFAAGAAgAAAAhACNsBSeA&#10;BgAAVBsAABwAAAAAAAAAAAAAAAAAjg4AAGRycy90aGVtZS90aGVtZU92ZXJyaWRlMS54bWxQSwUG&#10;AAAAAAgACAAVAgAASBUAAAAA&#10;">
            <v:path/>
            <v:fill on="f" focussize="0,0"/>
            <v:stroke on="f" joinstyle="miter"/>
            <v:imagedata r:id="rId15" o:title=""/>
            <o:lock v:ext="edit" aspectratio="f"/>
            <w10:wrap type="square"/>
          </v:shape>
        </w:pic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41" w:name="_Toc80371182"/>
      <w:bookmarkStart w:id="42" w:name="_Toc15377212"/>
      <w:r>
        <w:rPr>
          <w:rFonts w:hint="eastAsia" w:ascii="仿宋" w:hAnsi="仿宋" w:eastAsia="仿宋"/>
          <w:b/>
          <w:color w:val="000000"/>
          <w:sz w:val="32"/>
          <w:szCs w:val="32"/>
        </w:rPr>
        <w:t>（三）一般公共预算财政拨款支出决算具体情况</w:t>
      </w:r>
      <w:bookmarkEnd w:id="41"/>
      <w:bookmarkEnd w:id="42"/>
    </w:p>
    <w:p>
      <w:pPr>
        <w:spacing w:line="600" w:lineRule="exact"/>
        <w:ind w:firstLine="643" w:firstLineChars="200"/>
        <w:outlineLvl w:val="2"/>
        <w:rPr>
          <w:rFonts w:ascii="仿宋" w:hAnsi="仿宋" w:eastAsia="仿宋"/>
          <w:color w:val="FF0000"/>
          <w:sz w:val="32"/>
          <w:szCs w:val="32"/>
        </w:rPr>
      </w:pPr>
      <w:bookmarkStart w:id="43" w:name="_Toc15377444"/>
      <w:bookmarkStart w:id="44" w:name="_Toc15378460"/>
      <w:bookmarkStart w:id="45" w:name="_Toc80370665"/>
      <w:bookmarkStart w:id="46" w:name="_Toc80371183"/>
      <w:bookmarkStart w:id="47" w:name="_Toc15377213"/>
      <w:r>
        <w:rPr>
          <w:rFonts w:hint="eastAsia" w:ascii="仿宋" w:hAnsi="仿宋" w:eastAsia="仿宋"/>
          <w:b/>
          <w:color w:val="000000"/>
          <w:sz w:val="32"/>
          <w:szCs w:val="32"/>
        </w:rPr>
        <w:t>2021年一般公共预算支出决算数为668.87万元</w:t>
      </w:r>
      <w:r>
        <w:rPr>
          <w:rFonts w:hint="eastAsia" w:ascii="仿宋" w:hAnsi="仿宋" w:eastAsia="仿宋"/>
          <w:color w:val="000000"/>
          <w:sz w:val="32"/>
          <w:szCs w:val="32"/>
        </w:rPr>
        <w:t>，</w:t>
      </w:r>
      <w:r>
        <w:rPr>
          <w:rStyle w:val="20"/>
          <w:rFonts w:hint="eastAsia" w:ascii="仿宋" w:hAnsi="仿宋" w:eastAsia="仿宋"/>
          <w:bCs/>
          <w:color w:val="000000"/>
          <w:sz w:val="32"/>
          <w:szCs w:val="32"/>
        </w:rPr>
        <w:t>完成预算100</w:t>
      </w:r>
      <w:r>
        <w:rPr>
          <w:rStyle w:val="20"/>
          <w:rFonts w:ascii="仿宋" w:hAnsi="仿宋" w:eastAsia="仿宋"/>
          <w:bCs/>
          <w:color w:val="000000"/>
          <w:sz w:val="32"/>
          <w:szCs w:val="32"/>
        </w:rPr>
        <w:t>%</w:t>
      </w:r>
      <w:r>
        <w:rPr>
          <w:rStyle w:val="20"/>
          <w:rFonts w:hint="eastAsia" w:ascii="仿宋" w:hAnsi="仿宋" w:eastAsia="仿宋"/>
          <w:bCs/>
          <w:color w:val="000000"/>
          <w:sz w:val="32"/>
          <w:szCs w:val="32"/>
        </w:rPr>
        <w:t>。其中：</w:t>
      </w:r>
      <w:bookmarkEnd w:id="43"/>
      <w:bookmarkEnd w:id="44"/>
      <w:bookmarkEnd w:id="45"/>
      <w:bookmarkEnd w:id="46"/>
      <w:bookmarkEnd w:id="47"/>
    </w:p>
    <w:p>
      <w:pPr>
        <w:spacing w:line="600" w:lineRule="exact"/>
        <w:ind w:firstLine="643" w:firstLineChars="200"/>
        <w:rPr>
          <w:rFonts w:ascii="仿宋" w:hAnsi="仿宋" w:eastAsia="仿宋"/>
          <w:b/>
          <w:color w:val="000000"/>
          <w:sz w:val="32"/>
          <w:szCs w:val="32"/>
        </w:rPr>
      </w:pPr>
      <w:r>
        <w:rPr>
          <w:rStyle w:val="20"/>
          <w:rFonts w:ascii="仿宋" w:hAnsi="仿宋" w:eastAsia="仿宋"/>
          <w:bCs/>
          <w:color w:val="000000"/>
          <w:sz w:val="32"/>
          <w:szCs w:val="32"/>
        </w:rPr>
        <w:t>1.</w:t>
      </w:r>
      <w:r>
        <w:rPr>
          <w:rStyle w:val="20"/>
          <w:rFonts w:hint="eastAsia" w:ascii="仿宋" w:hAnsi="仿宋" w:eastAsia="仿宋"/>
          <w:bCs/>
          <w:color w:val="000000"/>
          <w:sz w:val="32"/>
          <w:szCs w:val="32"/>
        </w:rPr>
        <w:t>社会保障和就业支出（类）行政事业单位养老支出（款）事业单位离退休（项）</w:t>
      </w:r>
      <w:r>
        <w:rPr>
          <w:rStyle w:val="20"/>
          <w:rFonts w:ascii="仿宋" w:hAnsi="仿宋" w:eastAsia="仿宋"/>
          <w:bCs/>
          <w:color w:val="000000"/>
          <w:sz w:val="32"/>
          <w:szCs w:val="32"/>
        </w:rPr>
        <w:t>:</w:t>
      </w:r>
      <w:r>
        <w:rPr>
          <w:rStyle w:val="20"/>
          <w:rFonts w:ascii="仿宋" w:hAnsi="仿宋" w:eastAsia="仿宋"/>
          <w:b w:val="0"/>
          <w:bCs/>
          <w:color w:val="000000"/>
          <w:sz w:val="32"/>
          <w:szCs w:val="32"/>
        </w:rPr>
        <w:t xml:space="preserve"> </w:t>
      </w:r>
      <w:r>
        <w:rPr>
          <w:rStyle w:val="20"/>
          <w:rFonts w:hint="eastAsia" w:ascii="仿宋" w:hAnsi="仿宋" w:eastAsia="仿宋"/>
          <w:b w:val="0"/>
          <w:bCs/>
          <w:color w:val="000000"/>
          <w:sz w:val="32"/>
          <w:szCs w:val="32"/>
        </w:rPr>
        <w:t>支出决算为0.18万元，完成预算100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，决算数与预算数持平。</w:t>
      </w:r>
    </w:p>
    <w:p>
      <w:pPr>
        <w:spacing w:line="600" w:lineRule="exact"/>
        <w:ind w:firstLine="643" w:firstLineChars="200"/>
        <w:rPr>
          <w:rFonts w:ascii="仿宋" w:hAnsi="仿宋" w:eastAsia="仿宋"/>
          <w:b/>
          <w:color w:val="000000"/>
          <w:sz w:val="32"/>
          <w:szCs w:val="32"/>
        </w:rPr>
      </w:pPr>
      <w:r>
        <w:rPr>
          <w:rStyle w:val="20"/>
          <w:rFonts w:ascii="仿宋" w:hAnsi="仿宋" w:eastAsia="仿宋"/>
          <w:bCs/>
          <w:color w:val="000000"/>
          <w:sz w:val="32"/>
          <w:szCs w:val="32"/>
        </w:rPr>
        <w:t>2.</w:t>
      </w:r>
      <w:r>
        <w:rPr>
          <w:rStyle w:val="20"/>
          <w:rFonts w:hint="eastAsia" w:ascii="仿宋" w:hAnsi="仿宋" w:eastAsia="仿宋"/>
          <w:bCs/>
          <w:color w:val="000000"/>
          <w:sz w:val="32"/>
          <w:szCs w:val="32"/>
        </w:rPr>
        <w:t>社会保障和就业支出（类）行政事业单位养老支出（款）机关事业单位基本养老保险缴费支出（项）</w:t>
      </w:r>
      <w:r>
        <w:rPr>
          <w:rStyle w:val="20"/>
          <w:rFonts w:ascii="仿宋" w:hAnsi="仿宋" w:eastAsia="仿宋"/>
          <w:bCs/>
          <w:color w:val="000000"/>
          <w:sz w:val="32"/>
          <w:szCs w:val="32"/>
        </w:rPr>
        <w:t>:</w:t>
      </w:r>
      <w:r>
        <w:rPr>
          <w:rStyle w:val="20"/>
          <w:rFonts w:ascii="仿宋" w:hAnsi="仿宋" w:eastAsia="仿宋"/>
          <w:b w:val="0"/>
          <w:bCs/>
          <w:color w:val="000000"/>
          <w:sz w:val="32"/>
          <w:szCs w:val="32"/>
        </w:rPr>
        <w:t xml:space="preserve"> </w:t>
      </w:r>
      <w:r>
        <w:rPr>
          <w:rStyle w:val="20"/>
          <w:rFonts w:hint="eastAsia" w:ascii="仿宋" w:hAnsi="仿宋" w:eastAsia="仿宋"/>
          <w:b w:val="0"/>
          <w:bCs/>
          <w:color w:val="000000"/>
          <w:sz w:val="32"/>
          <w:szCs w:val="32"/>
        </w:rPr>
        <w:t>支出决算为8.15万元，完成预算100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，决算数与预算数持平。</w:t>
      </w:r>
    </w:p>
    <w:p>
      <w:pPr>
        <w:spacing w:line="600" w:lineRule="exact"/>
        <w:ind w:firstLine="643" w:firstLineChars="200"/>
        <w:rPr>
          <w:rFonts w:ascii="仿宋" w:hAnsi="仿宋" w:eastAsia="仿宋"/>
          <w:b/>
          <w:color w:val="000000"/>
          <w:sz w:val="32"/>
          <w:szCs w:val="32"/>
        </w:rPr>
      </w:pPr>
      <w:r>
        <w:rPr>
          <w:rStyle w:val="20"/>
          <w:rFonts w:ascii="仿宋" w:hAnsi="仿宋" w:eastAsia="仿宋"/>
          <w:bCs/>
          <w:color w:val="000000"/>
          <w:sz w:val="32"/>
          <w:szCs w:val="32"/>
        </w:rPr>
        <w:t>3.</w:t>
      </w:r>
      <w:r>
        <w:rPr>
          <w:rFonts w:hint="eastAsia" w:ascii="仿宋" w:hAnsi="仿宋" w:eastAsia="仿宋"/>
          <w:b/>
          <w:bCs/>
          <w:color w:val="000000"/>
          <w:sz w:val="32"/>
          <w:szCs w:val="32"/>
        </w:rPr>
        <w:t>卫生健康支出</w:t>
      </w:r>
      <w:r>
        <w:rPr>
          <w:rStyle w:val="20"/>
          <w:rFonts w:hint="eastAsia" w:ascii="仿宋" w:hAnsi="仿宋" w:eastAsia="仿宋"/>
          <w:bCs/>
          <w:color w:val="000000"/>
          <w:sz w:val="32"/>
          <w:szCs w:val="32"/>
        </w:rPr>
        <w:t>（类）行政事业单位医疗（款）事业单位医疗（项）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支出决算为4.64万元，完成预算100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，决算数与预算数持平。</w:t>
      </w:r>
    </w:p>
    <w:p>
      <w:pPr>
        <w:spacing w:line="600" w:lineRule="exact"/>
        <w:ind w:firstLine="643" w:firstLineChars="200"/>
        <w:rPr>
          <w:rStyle w:val="20"/>
          <w:rFonts w:ascii="仿宋" w:hAnsi="仿宋" w:eastAsia="仿宋"/>
          <w:b w:val="0"/>
          <w:bCs/>
          <w:color w:val="000000"/>
          <w:sz w:val="32"/>
          <w:szCs w:val="32"/>
        </w:rPr>
      </w:pPr>
      <w:r>
        <w:rPr>
          <w:rStyle w:val="20"/>
          <w:rFonts w:ascii="仿宋" w:hAnsi="仿宋" w:eastAsia="仿宋"/>
          <w:bCs/>
          <w:color w:val="000000"/>
          <w:sz w:val="32"/>
          <w:szCs w:val="32"/>
        </w:rPr>
        <w:t>4.</w:t>
      </w:r>
      <w:r>
        <w:rPr>
          <w:rStyle w:val="20"/>
          <w:rFonts w:hint="eastAsia" w:ascii="仿宋" w:hAnsi="仿宋" w:eastAsia="仿宋"/>
          <w:bCs/>
          <w:color w:val="000000"/>
          <w:sz w:val="32"/>
          <w:szCs w:val="32"/>
        </w:rPr>
        <w:t>灾害防治及应急管理支出（类）应急管理事务（款）行政运行（项）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支出决算为31万元，完成预算100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，决算数与预算数持平。</w:t>
      </w:r>
    </w:p>
    <w:p>
      <w:pPr>
        <w:spacing w:line="600" w:lineRule="exact"/>
        <w:ind w:firstLine="643" w:firstLineChars="200"/>
        <w:rPr>
          <w:rStyle w:val="20"/>
          <w:rFonts w:ascii="仿宋" w:hAnsi="仿宋" w:eastAsia="仿宋"/>
          <w:b w:val="0"/>
          <w:bCs/>
          <w:color w:val="000000"/>
          <w:sz w:val="32"/>
          <w:szCs w:val="32"/>
        </w:rPr>
      </w:pPr>
      <w:r>
        <w:rPr>
          <w:rStyle w:val="20"/>
          <w:rFonts w:ascii="仿宋" w:hAnsi="仿宋" w:eastAsia="仿宋"/>
          <w:bCs/>
          <w:color w:val="000000"/>
          <w:sz w:val="32"/>
          <w:szCs w:val="32"/>
        </w:rPr>
        <w:t>5.</w:t>
      </w:r>
      <w:r>
        <w:rPr>
          <w:rStyle w:val="20"/>
          <w:rFonts w:hint="eastAsia" w:ascii="仿宋" w:hAnsi="仿宋" w:eastAsia="仿宋"/>
          <w:bCs/>
          <w:color w:val="000000"/>
          <w:sz w:val="32"/>
          <w:szCs w:val="32"/>
        </w:rPr>
        <w:t>灾害防治及应急管理支出（类）应急管理事务（款）应急救援（项）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支出决算为302.67万元，完成预算100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，决算数与预算数持平。</w:t>
      </w:r>
    </w:p>
    <w:p>
      <w:pPr>
        <w:spacing w:line="600" w:lineRule="exact"/>
        <w:ind w:firstLine="643" w:firstLineChars="200"/>
        <w:rPr>
          <w:rFonts w:ascii="仿宋" w:hAnsi="仿宋" w:eastAsia="仿宋"/>
          <w:bCs/>
          <w:color w:val="000000"/>
          <w:sz w:val="32"/>
          <w:szCs w:val="32"/>
        </w:rPr>
      </w:pPr>
      <w:r>
        <w:rPr>
          <w:rFonts w:hint="eastAsia" w:ascii="仿宋" w:hAnsi="仿宋" w:eastAsia="仿宋"/>
          <w:b/>
          <w:color w:val="000000"/>
          <w:sz w:val="32"/>
          <w:szCs w:val="32"/>
        </w:rPr>
        <w:t>6.</w:t>
      </w:r>
      <w:r>
        <w:rPr>
          <w:rStyle w:val="20"/>
          <w:rFonts w:hint="eastAsia" w:ascii="仿宋" w:hAnsi="仿宋" w:eastAsia="仿宋"/>
          <w:bCs/>
          <w:color w:val="000000"/>
          <w:sz w:val="32"/>
          <w:szCs w:val="32"/>
        </w:rPr>
        <w:t>灾害防治及应急管理支出（类）应急管理事务（款）事业运行（项）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支出决算为322.23万元，完成预算100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，决算数与预算数持平。</w:t>
      </w:r>
    </w:p>
    <w:p>
      <w:pPr>
        <w:tabs>
          <w:tab w:val="right" w:pos="8306"/>
        </w:tabs>
        <w:spacing w:line="600" w:lineRule="exact"/>
        <w:ind w:firstLine="640"/>
        <w:outlineLvl w:val="1"/>
        <w:rPr>
          <w:rStyle w:val="31"/>
        </w:rPr>
      </w:pPr>
      <w:bookmarkStart w:id="48" w:name="_Toc32021"/>
      <w:bookmarkStart w:id="49" w:name="_Toc15396608"/>
      <w:bookmarkStart w:id="50"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1"/>
          <w:rFonts w:hint="eastAsia" w:ascii="黑体" w:hAnsi="黑体" w:eastAsia="黑体"/>
          <w:b w:val="0"/>
        </w:rPr>
        <w:t>般公共预算财政拨款基本支出决算情况说明</w:t>
      </w:r>
      <w:bookmarkEnd w:id="48"/>
      <w:bookmarkEnd w:id="49"/>
      <w:bookmarkEnd w:id="50"/>
      <w:r>
        <w:rPr>
          <w:rStyle w:val="31"/>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21年一般公共预算财政拨款基本支出368.87万元，其中：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322.83万元，主要包括：基本工资、津贴补贴、奖金、伙食补助费、绩效工资、机关事业单位基本养老保险缴费、职业年金缴费、其他社会保障缴费、其他工资福利支出、生活补助、医疗费补助、其他对个人和家庭的补助支出等。</w:t>
      </w:r>
    </w:p>
    <w:p>
      <w:pPr>
        <w:spacing w:line="600" w:lineRule="exact"/>
        <w:rPr>
          <w:rFonts w:ascii="仿宋" w:hAnsi="仿宋" w:eastAsia="仿宋"/>
          <w:color w:val="000000"/>
          <w:sz w:val="32"/>
          <w:szCs w:val="32"/>
        </w:rPr>
      </w:pPr>
      <w:r>
        <w:rPr>
          <w:rFonts w:hint="eastAsia" w:ascii="仿宋" w:hAnsi="仿宋" w:eastAsia="仿宋"/>
          <w:color w:val="000000"/>
          <w:sz w:val="32"/>
          <w:szCs w:val="32"/>
        </w:rPr>
        <w:t>　　日常公用经费46.04万元，主要包括：办公费、印刷费、水费、邮电费、物业管理费、差旅费、维修（护）费、会议费、培训费、公务接待费、工会经费、福利费、公务用车运行维护费、其他交通费用、其他商品和服务支出。</w:t>
      </w:r>
    </w:p>
    <w:p>
      <w:pPr>
        <w:spacing w:line="600" w:lineRule="exact"/>
        <w:ind w:firstLine="640"/>
        <w:outlineLvl w:val="1"/>
        <w:rPr>
          <w:rStyle w:val="31"/>
          <w:rFonts w:ascii="黑体" w:hAnsi="黑体" w:eastAsia="黑体"/>
        </w:rPr>
      </w:pPr>
      <w:bookmarkStart w:id="51" w:name="_Toc15396609"/>
      <w:bookmarkStart w:id="52" w:name="_Toc15377215"/>
      <w:bookmarkStart w:id="53" w:name="_Toc23394"/>
      <w:r>
        <w:rPr>
          <w:rFonts w:hint="eastAsia" w:ascii="黑体" w:eastAsia="黑体"/>
          <w:color w:val="000000"/>
          <w:sz w:val="32"/>
          <w:szCs w:val="32"/>
        </w:rPr>
        <w:t>七、</w:t>
      </w:r>
      <w:bookmarkEnd w:id="51"/>
      <w:bookmarkEnd w:id="52"/>
      <w:r>
        <w:rPr>
          <w:rStyle w:val="31"/>
          <w:rFonts w:hint="eastAsia" w:ascii="黑体" w:hAnsi="黑体" w:eastAsia="黑体"/>
        </w:rPr>
        <w:t>一般公共预算财政拨款项目支出决算情况说明</w:t>
      </w:r>
      <w:bookmarkEnd w:id="53"/>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21年一般公共预算财政拨款项目支出300万元，其中：</w:t>
      </w:r>
    </w:p>
    <w:p>
      <w:pPr>
        <w:spacing w:line="600" w:lineRule="exact"/>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rPr>
        <w:t>应急救援装备储备项目支出</w:t>
      </w:r>
      <w:r>
        <w:rPr>
          <w:rFonts w:hint="eastAsia" w:ascii="仿宋" w:hAnsi="仿宋" w:eastAsia="仿宋"/>
          <w:color w:val="000000"/>
          <w:sz w:val="32"/>
          <w:szCs w:val="32"/>
        </w:rPr>
        <w:t>300万元，主要用于：项目经费支出，包括专用设备购置、其他资本性支出等。此项目2020年10月开始实施，2021年2月完成结算。</w:t>
      </w:r>
    </w:p>
    <w:p>
      <w:pPr>
        <w:spacing w:line="600" w:lineRule="exact"/>
        <w:ind w:firstLine="640"/>
        <w:outlineLvl w:val="1"/>
        <w:rPr>
          <w:rStyle w:val="31"/>
          <w:rFonts w:ascii="黑体" w:hAnsi="黑体" w:eastAsia="黑体"/>
          <w:b w:val="0"/>
        </w:rPr>
      </w:pPr>
      <w:bookmarkStart w:id="54" w:name="_Toc23331"/>
      <w:r>
        <w:rPr>
          <w:rStyle w:val="31"/>
          <w:rFonts w:hint="eastAsia" w:ascii="黑体" w:hAnsi="黑体" w:eastAsia="黑体"/>
          <w:b w:val="0"/>
        </w:rPr>
        <w:t>八、“三公”经费财政拨款支出决算情况说明</w:t>
      </w:r>
      <w:bookmarkEnd w:id="54"/>
    </w:p>
    <w:p>
      <w:pPr>
        <w:spacing w:line="600" w:lineRule="exact"/>
        <w:ind w:firstLine="640"/>
        <w:outlineLvl w:val="2"/>
        <w:rPr>
          <w:rFonts w:ascii="仿宋" w:hAnsi="仿宋" w:eastAsia="仿宋"/>
          <w:b/>
          <w:color w:val="000000"/>
          <w:sz w:val="32"/>
          <w:szCs w:val="32"/>
        </w:rPr>
      </w:pPr>
      <w:bookmarkStart w:id="55" w:name="_Toc15377216"/>
      <w:bookmarkStart w:id="56" w:name="_Toc80371186"/>
      <w:r>
        <w:rPr>
          <w:rFonts w:hint="eastAsia" w:ascii="仿宋" w:hAnsi="仿宋" w:eastAsia="仿宋"/>
          <w:b/>
          <w:color w:val="000000"/>
          <w:sz w:val="32"/>
          <w:szCs w:val="32"/>
        </w:rPr>
        <w:t>（一）“三公”经费财政拨款支出决算总体情况说明</w:t>
      </w:r>
      <w:bookmarkEnd w:id="55"/>
      <w:bookmarkEnd w:id="5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21年“三公”经费财政拨款支出决算为3.25万元，完成预算</w:t>
      </w:r>
      <w:r>
        <w:rPr>
          <w:rFonts w:hint="eastAsia" w:ascii="仿宋" w:hAnsi="仿宋" w:eastAsia="仿宋"/>
          <w:color w:val="000000"/>
          <w:sz w:val="32"/>
          <w:szCs w:val="32"/>
          <w:lang w:val="en-US" w:eastAsia="zh-CN"/>
        </w:rPr>
        <w:t>54.08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主要原因</w:t>
      </w:r>
      <w:bookmarkStart w:id="113" w:name="_GoBack"/>
      <w:bookmarkEnd w:id="113"/>
      <w:r>
        <w:rPr>
          <w:rFonts w:hint="eastAsia" w:ascii="仿宋" w:hAnsi="仿宋" w:eastAsia="仿宋"/>
          <w:color w:val="000000"/>
          <w:sz w:val="32"/>
          <w:szCs w:val="32"/>
          <w:lang w:val="en-US" w:eastAsia="zh-CN"/>
        </w:rPr>
        <w:t>是2021年接待费减少</w:t>
      </w:r>
      <w:r>
        <w:rPr>
          <w:rFonts w:hint="eastAsia" w:ascii="仿宋" w:hAnsi="仿宋" w:eastAsia="仿宋"/>
          <w:color w:val="000000"/>
          <w:sz w:val="32"/>
          <w:szCs w:val="32"/>
        </w:rPr>
        <w:t>。</w:t>
      </w:r>
      <w:r>
        <w:rPr>
          <w:rFonts w:hint="eastAsia" w:ascii="仿宋" w:hAnsi="仿宋" w:eastAsia="仿宋"/>
          <w:color w:val="000000"/>
          <w:sz w:val="32"/>
          <w:szCs w:val="32"/>
          <w:lang w:eastAsia="zh-CN"/>
        </w:rPr>
        <w:t>比</w:t>
      </w:r>
      <w:r>
        <w:rPr>
          <w:rFonts w:hint="eastAsia" w:ascii="仿宋" w:hAnsi="仿宋" w:eastAsia="仿宋"/>
          <w:color w:val="000000"/>
          <w:sz w:val="32"/>
          <w:szCs w:val="32"/>
        </w:rPr>
        <w:t>2020年减少2.45万元，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42.91%，</w:t>
      </w:r>
      <w:r>
        <w:rPr>
          <w:rFonts w:hint="eastAsia" w:ascii="仿宋_GB2312" w:eastAsia="仿宋_GB2312"/>
          <w:color w:val="000000"/>
          <w:sz w:val="32"/>
          <w:szCs w:val="32"/>
        </w:rPr>
        <w:t>主要减少原因是</w:t>
      </w:r>
      <w:r>
        <w:rPr>
          <w:rFonts w:hint="eastAsia" w:ascii="仿宋_GB2312" w:eastAsia="仿宋_GB2312"/>
          <w:color w:val="000000"/>
          <w:sz w:val="32"/>
          <w:szCs w:val="32"/>
          <w:lang w:val="en-US" w:eastAsia="zh-CN"/>
        </w:rPr>
        <w:t>2021年单位</w:t>
      </w:r>
      <w:r>
        <w:rPr>
          <w:rFonts w:hint="eastAsia" w:ascii="仿宋_GB2312" w:eastAsia="仿宋_GB2312"/>
          <w:color w:val="000000"/>
          <w:sz w:val="32"/>
          <w:szCs w:val="32"/>
        </w:rPr>
        <w:t>管理规范，厉行节约。</w:t>
      </w:r>
    </w:p>
    <w:p>
      <w:pPr>
        <w:spacing w:line="600" w:lineRule="exact"/>
        <w:ind w:firstLine="640"/>
        <w:outlineLvl w:val="2"/>
        <w:rPr>
          <w:rFonts w:ascii="仿宋" w:hAnsi="仿宋" w:eastAsia="仿宋"/>
          <w:b/>
          <w:color w:val="000000"/>
          <w:sz w:val="32"/>
          <w:szCs w:val="32"/>
        </w:rPr>
      </w:pPr>
      <w:bookmarkStart w:id="57" w:name="_Toc80371187"/>
      <w:bookmarkStart w:id="58" w:name="_Toc15377217"/>
      <w:r>
        <w:rPr>
          <w:rFonts w:hint="eastAsia" w:ascii="仿宋" w:hAnsi="仿宋" w:eastAsia="仿宋"/>
          <w:b/>
          <w:color w:val="000000"/>
          <w:sz w:val="32"/>
          <w:szCs w:val="32"/>
        </w:rPr>
        <w:t>（二）“三公”经费财政拨款支出决算具体情况说明</w:t>
      </w:r>
      <w:bookmarkEnd w:id="57"/>
      <w:bookmarkEnd w:id="58"/>
    </w:p>
    <w:p>
      <w:pPr>
        <w:spacing w:line="600" w:lineRule="exact"/>
        <w:ind w:firstLine="640"/>
        <w:rPr>
          <w:rFonts w:hint="eastAsia" w:ascii="仿宋" w:hAnsi="仿宋" w:eastAsia="仿宋_GB2312"/>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年“三公</w:t>
      </w:r>
      <w:r>
        <w:rPr>
          <w:rFonts w:hint="eastAsia" w:ascii="仿宋" w:hAnsi="仿宋" w:eastAsia="仿宋"/>
          <w:color w:val="000000"/>
          <w:sz w:val="32"/>
          <w:szCs w:val="32"/>
          <w:highlight w:val="none"/>
        </w:rPr>
        <w:t>”经费财政拨款支出</w:t>
      </w:r>
      <w:r>
        <w:rPr>
          <w:rFonts w:hint="eastAsia" w:ascii="仿宋_GB2312" w:eastAsia="仿宋_GB2312"/>
          <w:color w:val="auto"/>
          <w:sz w:val="32"/>
          <w:szCs w:val="32"/>
          <w:highlight w:val="none"/>
          <w:lang w:val="en-US" w:eastAsia="zh-CN"/>
        </w:rPr>
        <w:t>3.25</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2.45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2.45</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000000"/>
          <w:sz w:val="32"/>
          <w:szCs w:val="32"/>
          <w:lang w:val="en-US" w:eastAsia="zh-CN"/>
        </w:rPr>
        <w:t>2021年单位</w:t>
      </w:r>
      <w:r>
        <w:rPr>
          <w:rFonts w:hint="eastAsia" w:ascii="仿宋_GB2312" w:eastAsia="仿宋_GB2312"/>
          <w:color w:val="000000"/>
          <w:sz w:val="32"/>
          <w:szCs w:val="32"/>
        </w:rPr>
        <w:t>管理规范，厉行节约</w:t>
      </w:r>
      <w:r>
        <w:rPr>
          <w:rFonts w:hint="eastAsia" w:ascii="仿宋_GB2312" w:eastAsia="仿宋_GB2312"/>
          <w:color w:val="000000"/>
          <w:sz w:val="32"/>
          <w:szCs w:val="32"/>
          <w:lang w:eastAsia="zh-CN"/>
        </w:rPr>
        <w:t>。</w:t>
      </w:r>
    </w:p>
    <w:p>
      <w:pPr>
        <w:spacing w:line="600" w:lineRule="exact"/>
        <w:ind w:firstLine="640"/>
        <w:rPr>
          <w:rFonts w:ascii="仿宋" w:hAnsi="仿宋" w:eastAsia="仿宋"/>
          <w:color w:val="000000"/>
          <w:sz w:val="32"/>
          <w:szCs w:val="32"/>
        </w:rPr>
      </w:pPr>
      <w:r>
        <w:rPr>
          <w:rFonts w:hint="eastAsia" w:ascii="仿宋" w:hAnsi="仿宋" w:eastAsia="仿宋"/>
          <w:color w:val="auto"/>
          <w:sz w:val="32"/>
          <w:szCs w:val="32"/>
          <w:highlight w:val="none"/>
          <w:lang w:eastAsia="zh-CN"/>
        </w:rPr>
        <w:t>其中：</w:t>
      </w:r>
      <w:r>
        <w:rPr>
          <w:rFonts w:hint="eastAsia" w:ascii="仿宋" w:hAnsi="仿宋" w:eastAsia="仿宋"/>
          <w:color w:val="auto"/>
          <w:sz w:val="32"/>
          <w:szCs w:val="32"/>
        </w:rPr>
        <w:t>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；公务用</w:t>
      </w:r>
      <w:r>
        <w:rPr>
          <w:rFonts w:hint="eastAsia" w:ascii="仿宋" w:hAnsi="仿宋" w:eastAsia="仿宋"/>
          <w:color w:val="000000"/>
          <w:sz w:val="32"/>
          <w:szCs w:val="32"/>
        </w:rPr>
        <w:t>车购置及运行维护费支出决算</w:t>
      </w:r>
      <w:r>
        <w:rPr>
          <w:rFonts w:hint="eastAsia" w:ascii="仿宋" w:hAnsi="仿宋" w:eastAsia="仿宋"/>
          <w:color w:val="000000"/>
          <w:sz w:val="32"/>
          <w:szCs w:val="32"/>
          <w:lang w:val="en-US" w:eastAsia="zh-CN"/>
        </w:rPr>
        <w:t>2.96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91.08</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0.29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8.92</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rPr>
          <w:rFonts w:ascii="仿宋" w:hAnsi="仿宋" w:eastAsia="仿宋"/>
          <w:color w:val="000000"/>
          <w:sz w:val="32"/>
          <w:szCs w:val="32"/>
        </w:rPr>
      </w:pPr>
      <w:r>
        <w:pict>
          <v:shape id="_x0000_s1046" o:spid="_x0000_s1046" o:spt="75" type="#_x0000_t75" style="position:absolute;left:0pt;margin-left:7.65pt;margin-top:21.4pt;height:214.55pt;width:360.95pt;mso-wrap-distance-bottom:0pt;mso-wrap-distance-left:9pt;mso-wrap-distance-right:9pt;mso-wrap-distance-top:0pt;z-index:251665408;mso-width-relative:margin;mso-height-relative:margin;" filled="f" o:preferrelative="t" stroked="f" coordsize="21600,2160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X++k0I&#10;AQAANgIAAA4AAABkcnMvZTJvRG9jLnhtbJyRzWrDMBCE74W+g9h7IyeU0BjLuZhCT720D7CVVpHA&#10;lsRKqdu3r3CS/pwKuc3uwMfsbLf/mEbxTpx9DArWqwYEBR2NDwcFry+Pdw8gcsFgcIyBFHxShn1/&#10;e9PNqaVNdHE0xKJCQm7npMCVklops3Y0YV7FRKGaNvKEpY58kIZxrvRplJum2co5skkcNeVct8PJ&#10;hH7hW0u6PFubqYhRwbbZbUGUi+CLeFNwv96tQfYdtgfG5Lw+R8IrEk3oQw3wjRqwoDiyvwKlHXKp&#10;LN0u6hxKX006A+rl//ccrfWahqiPE4VyKptpxFI/nZ1PGQS33ijgJ7N0J/9c3Hc/c9W/391/AQAA&#10;//8DAFBLAwQUAAYACAAAACEApI3q6SYBAAAAAgAAIAAAAGRycy9jaGFydHMvX3JlbHMvY2hhcnQx&#10;LnhtbC5yZWxzrJGxTsMwEIZ3JN7BugkG4iQDqqo6XQApA6qEysZikkticOzINijdWOAVGBBDtw6I&#10;hRXB06TwGBhQpFaqxMJy0t0vf/ef/9G4rSW5RmOFVgyiIASCKtO5UCWD0+nR3gCIdVzlXGqFDGZo&#10;YZxsb41OUHLnH9lKNJZ4irIMKueaIaU2q7DmNtANKq8U2tTc+daUtOHZJS+RxmG4T80qA5I1Jklz&#10;BibNYyDTWeM3/83WRSEyPNDZVY3KbVhBtcTJ+QVmzkO5KdExKIREb5mmw7M4jKPu7uXj+b67fepe&#10;b/wgGqwOuoe3z/liZ7mYLx/fd4NW2p5zrHNv8bB1aBSXQDffEv3nLc7/MU58dEbk2PtgEAT0R/mt&#10;vR4FPodvW3Qtt+QL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K3mCk4AAAAAkBAAAP&#10;AAAAZHJzL2Rvd25yZXYueG1sTI9RS8MwFIXfhf2HcAVfZEsbxNXadAxBhogPm9uDb1lzbeuam5Jk&#10;XeevN4Iwnw6XcznnO8ViNB0b0PnWkoR0lgBDqqxuqZawfX+eZsB8UKRVZwklnNHDopxcFSrX9kRr&#10;HDahZjGEfK4kNCH0Oee+atAoP7M9UvQ+rTMqxNPVXDt1iuGm4yJJ7rlRLcWGRvX41GB12ByNhNvl&#10;mV4/VmJ4yVwl3vTua1iN31LeXI/LR2ABx3B5hl/8iA5lZNrbI2nPOgnTNE4Jfxr9uUgegO0l3Iks&#10;BV4W/P+C8gcAAP//AwBQSwMEFAAGAAgAAAAhADGLGSv5BgAAbBcAABUAAABkcnMvY2hhcnRzL2No&#10;YXJ0MS54bWzcWEtv20YQvhfof2CZAGmBWiIpURKFyIEjN2hRJzbiJPcVuZIILx9drvzIKUCbpkmK&#10;pkAC9JC2aIK2yCFND/WhzfO/BJHtW/5CZ3aXsig/4DzaIJEBejncHc58nPlmdo8eW42YsUx5FiZx&#10;y7RLlmnQ2E+CMO61zLNnTkw1TCMTJA4IS2LaMtdoZh6bfv+9o37T7xMuFlPiUwOUxFnTb5l9IdJm&#10;uZz5fRqRrJSkNIZn3YRHRMAt75UDTlZAecTKjmXVylKJqRWQl1AQkTDO1/ODrE+63dCns4k/iGgs&#10;lBWcMiIAgawfppk5Dc4FRFDbs6rGMmEt0zLLKGQk7inB+f5U+5QS8mQQBzRoJzwGGMfmR35zhgnK&#10;Y1DVTmIBb9N+RgdCKiJ8aZBO+UmUgnGdkIViTZoLBoLudj8BP4zT9ItByGnWMn27mgMBwx1QRKHP&#10;kyzpihJoLCsU8q+BauvlRtnR3wOctavNTKwxqhyyLQe9LY/eK004QRjrEH8JsRmbPJq6/RwXToKB&#10;q3zGT5J0fpkbnZ7dMpmwTUOswihYglGn56DMQRmMgiUYEd8HIGGGHuQSeK4kozmVXFLJ5wAoag4A&#10;pQZuLnFzSS2X1Eyjz8J4CYDEf6bRTdinSpCPVADIEEZnRCgYlYNVvPLQ708fJc1OEqwtcECPNFkm&#10;FhFUeZOiJF3g+C+g3dML3MjOQw5WLUjCDgadEcrroGXGkHyYiDxcgiSMk0U5gmkko2ATyCyICtLM&#10;EhYGJ0LG5A3vddqMqy9YkT/5ESemYejHhlhLaRdyuWUO71199ug6ziRNSvZ44Ge7PijnrkCsjJyT&#10;HnJwD/OnZarcMQgTc/KexlNnF8G5t8R38At8QXDE9PDm4zo6KqS7yk988nY42yYs7PBw3y897m3p&#10;7XX1ADE97unTCz8++/vy8OLdpxd+2nxwbWv9n6312xs3nmxcvbNx9/HGjT+Hl+5vPri+8fNXE5DQ&#10;OFggnGAu7xfsSKWQHnDNaQIGQrIGI2vJAOLJb0YkHhA2N7pfPZkEmo5p0KP42fzm2m7CVV2FSnat&#10;Wvi5epGmhJLtVhp1r1r1nLpXqdWcT6YUd0++HKzbtiuBdgHu9DuUxkzzWJwg+UjqYLGx0jIdF+kM&#10;c2L0CDxnsXRdrULXc+YkA5GcwZtZyqigQeElKUvEDKcE/VbmSAjSkLaxFUHxMuFr7YQleSG2tXkU&#10;ctNvhkGOjBInPKCaHnWFDxakmsmJnUGnw2hltmBO7nORc7HzoSPWzYuU+uCFmQof6DHc3ai7qAbr&#10;4g4VGkcg6W6X+mIuEzgFKrH8FjDQzkz6pDF5RZ9UoEyWEvnN34BP0hq/+Yo+VXaCjLGKcfx/+DTX&#10;YRmGaR5Yo4zJjThAMiGNqOr0gm2H9651HXtQsUojRb0KKgC8n6zM0R6s+JxO8Bo8OUdgh4S7gJxM&#10;QNYm4hSJNBtr7kAti5TvKl+gHNvWIn/A/OOSWBbD8ztVzVEC7DQHzZ3eVOjXs235eLCoMK3YdVey&#10;bYFqsvFG0Kvh326RnvJMzJKsr6yUGvS0Sb4u2IBMk4euTyR/QqN6mnbRvO70keHXf23e+wGK6fDh&#10;BWiYtm7dMT50LMeZsupTjvfRkQ8Ozxx23SZeoZnCJZgDgrcJkCCOU9GGPZYGT+YoygwgadX2Au1D&#10;J/YLvuHS/eHNR88ffjO8/eXzh5ehbqPCZUmLqbQsX2cDSnIdLLpya/PGna1Hv2+t/7H56N7w2pWt&#10;J99v3fp288H6xpVf99HhFHRsfPfb8PHFHdPh/du+qBsJDQw1WBBbaEs8iF4Es+MSM7huYwYaRpip&#10;LXcbOobpQx8fOmSVLEtiK3fiUnxAYOWy/RB0Sl5tL5RzhKyS0/AKv0ZxCaCxbb26yVGS8CBwqoaP&#10;Qu2ASTuWnG8sacH6kdndELJskcHWfSY/TJAmwpzxRuZVagCqGm+VJLNhiDE5Wkg0oXDM7ryVwtHr&#10;6DjlNtN1Hct1Pc/xGuodOauWPAsYql6pOF6t6rkNnc0rmhhL9YrtuNCV2pbbqNn1un6uKcmFUKt6&#10;Vc+2G0AglUr1jfSrL11iGw6cMrxLG/sDl1iISBV7GGUYm+fCbD5mOip0YQvCLD0Ou6albEYHaI+k&#10;Knww12exxszD3uMkGe/iQfXoACZPmmLxgyoy1pHDOZMuaoVZqnx6Ln4in6QtswvHIjCM0qBlZnEP&#10;jodYD05IfcF3qa/FV8ABlpzDBhHsznTv4FrQYEG+QS83iOa7XSVu5GJo5uWhKW4doFxN9NV7VGY4&#10;aMDDR9XSYI3eYy/w0hFro9GvP2RBKypWdhc/w399FnXgkPWbdFUe3rJZIojBYfPYMvlngSppuE89&#10;m+IhsWYu6Uxxjew6ZGzKQ/LpfwEAAP//AwBQSwMEFAAGAAgAAAAhACNsBSeABgAAVBsAABwAAABk&#10;cnMvdGhlbWUvdGhlbWVPdmVycmlkZTEueG1s7FlNbxtFGL4j8R9Ge29jJ3YaR3Wq2LEbSNNGsVvU&#10;43h3vDvN7M5qZpzUN9QekZAQBXGgEjcOCKjUSlzKrwkUQZH6F3hnZne9E69J0kZQQX1IvLPPvN/v&#10;Mx++eu1+zNAhEZLypO3VL9c8RBKfBzQJ297tYf/SmoekwkmAGU9I25sS6V3beP+9q3hdRSQmt2Cu&#10;oAFBICeR67jtRUql60tL0ofXWF7mKUng3ZiLGCt4FOFSIPARyI/Z0nKttroUY5p4GyDQZ2KgZxGU&#10;4Bh03RqPqU/Mq+CgrhFyKrtMoEPM2h6ICPjRkNxXHmJYKnjR9mrm4y1tXF3C69kkphbMLc3rm082&#10;L5sQHCwbnSIcFUrr/UbrylYh3wCYmsf1er1ur17IMwDs+yTJbCnLbPTX6p1cZglkv87L7taatYaL&#10;L8lfmbO51el0mq3MFivUgOzXxhx+rbba2Fx28AZk8c05fKOz2e2uOngDsvjVOXz/Smu14eINKGI0&#10;OZhD64T2+5n0AjLmbLsSvgbwtVoGn6GgGorq0irGPFGLai3G97joA0ADGVY0QWqakjH2oSa7OB4J&#10;irUCvE5w6Y0d8uXckNaFpC9oqtrehylOvBLk1fPvXz1/io4fPDt+8NPxw4fHD360gpxZ2zgJy7Ne&#10;fvvZn48/Rn88/ebloy+q8bKM//WHT375+fNqILTPzL0XXz757dmTF199+vt3jyrgmwKPyvAhjYlE&#10;N8kR2ucxOGai4lpORuJ8M4YRpuUZm0kocYK1lgr5PRU56JtTzLLsOHZ0iBvBOwLoowp4fXLPMXgQ&#10;iYmiFZp3otgB7nLOOlxURmFH6yqFeThJwmrlYlLG7WN8WKW7ixMnv71JCryZl6XjeDcijpl7DCcK&#10;hyQhCul3/ICQCu/uUurEdZf6gks+VuguRR1MK0MypCOnmmaTtmkMeZlW+Qz5dmKzewd1OKvyeosc&#10;ukjoCswqjB8S5oTxOp4oHFeJHOKYlQN+A6uoysjBVPhlXE8qyHRIGEe9gEhZNeeWAH9LSd/BwFiV&#10;ad9l09hFCkUPqmTewJyXkVv8oBvhOK3CDmgSlbEfyAMoUYz2uKqC73K3Q/Qz5AEnC9N9hxIn3aez&#10;wW0aOibNCkS/mYiKXF4n3KnfwZSNMTFUA6TucHVMk78jbkaBua2GiyNuoMoXXz+usPttpexNWL2q&#10;emb7BFEvwp2k5y4XAX372XkLT5I9Ag0xv0S9I+d35Oz958l5UT9fPCXPWBgIWu9F7EbbbLvjhbvu&#10;MWVsoKaM3JBm4y1h7Qn6MKjnmcMkKU5haQRfdSeDAgcXCmzmIMHVR1RFgwinsGmve1pIKDPRoUQp&#10;l3BYNMOVsjUeNv7KHjWb+hBimUNitcsDO7yih/OzRiHGWBVKq9EqWtECzqps5UomFHx7HWV1bdSZ&#10;tdWNaYYUHW2FyzrE5lAOIS9cg8EimrCpQbAVgiivwnFeq4bDDmYk0HG3OcrTYmJykSmSEYarB3Md&#10;0NR+z+eobpKU18qcI9oPmyN9cDwlaiVtLS32DbSdJUlldY0F6vLsvUmW8gqeZQmknWxHlpSbkyXo&#10;qO21mstND/k4bXtjOCfD1ziFrEu9j8QshPskXwlb9qc2sy6NssO5Y24T1OHqw8Z9zmGHB1Ih1RaW&#10;kS0N8yorAZZoTdb+5SaE9aIcqGCjs1mxsgbF8K9ZAXF0U0vGY+KrcrJLIzp29jGjUj5RRAyi4AiN&#10;2ETsY0i/LlXwJ6ASrjsMI+gHuJvT0TavXHLOmq58I2ZwdhyzNMIZ3eoWzTvZwg0hFTaYp5J54Ful&#10;7ca587tiWv6CXCmX8f/MFb2ewO3DSqAz4MNFr8BId0rb40JFHFgojajfF7BxMNwB1QL3u/Aaigru&#10;oM1/QQ71f9tzVoZpazhEqn0aIkFhPVKRIGQPaMlU3ynC6tnaZUWyTJCpqJK5MrVmj8ghYUPNgat6&#10;bfdQBKVu2CSjAYM7WX/uc9ZBo1Bvcsr95jBZsfbaHvindz62mcEpl4fNhiaPf2FisT2Yrap2vpme&#10;r71lR/SL2TarkXeFuxS0srZ/TRPOudRaxprzeLmZGwdZnPcYBosNUQp3SEj/gfWPCp/ZXzD0gjrk&#10;+8CtCH680MKgbKCqL9mNB9IEaQdHsHGyg7aYtCgb2mzrpKOWL9YXvNMt9J4ItrbsLPk+Z7CLzZmr&#10;zunFiwx2FmEn1nZsYaghsydbFIbG+UHGJMb5JWzjLwAAAP//AwBQSwECLQAUAAYACAAAACEAQB/0&#10;QTABAADgAgAAEwAAAAAAAAAAAAAAAAAAAAAAW0NvbnRlbnRfVHlwZXNdLnhtbFBLAQItABQABgAI&#10;AAAAIQA4/SH/1gAAAJQBAAALAAAAAAAAAAAAAAAAAGEBAABfcmVscy8ucmVsc1BLAQItABQABgAI&#10;AAAAIQD1/vpNCAEAADYCAAAOAAAAAAAAAAAAAAAAAGACAABkcnMvZTJvRG9jLnhtbFBLAQItABQA&#10;BgAIAAAAIQCkjerpJgEAAAACAAAgAAAAAAAAAAAAAAAAAJQDAABkcnMvY2hhcnRzL19yZWxzL2No&#10;YXJ0MS54bWwucmVsc1BLAQItABQABgAIAAAAIQCrFs1GuQAAACIBAAAZAAAAAAAAAAAAAAAAAPgE&#10;AABkcnMvX3JlbHMvZTJvRG9jLnhtbC5yZWxzUEsBAi0AFAAGAAgAAAAhAEreYKTgAAAACQEAAA8A&#10;AAAAAAAAAAAAAAAA6AUAAGRycy9kb3ducmV2LnhtbFBLAQItABQABgAIAAAAIQAxixkr+QYAAGwX&#10;AAAVAAAAAAAAAAAAAAAAAPUGAABkcnMvY2hhcnRzL2NoYXJ0MS54bWxQSwECLQAUAAYACAAAACEA&#10;I2wFJ4AGAABUGwAAHAAAAAAAAAAAAAAAAAAhDgAAZHJzL3RoZW1lL3RoZW1lT3ZlcnJpZGUxLnht&#10;bFBLBQYAAAAACAAIABUCAADbFAAAAAA=&#10;">
            <v:path/>
            <v:fill on="f" focussize="0,0"/>
            <v:stroke on="f" joinstyle="miter"/>
            <v:imagedata r:id="rId16" o:title=""/>
            <o:lock v:ext="edit" aspectratio="f"/>
            <w10:wrap type="square"/>
          </v:shape>
        </w:pic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20"/>
          <w:rFonts w:hint="eastAsia" w:ascii="仿宋" w:hAnsi="仿宋" w:eastAsia="仿宋"/>
          <w:b w:val="0"/>
          <w:bCs/>
          <w:color w:val="000000"/>
          <w:sz w:val="32"/>
          <w:szCs w:val="32"/>
        </w:rPr>
        <w:t>完成预算0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lang w:eastAsia="zh-CN"/>
        </w:rPr>
        <w:t>与</w:t>
      </w:r>
      <w:r>
        <w:rPr>
          <w:rStyle w:val="20"/>
          <w:rFonts w:hint="eastAsia" w:ascii="仿宋" w:hAnsi="仿宋" w:eastAsia="仿宋"/>
          <w:b w:val="0"/>
          <w:bCs/>
          <w:color w:val="000000"/>
          <w:sz w:val="32"/>
          <w:szCs w:val="32"/>
          <w:lang w:val="en-US" w:eastAsia="zh-CN"/>
        </w:rPr>
        <w:t>2020年持平。其原因是</w:t>
      </w:r>
      <w:r>
        <w:rPr>
          <w:rStyle w:val="20"/>
          <w:rFonts w:ascii="仿宋" w:hAnsi="仿宋" w:eastAsia="仿宋"/>
          <w:b w:val="0"/>
          <w:bCs/>
          <w:color w:val="000000"/>
          <w:sz w:val="32"/>
          <w:szCs w:val="32"/>
        </w:rPr>
        <w:t>本单位无此项支出</w:t>
      </w:r>
      <w:r>
        <w:rPr>
          <w:rStyle w:val="20"/>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2.96万元,</w:t>
      </w:r>
      <w:r>
        <w:rPr>
          <w:rStyle w:val="20"/>
          <w:rFonts w:hint="eastAsia" w:ascii="仿宋" w:hAnsi="仿宋" w:eastAsia="仿宋"/>
          <w:b w:val="0"/>
          <w:bCs/>
          <w:color w:val="000000"/>
          <w:sz w:val="32"/>
          <w:szCs w:val="32"/>
        </w:rPr>
        <w:t>完成预算</w:t>
      </w:r>
      <w:r>
        <w:rPr>
          <w:rFonts w:hint="eastAsia" w:ascii="仿宋" w:hAnsi="仿宋" w:eastAsia="仿宋"/>
          <w:color w:val="000000"/>
          <w:sz w:val="32"/>
          <w:szCs w:val="32"/>
        </w:rPr>
        <w:t>91.08</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公务用车购置及运行维护费支出决算与2020年持平。</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2020年持平。</w:t>
      </w:r>
      <w:r>
        <w:rPr>
          <w:rFonts w:hint="eastAsia" w:ascii="仿宋_GB2312" w:eastAsia="仿宋_GB2312"/>
          <w:color w:val="000000"/>
          <w:sz w:val="32"/>
          <w:szCs w:val="32"/>
        </w:rPr>
        <w:t>全年按规定更新购置公务用车0辆，其中：轿车0辆、金额0万元，越野车0辆、金额0万元，载客汽车0辆、金额0万元。截至</w:t>
      </w:r>
      <w:r>
        <w:rPr>
          <w:rFonts w:ascii="仿宋_GB2312" w:eastAsia="仿宋_GB2312"/>
          <w:color w:val="000000"/>
          <w:sz w:val="32"/>
          <w:szCs w:val="32"/>
        </w:rPr>
        <w:t>20</w:t>
      </w:r>
      <w:r>
        <w:rPr>
          <w:rFonts w:hint="eastAsia" w:ascii="仿宋_GB2312" w:eastAsia="仿宋_GB2312"/>
          <w:color w:val="000000"/>
          <w:sz w:val="32"/>
          <w:szCs w:val="32"/>
        </w:rPr>
        <w:t>21年</w:t>
      </w:r>
      <w:r>
        <w:rPr>
          <w:rFonts w:ascii="仿宋_GB2312" w:eastAsia="仿宋_GB2312"/>
          <w:color w:val="000000"/>
          <w:sz w:val="32"/>
          <w:szCs w:val="32"/>
        </w:rPr>
        <w:t>12</w:t>
      </w:r>
      <w:r>
        <w:rPr>
          <w:rFonts w:hint="eastAsia" w:ascii="仿宋_GB2312" w:eastAsia="仿宋_GB2312"/>
          <w:color w:val="000000"/>
          <w:sz w:val="32"/>
          <w:szCs w:val="32"/>
        </w:rPr>
        <w:t>月底，单位共有公务用车7辆，其中：轿车0辆、越野车1辆、救护车5辆、装备车1辆。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2.96万元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2020年持平。</w:t>
      </w:r>
      <w:r>
        <w:rPr>
          <w:rFonts w:hint="eastAsia" w:ascii="仿宋_GB2312" w:eastAsia="仿宋_GB2312"/>
          <w:color w:val="000000"/>
          <w:sz w:val="32"/>
          <w:szCs w:val="32"/>
        </w:rPr>
        <w:t>主要用于执行公务、开展业务活动等所需的公务用车燃料费、维修费、过路过桥费、保险费等支出。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0.29万元，</w:t>
      </w:r>
      <w:r>
        <w:rPr>
          <w:rStyle w:val="20"/>
          <w:rFonts w:hint="eastAsia" w:ascii="仿宋" w:hAnsi="仿宋" w:eastAsia="仿宋"/>
          <w:b w:val="0"/>
          <w:bCs/>
          <w:color w:val="000000"/>
          <w:sz w:val="32"/>
          <w:szCs w:val="32"/>
        </w:rPr>
        <w:t>完成预算</w:t>
      </w:r>
      <w:r>
        <w:rPr>
          <w:rStyle w:val="20"/>
          <w:rFonts w:ascii="仿宋" w:hAnsi="仿宋" w:eastAsia="仿宋"/>
          <w:b w:val="0"/>
          <w:bCs/>
          <w:color w:val="000000"/>
          <w:sz w:val="32"/>
          <w:szCs w:val="32"/>
        </w:rPr>
        <w:t>8.92%</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公务接待费支出决算比2020年减少2.45万元，下降89.42</w:t>
      </w:r>
      <w:r>
        <w:rPr>
          <w:rFonts w:ascii="仿宋_GB2312" w:eastAsia="仿宋_GB2312"/>
          <w:color w:val="000000"/>
          <w:sz w:val="32"/>
          <w:szCs w:val="32"/>
        </w:rPr>
        <w:t>%</w:t>
      </w:r>
      <w:r>
        <w:rPr>
          <w:rFonts w:hint="eastAsia" w:ascii="仿宋_GB2312" w:eastAsia="仿宋_GB2312"/>
          <w:color w:val="000000"/>
          <w:sz w:val="32"/>
          <w:szCs w:val="32"/>
        </w:rPr>
        <w:t>。主要减少原因是管理规范，厉行节约。其中：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0.29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比</w:t>
      </w:r>
      <w:r>
        <w:rPr>
          <w:rFonts w:hint="eastAsia" w:ascii="仿宋_GB2312" w:eastAsia="仿宋_GB2312"/>
          <w:color w:val="000000"/>
          <w:sz w:val="32"/>
          <w:szCs w:val="32"/>
          <w:lang w:val="en-US" w:eastAsia="zh-CN"/>
        </w:rPr>
        <w:t>2020年减少2.45万一，下降89.27%，主要原因是2021年单位厉行节约，接待次数及人数减少。</w:t>
      </w:r>
      <w:r>
        <w:rPr>
          <w:rFonts w:hint="eastAsia" w:ascii="仿宋_GB2312" w:eastAsia="仿宋_GB2312"/>
          <w:color w:val="000000"/>
          <w:sz w:val="32"/>
          <w:szCs w:val="32"/>
        </w:rPr>
        <w:t>主要用于执行公务、开展业务活动开支的交通费、住宿费、用餐费等。国内公务接待3批次，29人次，共计支出0.29万元，具体内容包括：</w:t>
      </w:r>
      <w:r>
        <w:rPr>
          <w:rFonts w:hint="eastAsia" w:ascii="仿宋_GB2312" w:hAnsi="仿宋" w:eastAsia="仿宋_GB2312"/>
          <w:sz w:val="32"/>
          <w:szCs w:val="32"/>
        </w:rPr>
        <w:t>质量标准化验收工作用餐及其他省市相关单位来队调研、交流学习等接待活动</w:t>
      </w:r>
      <w:r>
        <w:rPr>
          <w:rFonts w:hint="eastAsia" w:ascii="仿宋_GB2312" w:eastAsia="仿宋_GB2312"/>
          <w:color w:val="000000"/>
          <w:sz w:val="32"/>
          <w:szCs w:val="32"/>
        </w:rPr>
        <w:t>，共计支出0.29万元。</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2020年持平。</w:t>
      </w:r>
      <w:r>
        <w:rPr>
          <w:rFonts w:hint="eastAsia" w:ascii="仿宋_GB2312" w:eastAsia="仿宋_GB2312"/>
          <w:color w:val="000000"/>
          <w:sz w:val="32"/>
          <w:szCs w:val="32"/>
        </w:rPr>
        <w:t>外事接待0批次，0人，共计支出0万元。</w:t>
      </w:r>
    </w:p>
    <w:p>
      <w:pPr>
        <w:spacing w:line="600" w:lineRule="exact"/>
        <w:ind w:firstLine="640"/>
        <w:outlineLvl w:val="1"/>
        <w:rPr>
          <w:rStyle w:val="31"/>
          <w:rFonts w:ascii="黑体" w:hAnsi="黑体" w:eastAsia="黑体"/>
        </w:rPr>
      </w:pPr>
      <w:bookmarkStart w:id="59" w:name="_Toc15396610"/>
      <w:bookmarkStart w:id="60" w:name="_Toc23959"/>
      <w:bookmarkStart w:id="61" w:name="_Toc15377218"/>
      <w:r>
        <w:rPr>
          <w:rFonts w:hint="eastAsia" w:ascii="黑体" w:eastAsia="黑体"/>
          <w:color w:val="000000"/>
          <w:sz w:val="32"/>
          <w:szCs w:val="32"/>
        </w:rPr>
        <w:t>九、</w:t>
      </w:r>
      <w:r>
        <w:rPr>
          <w:rStyle w:val="31"/>
          <w:rFonts w:hint="eastAsia" w:ascii="黑体" w:hAnsi="黑体" w:eastAsia="黑体"/>
          <w:b w:val="0"/>
        </w:rPr>
        <w:t>政府性基金预算支出决算情况说明</w:t>
      </w:r>
      <w:bookmarkEnd w:id="59"/>
      <w:bookmarkEnd w:id="60"/>
      <w:bookmarkEnd w:id="6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21年政府性基金预算拨款支出0万元。</w:t>
      </w:r>
    </w:p>
    <w:p>
      <w:pPr>
        <w:spacing w:line="600" w:lineRule="exact"/>
        <w:ind w:firstLine="640" w:firstLineChars="200"/>
        <w:outlineLvl w:val="1"/>
        <w:rPr>
          <w:rStyle w:val="31"/>
          <w:rFonts w:ascii="黑体" w:hAnsi="黑体" w:eastAsia="黑体"/>
          <w:b w:val="0"/>
        </w:rPr>
      </w:pPr>
      <w:bookmarkStart w:id="62" w:name="_Toc15396611"/>
      <w:bookmarkStart w:id="63" w:name="_Toc7176"/>
      <w:bookmarkStart w:id="64" w:name="_Toc15377219"/>
      <w:r>
        <w:rPr>
          <w:rStyle w:val="31"/>
          <w:rFonts w:hint="eastAsia" w:ascii="黑体" w:hAnsi="黑体" w:eastAsia="黑体"/>
          <w:b w:val="0"/>
        </w:rPr>
        <w:t>十、国有资本经营预算支出决算情况说明</w:t>
      </w:r>
      <w:bookmarkEnd w:id="62"/>
      <w:bookmarkEnd w:id="63"/>
      <w:bookmarkEnd w:id="6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21年国有资本经营预算拨款支出0万元。</w:t>
      </w:r>
    </w:p>
    <w:p>
      <w:pPr>
        <w:spacing w:line="600" w:lineRule="exact"/>
        <w:ind w:firstLine="800" w:firstLineChars="250"/>
        <w:outlineLvl w:val="1"/>
        <w:rPr>
          <w:rStyle w:val="31"/>
          <w:rFonts w:ascii="黑体" w:hAnsi="黑体" w:eastAsia="黑体"/>
        </w:rPr>
      </w:pPr>
      <w:bookmarkStart w:id="65" w:name="_Toc15396612"/>
      <w:bookmarkStart w:id="66" w:name="_Toc28281"/>
      <w:bookmarkStart w:id="67" w:name="_Toc15377221"/>
      <w:r>
        <w:rPr>
          <w:rFonts w:hint="eastAsia" w:ascii="黑体" w:hAnsi="黑体" w:eastAsia="黑体"/>
          <w:color w:val="000000"/>
          <w:sz w:val="32"/>
          <w:szCs w:val="32"/>
        </w:rPr>
        <w:t>十一</w:t>
      </w:r>
      <w:r>
        <w:rPr>
          <w:rStyle w:val="31"/>
          <w:rFonts w:hint="eastAsia" w:ascii="黑体" w:hAnsi="黑体" w:eastAsia="黑体"/>
        </w:rPr>
        <w:t>、</w:t>
      </w:r>
      <w:r>
        <w:rPr>
          <w:rStyle w:val="31"/>
          <w:rFonts w:hint="eastAsia" w:ascii="黑体" w:hAnsi="黑体" w:eastAsia="黑体"/>
          <w:b w:val="0"/>
        </w:rPr>
        <w:t>其他重要事项的情况说明</w:t>
      </w:r>
      <w:bookmarkEnd w:id="65"/>
      <w:bookmarkEnd w:id="66"/>
      <w:bookmarkEnd w:id="67"/>
    </w:p>
    <w:p>
      <w:pPr>
        <w:spacing w:line="600" w:lineRule="exact"/>
        <w:ind w:firstLine="643" w:firstLineChars="200"/>
        <w:outlineLvl w:val="2"/>
        <w:rPr>
          <w:rFonts w:ascii="仿宋" w:hAnsi="仿宋" w:eastAsia="仿宋"/>
          <w:color w:val="000000"/>
          <w:sz w:val="32"/>
          <w:szCs w:val="32"/>
        </w:rPr>
      </w:pPr>
      <w:bookmarkStart w:id="68" w:name="_Toc80371191"/>
      <w:bookmarkStart w:id="69" w:name="_Toc15377222"/>
      <w:r>
        <w:rPr>
          <w:rFonts w:hint="eastAsia" w:ascii="仿宋" w:hAnsi="仿宋" w:eastAsia="仿宋"/>
          <w:b/>
          <w:color w:val="000000"/>
          <w:sz w:val="32"/>
          <w:szCs w:val="32"/>
        </w:rPr>
        <w:t>（一）机关运行经费支出情况</w:t>
      </w:r>
      <w:bookmarkEnd w:id="68"/>
      <w:bookmarkEnd w:id="69"/>
    </w:p>
    <w:p>
      <w:pPr>
        <w:spacing w:line="600" w:lineRule="exact"/>
        <w:ind w:firstLine="640" w:firstLineChars="200"/>
        <w:rPr>
          <w:rFonts w:hint="default" w:ascii="仿宋_GB2312" w:eastAsia="仿宋_GB2312"/>
          <w:color w:val="000000"/>
          <w:sz w:val="32"/>
          <w:szCs w:val="32"/>
          <w:lang w:val="en-US" w:eastAsia="zh-CN"/>
        </w:rPr>
      </w:pPr>
      <w:r>
        <w:rPr>
          <w:rFonts w:ascii="仿宋_GB2312" w:eastAsia="仿宋_GB2312"/>
          <w:color w:val="000000"/>
          <w:sz w:val="32"/>
          <w:szCs w:val="32"/>
        </w:rPr>
        <w:t>20</w:t>
      </w:r>
      <w:r>
        <w:rPr>
          <w:rFonts w:hint="eastAsia" w:ascii="仿宋_GB2312" w:eastAsia="仿宋_GB2312"/>
          <w:color w:val="000000"/>
          <w:sz w:val="32"/>
          <w:szCs w:val="32"/>
        </w:rPr>
        <w:t>21年，广安市矿山救护大队机关运行经费支出0万元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2020年决算数持平。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0" w:name="_Toc15377223"/>
      <w:bookmarkStart w:id="71" w:name="_Toc80371192"/>
      <w:r>
        <w:rPr>
          <w:rFonts w:hint="eastAsia" w:ascii="仿宋" w:hAnsi="仿宋" w:eastAsia="仿宋"/>
          <w:b/>
          <w:color w:val="000000"/>
          <w:sz w:val="32"/>
          <w:szCs w:val="32"/>
        </w:rPr>
        <w:t>（二）政府采购支出情况</w:t>
      </w:r>
      <w:bookmarkEnd w:id="70"/>
      <w:bookmarkEnd w:id="7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广安市矿山救护大队政府采购支出总额300万元，其中：政府采购货物支出300万元、政府采购工程支出0万元、政府采购服务支出0万元。主要用于应急救援装备购置。授予中小企业合同金额297.1万元，占政府采购支出总额的99.03</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2" w:name="_Toc15377224"/>
      <w:bookmarkStart w:id="73" w:name="_Toc80371193"/>
      <w:r>
        <w:rPr>
          <w:rFonts w:hint="eastAsia" w:ascii="仿宋" w:hAnsi="仿宋" w:eastAsia="仿宋"/>
          <w:b/>
          <w:color w:val="000000"/>
          <w:sz w:val="32"/>
          <w:szCs w:val="32"/>
        </w:rPr>
        <w:t>（三）国有资产占有使用情况</w:t>
      </w:r>
      <w:bookmarkEnd w:id="72"/>
      <w:bookmarkEnd w:id="73"/>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21年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日，广安市矿山救护大队共有车辆7辆，其中：主要领导干部用车0辆、机要通信用车0辆、应急保障用车7辆、其他用车0辆。单价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4" w:name="_Toc80371194"/>
      <w:r>
        <w:rPr>
          <w:rFonts w:hint="eastAsia" w:ascii="仿宋" w:hAnsi="仿宋" w:eastAsia="仿宋"/>
          <w:b/>
          <w:color w:val="000000"/>
          <w:sz w:val="32"/>
          <w:szCs w:val="32"/>
        </w:rPr>
        <w:t>（四）预算绩效管理情况。</w:t>
      </w:r>
      <w:bookmarkEnd w:id="74"/>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应急救援装备储备项目开展了预算事前绩效评估，对1个项目全部编制了绩效目标，预算执行过程中，对1个项目全部开展绩效监控，年终执行完毕后，对1个项目全部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2021年部门整体支出开展绩效自评，从评价情况来看合理编制了当年要完成的工作任务和预期要完成的绩效目标。项目绩效目标进一步明确和量化，各项指标较完整地反映部门年度预算执行情况及职责履行情况。项目实施中，严肃财经纪律，规范财务管理，做到了资金专款专用。</w:t>
      </w:r>
    </w:p>
    <w:p>
      <w:pPr>
        <w:spacing w:line="58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本单位在2021年度部门决算中反映“应急救援装备储备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救援装备储备项目绩效目标完成情况综述。项目年初结转和结余300万元，执行数为300万元，完成预算的100%。此项目2020年10月开始实施，采购验收于2020年12月底完成，2021年2月完成结算，通过项目实施，保障了对矿山应急救援装备的补充、更新，促进了应对自然灾害综合应急救援能力装备建设。发现的主要问题：项目执行进度慢。下一步改进措施：加强项目实施进度管理，加快支出进度。</w:t>
      </w:r>
    </w:p>
    <w:tbl>
      <w:tblPr>
        <w:tblStyle w:val="18"/>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项目绩效目标完成情况表</w:t>
            </w:r>
          </w:p>
          <w:p>
            <w:pPr>
              <w:widowControl/>
              <w:jc w:val="center"/>
              <w:textAlignment w:val="center"/>
              <w:rPr>
                <w:rFonts w:ascii="宋体" w:hAnsi="宋体" w:cs="宋体"/>
                <w:sz w:val="36"/>
                <w:szCs w:val="36"/>
              </w:rPr>
            </w:pPr>
            <w:r>
              <w:rPr>
                <w:rFonts w:hint="eastAsia" w:ascii="宋体" w:hAnsi="宋体" w:cs="宋体"/>
                <w:kern w:val="0"/>
                <w:sz w:val="36"/>
                <w:szCs w:val="36"/>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应急救援装备储备</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广安市矿山救护大队</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矿山应急救援装备的补充、更新和应对自然灾害综合应急救援能力装备建设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完成了对矿山应急救援装备的补充、更新和应对自然灾害综合应急救援能力装备建设</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采购装备数量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155台/套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155台/套</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装备合格率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结算完成时间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2021年2月完成结算</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采购成本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应急突发事故帮扶率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救援对象满意度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rPr>
          <w:rFonts w:ascii="仿宋_GB2312" w:hAnsi="仿宋_GB2312" w:eastAsia="仿宋_GB2312" w:cs="仿宋_GB2312"/>
          <w:color w:val="FF0000"/>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2.单位绩效评价结果。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本单位按要求对2021年单位整体支出绩效评价情况开展自评，《广安市矿山救护大队2021年单位整体支出绩效评价报告》见附件1。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本单位自行组织对应急救援装备储备项目开展了绩效评价，《应急救援装备储备项目2021年绩效评价报告》见附件2。</w:t>
      </w: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numPr>
          <w:ilvl w:val="0"/>
          <w:numId w:val="3"/>
        </w:numPr>
        <w:spacing w:line="600" w:lineRule="exact"/>
        <w:ind w:firstLine="660" w:firstLineChars="150"/>
        <w:jc w:val="center"/>
        <w:outlineLvl w:val="0"/>
        <w:rPr>
          <w:rStyle w:val="30"/>
          <w:rFonts w:ascii="黑体" w:hAnsi="黑体" w:eastAsia="黑体"/>
          <w:b w:val="0"/>
        </w:rPr>
      </w:pPr>
      <w:bookmarkStart w:id="75" w:name="_Toc15377225"/>
      <w:bookmarkStart w:id="76" w:name="_Toc15396613"/>
      <w:bookmarkStart w:id="77" w:name="_Toc28741"/>
      <w:r>
        <w:rPr>
          <w:rFonts w:hint="eastAsia" w:ascii="黑体" w:hAnsi="黑体" w:eastAsia="黑体"/>
          <w:color w:val="000000"/>
          <w:sz w:val="44"/>
          <w:szCs w:val="44"/>
        </w:rPr>
        <w:t>名</w:t>
      </w:r>
      <w:r>
        <w:rPr>
          <w:rStyle w:val="30"/>
          <w:rFonts w:hint="eastAsia" w:ascii="黑体" w:hAnsi="黑体" w:eastAsia="黑体"/>
          <w:b w:val="0"/>
        </w:rPr>
        <w:t>词解释</w:t>
      </w:r>
      <w:bookmarkEnd w:id="75"/>
      <w:bookmarkEnd w:id="76"/>
      <w:bookmarkEnd w:id="77"/>
    </w:p>
    <w:p>
      <w:pPr>
        <w:spacing w:line="600" w:lineRule="exact"/>
        <w:jc w:val="left"/>
        <w:rPr>
          <w:rFonts w:ascii="宋体"/>
          <w:b/>
          <w:color w:val="000000"/>
          <w:sz w:val="44"/>
          <w:szCs w:val="44"/>
        </w:rPr>
      </w:pPr>
    </w:p>
    <w:p>
      <w:pPr>
        <w:pStyle w:val="2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color w:val="auto"/>
          <w:sz w:val="32"/>
          <w:szCs w:val="32"/>
        </w:rPr>
        <w:t>使用非财政拨款结</w:t>
      </w:r>
      <w:r>
        <w:rPr>
          <w:rFonts w:hint="eastAsia" w:ascii="仿宋_GB2312" w:eastAsia="仿宋_GB2312"/>
          <w:sz w:val="32"/>
          <w:szCs w:val="32"/>
        </w:rPr>
        <w:t>余：指事业单位使用以前年度积累的非财政拨款结余弥补当年收支差额的金额。</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社会保障和就业支出（类）行政事业单位养老支出（款）事业单位离退休（项）：指事业单位开支的离退休经费。</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社会保障和就业支出（类）行政事业单位养老支出（款）机关事业单位基本养老保险缴费支出（项）：指机关事业单位缴纳的基本养老保险费支出。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卫生健康支出（类）行政事业单位医疗（款）事业单位医疗（项）：指财政部门安排的事业单位基本医疗保险缴费经费，未参加医疗保险的事业单位的公费医疗经费，按国家规定享受离休人员待遇的医疗经费。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灾害防治及应急管理支出（类）应急管理事务（款）应急救援（项）：指安全生产、自然灾害应急救援方面的支出。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灾害防治及应急管理支出（类）应急管理事务（款）事业运行（项）：指事业单位的基本支出，不包括行政单位（包括实行公务员管理的事业单位）后勤服务中心、医务室等附属事业单位。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“三公”经费：纳入广安市矿山救护大队预决算管理的“三公”经费，指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40" w:firstLineChars="200"/>
        <w:rPr>
          <w:rFonts w:ascii="仿宋_GB2312" w:eastAsia="仿宋_GB2312" w:cs="黑体"/>
          <w:sz w:val="32"/>
          <w:szCs w:val="32"/>
        </w:rPr>
      </w:pPr>
    </w:p>
    <w:p>
      <w:pPr>
        <w:spacing w:line="600" w:lineRule="exact"/>
        <w:jc w:val="center"/>
        <w:outlineLvl w:val="0"/>
        <w:rPr>
          <w:rStyle w:val="30"/>
          <w:rFonts w:ascii="黑体" w:hAnsi="黑体" w:eastAsia="黑体"/>
          <w:b w:val="0"/>
        </w:rPr>
      </w:pPr>
      <w:bookmarkStart w:id="78" w:name="_Toc15377226"/>
      <w:r>
        <w:rPr>
          <w:rFonts w:ascii="宋体"/>
          <w:b/>
          <w:color w:val="000000"/>
          <w:sz w:val="44"/>
          <w:szCs w:val="44"/>
        </w:rPr>
        <w:br w:type="page"/>
      </w:r>
      <w:bookmarkStart w:id="79" w:name="_Toc15396614"/>
      <w:bookmarkStart w:id="80" w:name="_Toc22583"/>
      <w:r>
        <w:rPr>
          <w:rFonts w:hint="eastAsia" w:ascii="黑体" w:hAnsi="黑体" w:eastAsia="黑体"/>
          <w:color w:val="000000"/>
          <w:sz w:val="44"/>
          <w:szCs w:val="44"/>
        </w:rPr>
        <w:t>第</w:t>
      </w:r>
      <w:r>
        <w:rPr>
          <w:rStyle w:val="30"/>
          <w:rFonts w:hint="eastAsia" w:ascii="黑体" w:hAnsi="黑体" w:eastAsia="黑体"/>
          <w:b w:val="0"/>
        </w:rPr>
        <w:t>四部分 附件</w:t>
      </w:r>
      <w:bookmarkEnd w:id="79"/>
      <w:bookmarkEnd w:id="80"/>
    </w:p>
    <w:p>
      <w:pPr>
        <w:spacing w:line="600" w:lineRule="exact"/>
        <w:jc w:val="left"/>
        <w:outlineLvl w:val="0"/>
        <w:rPr>
          <w:rFonts w:ascii="方正小标宋简体" w:hAnsi="方正小标宋简体" w:eastAsia="方正小标宋简体" w:cs="方正小标宋简体"/>
          <w:sz w:val="32"/>
          <w:szCs w:val="32"/>
        </w:rPr>
      </w:pPr>
      <w:bookmarkStart w:id="81" w:name="_Toc3666"/>
      <w:r>
        <w:rPr>
          <w:rFonts w:hint="eastAsia" w:ascii="黑体" w:hAnsi="黑体" w:eastAsia="黑体" w:cs="黑体"/>
          <w:sz w:val="32"/>
          <w:szCs w:val="32"/>
        </w:rPr>
        <w:t>附件1</w:t>
      </w:r>
      <w:bookmarkEnd w:id="81"/>
    </w:p>
    <w:p>
      <w:pPr>
        <w:spacing w:line="580" w:lineRule="exact"/>
        <w:jc w:val="center"/>
        <w:rPr>
          <w:rFonts w:ascii="方正小标宋简体" w:hAnsi="方正小标宋简体" w:eastAsia="方正小标宋简体" w:cs="方正小标宋简体"/>
          <w:sz w:val="44"/>
          <w:szCs w:val="44"/>
        </w:rPr>
      </w:pPr>
    </w:p>
    <w:p>
      <w:pPr>
        <w:widowControl/>
        <w:spacing w:line="580" w:lineRule="exact"/>
        <w:ind w:firstLine="880" w:firstLineChars="200"/>
        <w:contextualSpacing/>
        <w:jc w:val="both"/>
        <w:rPr>
          <w:rFonts w:ascii="方正小标宋_GBK" w:eastAsia="方正小标宋_GBK"/>
          <w:sz w:val="44"/>
          <w:szCs w:val="44"/>
          <w:shd w:val="clear" w:color="auto" w:fill="FFFFFF"/>
        </w:rPr>
      </w:pPr>
      <w:r>
        <w:rPr>
          <w:rFonts w:hint="eastAsia" w:ascii="方正小标宋_GBK" w:hAnsi="宋体" w:eastAsia="方正小标宋_GBK"/>
          <w:sz w:val="44"/>
          <w:szCs w:val="44"/>
          <w:shd w:val="clear" w:color="auto" w:fill="FFFFFF"/>
        </w:rPr>
        <w:t>2021年广安市矿山救护大队单位整体支出绩效评价报告</w:t>
      </w:r>
    </w:p>
    <w:p>
      <w:pPr>
        <w:widowControl/>
        <w:spacing w:line="580" w:lineRule="exact"/>
        <w:ind w:firstLine="660" w:firstLineChars="200"/>
        <w:contextualSpacing/>
        <w:jc w:val="center"/>
        <w:rPr>
          <w:rFonts w:ascii="方正仿宋_GBK" w:hAnsi="宋体" w:eastAsia="方正仿宋_GBK"/>
          <w:sz w:val="33"/>
          <w:szCs w:val="33"/>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spacing w:line="590" w:lineRule="exact"/>
        <w:ind w:firstLine="640" w:firstLineChars="200"/>
        <w:rPr>
          <w:rFonts w:eastAsia="仿宋"/>
          <w:sz w:val="32"/>
          <w:lang w:val="zh-CN"/>
        </w:rPr>
      </w:pPr>
      <w:r>
        <w:rPr>
          <w:rFonts w:hint="eastAsia" w:eastAsia="仿宋"/>
          <w:sz w:val="32"/>
          <w:lang w:val="zh-CN"/>
        </w:rPr>
        <w:t>（一）机构组成。</w:t>
      </w:r>
    </w:p>
    <w:p>
      <w:pPr>
        <w:widowControl/>
        <w:adjustRightInd w:val="0"/>
        <w:snapToGrid w:val="0"/>
        <w:spacing w:line="590" w:lineRule="exact"/>
        <w:ind w:firstLine="640" w:firstLineChars="200"/>
        <w:contextualSpacing/>
        <w:jc w:val="left"/>
        <w:rPr>
          <w:rFonts w:eastAsia="仿宋"/>
          <w:color w:val="000000"/>
          <w:kern w:val="0"/>
          <w:sz w:val="33"/>
          <w:szCs w:val="33"/>
          <w:shd w:val="clear" w:color="auto" w:fill="FFFFFF"/>
          <w:lang w:val="zh-CN"/>
        </w:rPr>
      </w:pPr>
      <w:r>
        <w:rPr>
          <w:rFonts w:eastAsia="仿宋"/>
          <w:sz w:val="32"/>
        </w:rPr>
        <w:t>广安市矿山救护大队是广安市应急管理局直属事业单位，大队设置有办公室、总工室、战训科、</w:t>
      </w:r>
      <w:r>
        <w:rPr>
          <w:rFonts w:hint="eastAsia" w:ascii="仿宋" w:hAnsi="仿宋" w:eastAsia="仿宋"/>
          <w:sz w:val="32"/>
          <w:szCs w:val="32"/>
        </w:rPr>
        <w:t>危险化学品应急救援</w:t>
      </w:r>
      <w:r>
        <w:rPr>
          <w:rFonts w:eastAsia="仿宋"/>
          <w:sz w:val="32"/>
        </w:rPr>
        <w:t>中队。</w:t>
      </w:r>
    </w:p>
    <w:p>
      <w:pPr>
        <w:spacing w:line="590" w:lineRule="exact"/>
        <w:ind w:firstLine="640" w:firstLineChars="200"/>
        <w:rPr>
          <w:rFonts w:eastAsia="仿宋"/>
          <w:sz w:val="32"/>
          <w:lang w:val="zh-CN"/>
        </w:rPr>
      </w:pPr>
      <w:r>
        <w:rPr>
          <w:rFonts w:hint="eastAsia" w:eastAsia="仿宋"/>
          <w:sz w:val="32"/>
          <w:lang w:val="zh-CN"/>
        </w:rPr>
        <w:t>（二）机构职能。</w:t>
      </w:r>
    </w:p>
    <w:p>
      <w:pPr>
        <w:spacing w:line="590" w:lineRule="exact"/>
        <w:ind w:firstLine="640" w:firstLineChars="200"/>
        <w:rPr>
          <w:rFonts w:hint="eastAsia" w:eastAsia="仿宋"/>
          <w:sz w:val="32"/>
          <w:lang w:eastAsia="zh-CN"/>
        </w:rPr>
      </w:pPr>
      <w:r>
        <w:rPr>
          <w:rFonts w:eastAsia="仿宋"/>
          <w:sz w:val="32"/>
        </w:rPr>
        <w:t>1.负责抢救井下遇险遇难人员</w:t>
      </w:r>
      <w:r>
        <w:rPr>
          <w:rFonts w:hint="eastAsia" w:eastAsia="仿宋"/>
          <w:sz w:val="32"/>
          <w:lang w:eastAsia="zh-CN"/>
        </w:rPr>
        <w:t>；</w:t>
      </w:r>
    </w:p>
    <w:p>
      <w:pPr>
        <w:spacing w:line="590" w:lineRule="exact"/>
        <w:ind w:firstLine="640" w:firstLineChars="200"/>
        <w:rPr>
          <w:rFonts w:hint="eastAsia" w:eastAsia="仿宋"/>
          <w:sz w:val="32"/>
          <w:lang w:eastAsia="zh-CN"/>
        </w:rPr>
      </w:pPr>
      <w:r>
        <w:rPr>
          <w:rFonts w:eastAsia="仿宋"/>
          <w:sz w:val="32"/>
        </w:rPr>
        <w:t>2.处理井下火、瓦斯、煤尘、水和顶板等灾害事故</w:t>
      </w:r>
      <w:r>
        <w:rPr>
          <w:rFonts w:hint="eastAsia" w:eastAsia="仿宋"/>
          <w:sz w:val="32"/>
          <w:lang w:eastAsia="zh-CN"/>
        </w:rPr>
        <w:t>；</w:t>
      </w:r>
    </w:p>
    <w:p>
      <w:pPr>
        <w:spacing w:line="590" w:lineRule="exact"/>
        <w:ind w:firstLine="640" w:firstLineChars="200"/>
        <w:rPr>
          <w:rFonts w:hint="eastAsia" w:eastAsia="仿宋"/>
          <w:sz w:val="32"/>
          <w:lang w:eastAsia="zh-CN"/>
        </w:rPr>
      </w:pPr>
      <w:r>
        <w:rPr>
          <w:rFonts w:eastAsia="仿宋"/>
          <w:sz w:val="32"/>
        </w:rPr>
        <w:t>3.参加危及井下人员安全的地面灭火工作</w:t>
      </w:r>
      <w:r>
        <w:rPr>
          <w:rFonts w:hint="eastAsia" w:eastAsia="仿宋"/>
          <w:sz w:val="32"/>
          <w:lang w:eastAsia="zh-CN"/>
        </w:rPr>
        <w:t>；</w:t>
      </w:r>
    </w:p>
    <w:p>
      <w:pPr>
        <w:spacing w:line="590" w:lineRule="exact"/>
        <w:ind w:firstLine="640" w:firstLineChars="200"/>
        <w:rPr>
          <w:rFonts w:hint="eastAsia" w:eastAsia="仿宋"/>
          <w:sz w:val="32"/>
          <w:lang w:eastAsia="zh-CN"/>
        </w:rPr>
      </w:pPr>
      <w:r>
        <w:rPr>
          <w:rFonts w:eastAsia="仿宋"/>
          <w:sz w:val="32"/>
        </w:rPr>
        <w:t>4.参加排放瓦斯、震动性放炮、启封火区、反风演习和其他需要佩用氧气呼吸器的安全技术工作</w:t>
      </w:r>
      <w:r>
        <w:rPr>
          <w:rFonts w:hint="eastAsia" w:eastAsia="仿宋"/>
          <w:sz w:val="32"/>
          <w:lang w:eastAsia="zh-CN"/>
        </w:rPr>
        <w:t>；</w:t>
      </w:r>
    </w:p>
    <w:p>
      <w:pPr>
        <w:spacing w:line="590" w:lineRule="exact"/>
        <w:ind w:firstLine="640" w:firstLineChars="200"/>
        <w:rPr>
          <w:rFonts w:eastAsia="仿宋"/>
          <w:sz w:val="32"/>
        </w:rPr>
      </w:pPr>
      <w:r>
        <w:rPr>
          <w:rFonts w:eastAsia="仿宋"/>
          <w:sz w:val="32"/>
        </w:rPr>
        <w:t>5.参加审查矿井灾害预防和处理计划，协助矿井搞好安全、消除事故隐患；</w:t>
      </w:r>
    </w:p>
    <w:p>
      <w:pPr>
        <w:spacing w:line="590" w:lineRule="exact"/>
        <w:ind w:firstLine="640" w:firstLineChars="200"/>
        <w:rPr>
          <w:rFonts w:hint="eastAsia" w:eastAsia="仿宋"/>
          <w:sz w:val="32"/>
          <w:lang w:eastAsia="zh-CN"/>
        </w:rPr>
      </w:pPr>
      <w:r>
        <w:rPr>
          <w:rFonts w:eastAsia="仿宋"/>
          <w:sz w:val="32"/>
        </w:rPr>
        <w:t>6.负责辅助救护队的培训和业务指导工作</w:t>
      </w:r>
      <w:r>
        <w:rPr>
          <w:rFonts w:hint="eastAsia" w:eastAsia="仿宋"/>
          <w:sz w:val="32"/>
          <w:lang w:eastAsia="zh-CN"/>
        </w:rPr>
        <w:t>；</w:t>
      </w:r>
    </w:p>
    <w:p>
      <w:pPr>
        <w:spacing w:line="590" w:lineRule="exact"/>
        <w:ind w:firstLine="640" w:firstLineChars="200"/>
        <w:rPr>
          <w:rFonts w:hint="eastAsia" w:eastAsia="仿宋"/>
          <w:sz w:val="32"/>
          <w:lang w:eastAsia="zh-CN"/>
        </w:rPr>
      </w:pPr>
      <w:r>
        <w:rPr>
          <w:rFonts w:eastAsia="仿宋"/>
          <w:sz w:val="32"/>
        </w:rPr>
        <w:t>7.协助矿井搞好职工救护知识教育</w:t>
      </w:r>
      <w:r>
        <w:rPr>
          <w:rFonts w:hint="eastAsia" w:eastAsia="仿宋"/>
          <w:sz w:val="32"/>
          <w:lang w:eastAsia="zh-CN"/>
        </w:rPr>
        <w:t>；</w:t>
      </w:r>
    </w:p>
    <w:p>
      <w:pPr>
        <w:spacing w:line="590" w:lineRule="exact"/>
        <w:ind w:firstLine="640" w:firstLineChars="200"/>
        <w:rPr>
          <w:rFonts w:eastAsia="仿宋"/>
          <w:sz w:val="32"/>
        </w:rPr>
      </w:pPr>
      <w:r>
        <w:rPr>
          <w:rFonts w:eastAsia="仿宋"/>
          <w:sz w:val="32"/>
        </w:rPr>
        <w:t>8.参与全市安全生产应急救援培训和应急救援演练等。</w:t>
      </w:r>
    </w:p>
    <w:p>
      <w:pPr>
        <w:spacing w:line="590" w:lineRule="exact"/>
        <w:ind w:firstLine="640" w:firstLineChars="200"/>
        <w:rPr>
          <w:rFonts w:eastAsia="仿宋"/>
          <w:sz w:val="32"/>
          <w:lang w:val="zh-CN"/>
        </w:rPr>
      </w:pPr>
      <w:r>
        <w:rPr>
          <w:rFonts w:hint="eastAsia" w:eastAsia="仿宋"/>
          <w:sz w:val="32"/>
          <w:lang w:val="zh-CN"/>
        </w:rPr>
        <w:t>（三）人员概况。</w:t>
      </w:r>
    </w:p>
    <w:p>
      <w:pPr>
        <w:spacing w:line="590" w:lineRule="exact"/>
        <w:ind w:firstLine="640" w:firstLineChars="200"/>
        <w:rPr>
          <w:rFonts w:eastAsia="仿宋"/>
          <w:sz w:val="32"/>
        </w:rPr>
      </w:pPr>
      <w:r>
        <w:rPr>
          <w:rFonts w:hint="eastAsia" w:eastAsia="仿宋"/>
          <w:sz w:val="32"/>
        </w:rPr>
        <w:t>2021年我队现有事业编制8人和救护队员定额临聘岗位，均纳入市财政全额拨款。</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二、单位财政资金收支情况</w:t>
      </w:r>
    </w:p>
    <w:p>
      <w:pPr>
        <w:spacing w:line="590" w:lineRule="exact"/>
        <w:ind w:firstLine="640" w:firstLineChars="200"/>
        <w:rPr>
          <w:rFonts w:eastAsia="仿宋"/>
          <w:sz w:val="32"/>
        </w:rPr>
      </w:pPr>
      <w:r>
        <w:rPr>
          <w:rFonts w:hint="eastAsia" w:eastAsia="仿宋"/>
          <w:sz w:val="32"/>
        </w:rPr>
        <w:t>（一）单位财政资金收入情况。</w:t>
      </w:r>
    </w:p>
    <w:p>
      <w:pPr>
        <w:spacing w:line="590" w:lineRule="exact"/>
        <w:ind w:firstLine="640" w:firstLineChars="200"/>
        <w:rPr>
          <w:rFonts w:eastAsia="仿宋"/>
          <w:sz w:val="32"/>
        </w:rPr>
      </w:pPr>
      <w:r>
        <w:rPr>
          <w:rFonts w:hint="eastAsia" w:eastAsia="仿宋"/>
          <w:sz w:val="32"/>
        </w:rPr>
        <w:t>2021年预算收入为368.87万元，年初结转和结余300万元，其中：当年财政拨款收入368.87万元；纳入预算管理非税收入0.00万元。</w:t>
      </w:r>
    </w:p>
    <w:p>
      <w:pPr>
        <w:spacing w:line="590" w:lineRule="exact"/>
        <w:ind w:firstLine="640" w:firstLineChars="200"/>
        <w:rPr>
          <w:rFonts w:eastAsia="仿宋"/>
          <w:sz w:val="32"/>
        </w:rPr>
      </w:pPr>
      <w:r>
        <w:rPr>
          <w:rFonts w:hint="eastAsia" w:eastAsia="仿宋"/>
          <w:sz w:val="32"/>
        </w:rPr>
        <w:t>（二）单位财政资金支出情况。</w:t>
      </w:r>
    </w:p>
    <w:p>
      <w:pPr>
        <w:spacing w:line="590" w:lineRule="exact"/>
        <w:ind w:firstLine="640" w:firstLineChars="200"/>
        <w:rPr>
          <w:rFonts w:eastAsia="仿宋"/>
          <w:sz w:val="32"/>
        </w:rPr>
      </w:pPr>
      <w:r>
        <w:rPr>
          <w:rFonts w:hint="eastAsia" w:eastAsia="仿宋"/>
          <w:sz w:val="32"/>
        </w:rPr>
        <w:t>2021年总支出668.87万元，其中基本支出368.87万元，占55.15%，包括人员经费322.83万元</w:t>
      </w:r>
      <w:r>
        <w:rPr>
          <w:rFonts w:hint="eastAsia" w:eastAsia="仿宋"/>
          <w:sz w:val="32"/>
          <w:lang w:eastAsia="zh-CN"/>
        </w:rPr>
        <w:t>，</w:t>
      </w:r>
      <w:r>
        <w:rPr>
          <w:rFonts w:hint="eastAsia" w:eastAsia="仿宋"/>
          <w:sz w:val="32"/>
        </w:rPr>
        <w:t>主要包括基本工资、津贴补贴、社会保险缴费等人员支出；公用经费46.04万元，主要包括办公费、印刷费、水费、福利费、工会经费等日常公用支出。项目支出300万元，占44.85%，包含上年开始实施的应急救援装备储备项目支出300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三、单位整体预算绩效管理情况</w:t>
      </w:r>
    </w:p>
    <w:p>
      <w:pPr>
        <w:spacing w:line="590" w:lineRule="exact"/>
        <w:ind w:firstLine="640" w:firstLineChars="200"/>
        <w:rPr>
          <w:rFonts w:eastAsia="仿宋"/>
          <w:sz w:val="32"/>
        </w:rPr>
      </w:pPr>
      <w:r>
        <w:rPr>
          <w:rFonts w:hint="eastAsia" w:eastAsia="仿宋"/>
          <w:sz w:val="32"/>
        </w:rPr>
        <w:t>（一）单位预算</w:t>
      </w:r>
      <w:r>
        <w:rPr>
          <w:rFonts w:hint="eastAsia" w:eastAsia="仿宋"/>
          <w:sz w:val="32"/>
          <w:lang w:eastAsia="zh-CN"/>
        </w:rPr>
        <w:t>绩效</w:t>
      </w:r>
      <w:r>
        <w:rPr>
          <w:rFonts w:hint="eastAsia" w:eastAsia="仿宋"/>
          <w:sz w:val="32"/>
        </w:rPr>
        <w:t>管理。</w:t>
      </w:r>
    </w:p>
    <w:p>
      <w:pPr>
        <w:spacing w:line="590" w:lineRule="exact"/>
        <w:ind w:firstLine="640" w:firstLineChars="200"/>
        <w:rPr>
          <w:rFonts w:eastAsia="仿宋"/>
          <w:sz w:val="32"/>
        </w:rPr>
      </w:pPr>
      <w:r>
        <w:rPr>
          <w:rFonts w:hint="eastAsia" w:eastAsia="仿宋"/>
          <w:sz w:val="32"/>
        </w:rPr>
        <w:t xml:space="preserve">1.预算编制及绩效目标申报情况 </w:t>
      </w:r>
    </w:p>
    <w:p>
      <w:pPr>
        <w:spacing w:line="590" w:lineRule="exact"/>
        <w:ind w:firstLine="640" w:firstLineChars="200"/>
        <w:rPr>
          <w:rFonts w:eastAsia="仿宋"/>
          <w:sz w:val="32"/>
        </w:rPr>
      </w:pPr>
      <w:r>
        <w:rPr>
          <w:rFonts w:hint="eastAsia" w:eastAsia="仿宋"/>
          <w:sz w:val="32"/>
        </w:rPr>
        <w:t>我单位按要求建立健全了财务管理、绩效管理等相关制度和实施细则，配备了会计和出纳人员，严格按照相关财经制度规定开展财务工作。预算编制认真填报机构性质、人员编制、车辆及其他资产等基础资料，做到和单位实际情况相符。对项目支出进行绩效目标填报，明确、量化绩效目标。</w:t>
      </w:r>
    </w:p>
    <w:p>
      <w:pPr>
        <w:spacing w:line="590" w:lineRule="exact"/>
        <w:ind w:firstLine="640" w:firstLineChars="200"/>
        <w:rPr>
          <w:rFonts w:eastAsia="仿宋"/>
          <w:sz w:val="32"/>
        </w:rPr>
      </w:pPr>
      <w:r>
        <w:rPr>
          <w:rFonts w:hint="eastAsia" w:eastAsia="仿宋"/>
          <w:sz w:val="32"/>
        </w:rPr>
        <w:t>2.单位整体支出绩效目标</w:t>
      </w:r>
    </w:p>
    <w:p>
      <w:pPr>
        <w:spacing w:line="590" w:lineRule="exact"/>
        <w:ind w:firstLine="640" w:firstLineChars="200"/>
        <w:rPr>
          <w:rFonts w:eastAsia="仿宋"/>
          <w:sz w:val="32"/>
        </w:rPr>
      </w:pPr>
      <w:r>
        <w:rPr>
          <w:rFonts w:hint="eastAsia" w:eastAsia="仿宋"/>
          <w:sz w:val="32"/>
        </w:rPr>
        <w:t>按照上级主管部门要求，确保救护队各项工作顺利开展，保持救援队伍和人员稳定，保证全年24小时全天候战备值守，积极开展军事化训练、体能锻炼、业务知识学习、专业技能训练、一般技术操作训练、伤员急救操作和综合应急救援演练等工作；积极开展安全预防性安全检查工作，为辖区煤矿提供瓦斯排放、启封密闭等安全技术性服务，按时完成矿山救护队质量标准化建设工作，巩固和提升救护队凝聚力和战斗力；建立完善矿山企业等事故应急救援预案，保障各项设施设备和消耗材料及时到位；做好各种生产安全事故和突发事故的应急救援抢险工作；保持救援队伍稳定，在事故处理中充分发挥应急救援专业队伍的重要作用，最大限度减少人民生命财产损失。</w:t>
      </w:r>
    </w:p>
    <w:p>
      <w:pPr>
        <w:spacing w:line="590" w:lineRule="exact"/>
        <w:ind w:firstLine="640" w:firstLineChars="200"/>
        <w:rPr>
          <w:rFonts w:eastAsia="仿宋"/>
          <w:sz w:val="32"/>
        </w:rPr>
      </w:pPr>
      <w:r>
        <w:rPr>
          <w:rFonts w:hint="eastAsia" w:eastAsia="仿宋"/>
          <w:sz w:val="32"/>
        </w:rPr>
        <w:t>3.执行管理情况</w:t>
      </w:r>
    </w:p>
    <w:p>
      <w:pPr>
        <w:spacing w:line="590" w:lineRule="exact"/>
        <w:ind w:firstLine="640" w:firstLineChars="200"/>
        <w:rPr>
          <w:rFonts w:eastAsia="仿宋"/>
          <w:sz w:val="32"/>
        </w:rPr>
      </w:pPr>
      <w:r>
        <w:rPr>
          <w:rFonts w:hint="eastAsia" w:eastAsia="仿宋"/>
          <w:sz w:val="32"/>
        </w:rPr>
        <w:t>（1）预算执行比较到位。支出总额控制在预算总额以内。</w:t>
      </w:r>
    </w:p>
    <w:p>
      <w:pPr>
        <w:spacing w:line="590" w:lineRule="exact"/>
        <w:ind w:firstLine="640" w:firstLineChars="200"/>
        <w:rPr>
          <w:rFonts w:eastAsia="仿宋"/>
          <w:sz w:val="32"/>
        </w:rPr>
      </w:pPr>
      <w:r>
        <w:rPr>
          <w:rFonts w:hint="eastAsia" w:eastAsia="仿宋"/>
          <w:sz w:val="32"/>
        </w:rPr>
        <w:t>（2）部门预算执行进度与序时进度之差控制在10%以内,合理控制预算执行进度。</w:t>
      </w:r>
    </w:p>
    <w:p>
      <w:pPr>
        <w:spacing w:line="590" w:lineRule="exact"/>
        <w:ind w:firstLine="640" w:firstLineChars="200"/>
        <w:rPr>
          <w:rFonts w:eastAsia="仿宋"/>
          <w:sz w:val="32"/>
        </w:rPr>
      </w:pPr>
      <w:r>
        <w:rPr>
          <w:rFonts w:hint="eastAsia" w:eastAsia="仿宋"/>
          <w:sz w:val="32"/>
        </w:rPr>
        <w:t>（3）“三公”经费总体控制较好，与上年相比支出有所减少。</w:t>
      </w:r>
    </w:p>
    <w:p>
      <w:pPr>
        <w:spacing w:line="590" w:lineRule="exact"/>
        <w:ind w:firstLine="640" w:firstLineChars="200"/>
        <w:rPr>
          <w:rFonts w:eastAsia="仿宋"/>
          <w:sz w:val="32"/>
        </w:rPr>
      </w:pPr>
      <w:r>
        <w:rPr>
          <w:rFonts w:hint="eastAsia" w:eastAsia="仿宋"/>
          <w:sz w:val="32"/>
        </w:rPr>
        <w:t>（4）切实做好厉行节约工作，全面落实各项管理制度要求，努力降低行政成本。严格执行公务接待费、差旅费、会议费和培训费审核审批程序，加强对公务用车的管理，会议费和培训费严格按年初计划和制度规定的标准执行。</w:t>
      </w:r>
    </w:p>
    <w:p>
      <w:pPr>
        <w:spacing w:line="590" w:lineRule="exact"/>
        <w:ind w:firstLine="640" w:firstLineChars="200"/>
        <w:rPr>
          <w:rFonts w:eastAsia="仿宋"/>
          <w:sz w:val="32"/>
        </w:rPr>
      </w:pPr>
      <w:r>
        <w:rPr>
          <w:rFonts w:hint="eastAsia" w:eastAsia="仿宋"/>
          <w:sz w:val="32"/>
        </w:rPr>
        <w:t>4.2021年度工作开展情况</w:t>
      </w:r>
    </w:p>
    <w:p>
      <w:pPr>
        <w:spacing w:line="590" w:lineRule="exact"/>
        <w:ind w:firstLine="640" w:firstLineChars="200"/>
        <w:rPr>
          <w:rFonts w:eastAsia="仿宋"/>
          <w:sz w:val="32"/>
        </w:rPr>
      </w:pPr>
      <w:r>
        <w:rPr>
          <w:rFonts w:hint="eastAsia" w:eastAsia="仿宋"/>
          <w:sz w:val="32"/>
        </w:rPr>
        <w:t>（1）全面开展矿山救护队质量标准化和应急救援体系建设。</w:t>
      </w:r>
    </w:p>
    <w:p>
      <w:pPr>
        <w:spacing w:line="590" w:lineRule="exact"/>
        <w:ind w:firstLine="640" w:firstLineChars="200"/>
        <w:rPr>
          <w:rFonts w:eastAsia="仿宋"/>
          <w:sz w:val="32"/>
        </w:rPr>
      </w:pPr>
      <w:r>
        <w:rPr>
          <w:rFonts w:hint="eastAsia" w:eastAsia="仿宋"/>
          <w:sz w:val="32"/>
        </w:rPr>
        <w:t>一是认真组织开展救护业务理论知识、救护设备操作、医疗急救、一般技术操作、应急救援演练、军事化队容、风纪、礼节等的学习训练；二是强化战备值班，实行准军事化管理，严格24小时战备值班制度，保证队伍随时处于应急战备状态；三是为煤矿提供技术服务，排除事故隐患。为辖区煤矿企业启封密闭、瓦斯排放等安全技术工作4次，出动55人次；参加洪涝抢险3次；参加广宁市场突发事件1次，圆满完成各项任务。参加了2021年度四川省安全生产（矿山）专业救援二级队伍技术竞赛并获得一等奖 。加强战备值班，积极主动完成领导交办的各项任务,市矿山救护大队实行24小时全天候战备值守，保证队伍随时处于战备状态，做到了“闻警即到、速战能胜”。</w:t>
      </w:r>
    </w:p>
    <w:p>
      <w:pPr>
        <w:spacing w:line="590" w:lineRule="exact"/>
        <w:ind w:firstLine="640" w:firstLineChars="200"/>
        <w:rPr>
          <w:rFonts w:eastAsia="仿宋"/>
          <w:sz w:val="32"/>
        </w:rPr>
      </w:pPr>
      <w:r>
        <w:rPr>
          <w:rFonts w:hint="eastAsia" w:eastAsia="仿宋"/>
          <w:sz w:val="32"/>
        </w:rPr>
        <w:t>（2）预算完成情况</w:t>
      </w:r>
    </w:p>
    <w:p>
      <w:pPr>
        <w:spacing w:line="590" w:lineRule="exact"/>
        <w:ind w:firstLine="640" w:firstLineChars="200"/>
        <w:rPr>
          <w:rFonts w:eastAsia="仿宋"/>
          <w:sz w:val="32"/>
        </w:rPr>
      </w:pPr>
      <w:r>
        <w:rPr>
          <w:rFonts w:hint="eastAsia" w:eastAsia="仿宋"/>
          <w:sz w:val="32"/>
        </w:rPr>
        <w:t>2021年度部门年初预算342.03万元，年初结转和结余300万元，年中追加聘用人员2021年8月-12月工资福利支出31万元。2021年总支出668.87万元。预算具有明确的用途和目标，资金到位及时并严格按照财政有关规定使用。预算决策、管理、执行等较规范，能较好地满足本单位工作需要，取得了良好经济效益和社会效益。预算执行过程中，未发现违规使用、占用资金等现象。</w:t>
      </w:r>
    </w:p>
    <w:p>
      <w:pPr>
        <w:spacing w:line="590" w:lineRule="exact"/>
        <w:ind w:firstLine="640" w:firstLineChars="200"/>
        <w:rPr>
          <w:rFonts w:eastAsia="仿宋"/>
          <w:sz w:val="32"/>
        </w:rPr>
      </w:pPr>
      <w:r>
        <w:rPr>
          <w:rFonts w:hint="eastAsia" w:eastAsia="仿宋"/>
          <w:sz w:val="32"/>
        </w:rPr>
        <w:t>（二）</w:t>
      </w:r>
      <w:r>
        <w:rPr>
          <w:rFonts w:hint="eastAsia" w:eastAsia="仿宋"/>
          <w:sz w:val="32"/>
          <w:lang w:eastAsia="zh-CN"/>
        </w:rPr>
        <w:t>结果应用情况</w:t>
      </w:r>
      <w:r>
        <w:rPr>
          <w:rFonts w:hint="eastAsia" w:eastAsia="仿宋"/>
          <w:sz w:val="32"/>
        </w:rPr>
        <w:t>。</w:t>
      </w:r>
    </w:p>
    <w:p>
      <w:pPr>
        <w:spacing w:line="590" w:lineRule="exact"/>
        <w:ind w:firstLine="640" w:firstLineChars="200"/>
        <w:rPr>
          <w:rFonts w:eastAsia="仿宋"/>
          <w:sz w:val="32"/>
        </w:rPr>
      </w:pPr>
      <w:r>
        <w:rPr>
          <w:rFonts w:hint="eastAsia" w:eastAsia="仿宋"/>
          <w:sz w:val="32"/>
        </w:rPr>
        <w:t>1.项目基本情况</w:t>
      </w:r>
    </w:p>
    <w:p>
      <w:pPr>
        <w:ind w:firstLine="636"/>
        <w:rPr>
          <w:rFonts w:ascii="仿宋_GB2312" w:eastAsia="仿宋_GB2312"/>
          <w:sz w:val="32"/>
          <w:szCs w:val="32"/>
        </w:rPr>
      </w:pPr>
      <w:r>
        <w:rPr>
          <w:rFonts w:hint="eastAsia" w:ascii="仿宋_GB2312" w:eastAsia="仿宋_GB2312"/>
          <w:sz w:val="32"/>
          <w:szCs w:val="32"/>
        </w:rPr>
        <w:t>矿山应急救援装备的补充、更新和应对自然灾害综合应急救援能力装备建设，资金投入规模达300万元。</w:t>
      </w:r>
    </w:p>
    <w:p>
      <w:pPr>
        <w:spacing w:line="590" w:lineRule="exact"/>
        <w:ind w:firstLine="640" w:firstLineChars="200"/>
        <w:rPr>
          <w:rFonts w:eastAsia="仿宋"/>
          <w:sz w:val="32"/>
        </w:rPr>
      </w:pPr>
      <w:r>
        <w:rPr>
          <w:rFonts w:hint="eastAsia" w:eastAsia="仿宋"/>
          <w:sz w:val="32"/>
        </w:rPr>
        <w:t>2.项目目标完成情况</w:t>
      </w:r>
    </w:p>
    <w:p>
      <w:pPr>
        <w:spacing w:line="590" w:lineRule="exact"/>
        <w:ind w:firstLine="640" w:firstLineChars="200"/>
        <w:rPr>
          <w:rFonts w:eastAsia="仿宋"/>
          <w:sz w:val="32"/>
          <w:szCs w:val="32"/>
        </w:rPr>
      </w:pPr>
      <w:r>
        <w:rPr>
          <w:rFonts w:hint="eastAsia" w:eastAsia="仿宋"/>
          <w:color w:val="000000"/>
          <w:kern w:val="0"/>
          <w:sz w:val="32"/>
          <w:szCs w:val="32"/>
          <w:shd w:val="clear" w:color="auto" w:fill="FFFFFF"/>
          <w:lang w:val="zh-CN"/>
        </w:rPr>
        <w:t>应急救援装备储备项目，2020年12月底已完成装备验收工作，新增155台/套救援装备，</w:t>
      </w:r>
      <w:r>
        <w:rPr>
          <w:rFonts w:hint="eastAsia" w:ascii="仿宋" w:hAnsi="仿宋" w:eastAsia="仿宋" w:cs="仿宋"/>
          <w:sz w:val="32"/>
          <w:szCs w:val="32"/>
        </w:rPr>
        <w:t>补充和更新了应对自然灾害等综合应急救援能力装备</w:t>
      </w:r>
      <w:r>
        <w:rPr>
          <w:rFonts w:hint="eastAsia" w:eastAsia="仿宋"/>
          <w:color w:val="000000"/>
          <w:kern w:val="0"/>
          <w:sz w:val="32"/>
          <w:szCs w:val="32"/>
          <w:shd w:val="clear" w:color="auto" w:fill="FFFFFF"/>
          <w:lang w:val="zh-CN"/>
        </w:rPr>
        <w:t>。</w:t>
      </w:r>
    </w:p>
    <w:p>
      <w:pPr>
        <w:spacing w:line="590" w:lineRule="exact"/>
        <w:ind w:firstLine="640" w:firstLineChars="200"/>
        <w:rPr>
          <w:rFonts w:eastAsia="仿宋"/>
          <w:sz w:val="32"/>
        </w:rPr>
      </w:pPr>
      <w:r>
        <w:rPr>
          <w:rFonts w:hint="eastAsia" w:eastAsia="仿宋"/>
          <w:sz w:val="32"/>
        </w:rPr>
        <w:t>3.项目效果</w:t>
      </w:r>
    </w:p>
    <w:p>
      <w:pPr>
        <w:widowControl/>
        <w:adjustRightInd w:val="0"/>
        <w:snapToGrid w:val="0"/>
        <w:spacing w:line="580" w:lineRule="exact"/>
        <w:ind w:firstLine="640" w:firstLineChars="200"/>
        <w:contextualSpacing/>
        <w:jc w:val="left"/>
        <w:rPr>
          <w:rFonts w:ascii="方正仿宋_GBK" w:hAnsi="宋体" w:eastAsia="方正仿宋_GBK" w:cs="宋体"/>
          <w:color w:val="000000"/>
          <w:kern w:val="0"/>
          <w:sz w:val="33"/>
          <w:szCs w:val="33"/>
          <w:shd w:val="clear" w:color="auto" w:fill="FFFFFF"/>
          <w:lang w:val="zh-CN"/>
        </w:rPr>
      </w:pPr>
      <w:r>
        <w:rPr>
          <w:rFonts w:hint="eastAsia" w:eastAsia="仿宋"/>
          <w:color w:val="000000"/>
          <w:kern w:val="0"/>
          <w:sz w:val="32"/>
          <w:szCs w:val="32"/>
          <w:shd w:val="clear" w:color="auto" w:fill="FFFFFF"/>
          <w:lang w:val="zh-CN"/>
        </w:rPr>
        <w:t>应急救援装备储备项目，</w:t>
      </w:r>
      <w:r>
        <w:rPr>
          <w:rFonts w:hint="eastAsia" w:ascii="仿宋" w:hAnsi="仿宋" w:eastAsia="仿宋" w:cs="仿宋"/>
          <w:sz w:val="32"/>
          <w:szCs w:val="32"/>
        </w:rPr>
        <w:t>能承担规划服务区域内特别重大矿山事故救援任务，具备应对自然灾害处置能力，具备事故应急救援装备、物资储备的功能，同时提供矿山应急救援培训，演练服务，实现国家救援基地保障有力、响应迅速。</w:t>
      </w:r>
    </w:p>
    <w:p>
      <w:pPr>
        <w:spacing w:line="590" w:lineRule="exact"/>
        <w:ind w:firstLine="640" w:firstLineChars="200"/>
        <w:rPr>
          <w:rFonts w:eastAsia="仿宋"/>
          <w:sz w:val="32"/>
        </w:rPr>
      </w:pPr>
      <w:r>
        <w:rPr>
          <w:rFonts w:hint="eastAsia" w:eastAsia="仿宋"/>
          <w:sz w:val="32"/>
        </w:rPr>
        <w:t>（三）</w:t>
      </w:r>
      <w:r>
        <w:rPr>
          <w:rFonts w:hint="eastAsia" w:eastAsia="仿宋"/>
          <w:sz w:val="32"/>
          <w:lang w:eastAsia="zh-CN"/>
        </w:rPr>
        <w:t>自评质量</w:t>
      </w:r>
      <w:r>
        <w:rPr>
          <w:rFonts w:hint="eastAsia" w:eastAsia="仿宋"/>
          <w:sz w:val="32"/>
        </w:rPr>
        <w:t>。</w:t>
      </w:r>
    </w:p>
    <w:p>
      <w:pPr>
        <w:spacing w:line="590" w:lineRule="exact"/>
        <w:ind w:firstLine="640" w:firstLineChars="200"/>
        <w:rPr>
          <w:rFonts w:eastAsia="仿宋"/>
          <w:sz w:val="32"/>
        </w:rPr>
      </w:pPr>
      <w:r>
        <w:rPr>
          <w:rFonts w:hint="eastAsia" w:eastAsia="仿宋"/>
          <w:sz w:val="32"/>
        </w:rPr>
        <w:t>从自评结果来看，2021年度基本完成年初预算设定的绩效目标，在应急演练、预防性安全检查、重大隐患整改、应急救援队伍保障、救援装备运行维护等方面都较好地完成了既定目标，预算资金及时到位，并按规定用途合理合规进行使用，保证了各项工作的顺利有序开展，为安全生产应急救援工作提供了有力的后期保障。</w:t>
      </w:r>
    </w:p>
    <w:p>
      <w:pPr>
        <w:spacing w:line="590" w:lineRule="exact"/>
        <w:ind w:firstLine="640" w:firstLineChars="200"/>
        <w:rPr>
          <w:rFonts w:eastAsia="仿宋"/>
          <w:sz w:val="32"/>
        </w:rPr>
      </w:pPr>
      <w:r>
        <w:rPr>
          <w:rFonts w:hint="eastAsia" w:eastAsia="仿宋"/>
          <w:sz w:val="32"/>
        </w:rPr>
        <w:t>四、评价结论及建议</w:t>
      </w:r>
    </w:p>
    <w:p>
      <w:pPr>
        <w:spacing w:line="590" w:lineRule="exact"/>
        <w:ind w:firstLine="640" w:firstLineChars="200"/>
        <w:rPr>
          <w:rFonts w:eastAsia="仿宋"/>
          <w:sz w:val="32"/>
        </w:rPr>
      </w:pPr>
      <w:r>
        <w:rPr>
          <w:rFonts w:hint="eastAsia" w:eastAsia="仿宋"/>
          <w:sz w:val="32"/>
        </w:rPr>
        <w:t>（一）评价结论。</w:t>
      </w:r>
    </w:p>
    <w:p>
      <w:pPr>
        <w:spacing w:line="590" w:lineRule="exact"/>
        <w:ind w:firstLine="640" w:firstLineChars="200"/>
        <w:rPr>
          <w:rFonts w:eastAsia="仿宋"/>
          <w:sz w:val="32"/>
        </w:rPr>
      </w:pPr>
      <w:r>
        <w:rPr>
          <w:rFonts w:hint="eastAsia" w:eastAsia="仿宋"/>
          <w:sz w:val="32"/>
        </w:rPr>
        <w:t>通过绩效评价，2021年度部门预算具有明确的用途和目标，制定了详细的工作计划，资金到位及时并严格按照财政有关规定使用。预算决策、管理、执行等日益规范，能较好地满足工作需要，取得了良好经济效益和社会效益，为辖区的生产安全及应急救援工作做出了积极贡献。</w:t>
      </w:r>
    </w:p>
    <w:p>
      <w:pPr>
        <w:spacing w:line="590" w:lineRule="exact"/>
        <w:ind w:firstLine="640" w:firstLineChars="200"/>
        <w:rPr>
          <w:rFonts w:eastAsia="仿宋"/>
          <w:sz w:val="32"/>
        </w:rPr>
      </w:pPr>
      <w:r>
        <w:rPr>
          <w:rFonts w:hint="eastAsia" w:eastAsia="仿宋"/>
          <w:sz w:val="32"/>
        </w:rPr>
        <w:t>（二）存在问题。</w:t>
      </w:r>
    </w:p>
    <w:p>
      <w:pPr>
        <w:spacing w:line="590" w:lineRule="exact"/>
        <w:ind w:firstLine="640" w:firstLineChars="200"/>
        <w:rPr>
          <w:rFonts w:eastAsia="仿宋"/>
          <w:sz w:val="32"/>
        </w:rPr>
      </w:pPr>
      <w:r>
        <w:rPr>
          <w:rFonts w:hint="eastAsia" w:eastAsia="仿宋"/>
          <w:sz w:val="32"/>
        </w:rPr>
        <w:t>1.预算编制工作有待细化。预算编制不够明确和细化，预算编制的合理性需要提高，预算执行力度还要进一步加强。</w:t>
      </w:r>
    </w:p>
    <w:p>
      <w:pPr>
        <w:spacing w:line="590" w:lineRule="exact"/>
        <w:ind w:firstLine="640" w:firstLineChars="200"/>
        <w:rPr>
          <w:rFonts w:eastAsia="仿宋"/>
          <w:sz w:val="32"/>
        </w:rPr>
      </w:pPr>
      <w:r>
        <w:rPr>
          <w:rFonts w:hint="eastAsia" w:eastAsia="仿宋"/>
          <w:sz w:val="32"/>
        </w:rPr>
        <w:t>2.内控制度需进一步完善。随着内控工作的进一步推进，我单位内部机构进行了相应的优化，建立健全了财务管理制度，费用报销规程等制度,但仍需进一步强化财务约束监督体制。</w:t>
      </w:r>
    </w:p>
    <w:p>
      <w:pPr>
        <w:spacing w:line="590" w:lineRule="exact"/>
        <w:ind w:firstLine="640" w:firstLineChars="200"/>
        <w:rPr>
          <w:rFonts w:eastAsia="仿宋"/>
          <w:sz w:val="32"/>
        </w:rPr>
      </w:pPr>
      <w:r>
        <w:rPr>
          <w:rFonts w:hint="eastAsia" w:eastAsia="仿宋"/>
          <w:sz w:val="32"/>
        </w:rPr>
        <w:t>3.人员素质有待进一步提高。由于预算绩效管理工作开展时间短，涉及面广，专业性强，加上缺乏系统的培训，单位对预算绩效管理理解不充分，对预算绩效管理业务不精通，在一定程度上影响了绩效评价工作质量。</w:t>
      </w:r>
    </w:p>
    <w:p>
      <w:pPr>
        <w:spacing w:line="590" w:lineRule="exact"/>
        <w:ind w:firstLine="640" w:firstLineChars="200"/>
        <w:rPr>
          <w:rFonts w:eastAsia="仿宋"/>
          <w:sz w:val="32"/>
        </w:rPr>
      </w:pPr>
      <w:r>
        <w:rPr>
          <w:rFonts w:hint="eastAsia" w:eastAsia="仿宋"/>
          <w:sz w:val="32"/>
        </w:rPr>
        <w:t>（三）改进建议。</w:t>
      </w:r>
    </w:p>
    <w:p>
      <w:pPr>
        <w:spacing w:line="590" w:lineRule="exact"/>
        <w:ind w:firstLine="640" w:firstLineChars="200"/>
        <w:rPr>
          <w:rFonts w:eastAsia="仿宋"/>
          <w:sz w:val="32"/>
        </w:rPr>
      </w:pPr>
      <w:r>
        <w:rPr>
          <w:rFonts w:hint="eastAsia" w:eastAsia="仿宋"/>
          <w:sz w:val="32"/>
        </w:rPr>
        <w:t>1.细化预算编制工作，认真做好预算的编制。进一步加强单位内部机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spacing w:line="590" w:lineRule="exact"/>
        <w:ind w:firstLine="640" w:firstLineChars="200"/>
        <w:rPr>
          <w:rFonts w:eastAsia="仿宋"/>
          <w:sz w:val="32"/>
        </w:rPr>
      </w:pPr>
      <w:r>
        <w:rPr>
          <w:rFonts w:hint="eastAsia" w:eastAsia="仿宋"/>
          <w:sz w:val="32"/>
        </w:rPr>
        <w:t>2.加强单位内部审计监督，真正落实责任制,以保证内部会计控制制度的顺利、有效运行。</w:t>
      </w:r>
    </w:p>
    <w:p>
      <w:pPr>
        <w:spacing w:line="590" w:lineRule="exact"/>
        <w:ind w:firstLine="640" w:firstLineChars="200"/>
        <w:rPr>
          <w:rFonts w:eastAsia="仿宋"/>
          <w:sz w:val="32"/>
        </w:rPr>
      </w:pPr>
      <w:r>
        <w:rPr>
          <w:rFonts w:hint="eastAsia" w:eastAsia="仿宋"/>
          <w:sz w:val="32"/>
        </w:rPr>
        <w:t>3.对相关人员加强培训。特别是绩效评价管理部门的队伍建设和业务指导，为绩效评价工作的顺利开展创建良好条件。针对《预算法》《政府会计制度》等学习培训，规范</w:t>
      </w:r>
      <w:r>
        <w:rPr>
          <w:rFonts w:hint="eastAsia" w:eastAsia="仿宋"/>
          <w:sz w:val="32"/>
          <w:lang w:eastAsia="zh-CN"/>
        </w:rPr>
        <w:t>单位</w:t>
      </w:r>
      <w:r>
        <w:rPr>
          <w:rFonts w:hint="eastAsia" w:eastAsia="仿宋"/>
          <w:sz w:val="32"/>
        </w:rPr>
        <w:t>预算收支核算，切实提高</w:t>
      </w:r>
      <w:r>
        <w:rPr>
          <w:rFonts w:hint="eastAsia" w:eastAsia="仿宋"/>
          <w:sz w:val="32"/>
          <w:lang w:eastAsia="zh-CN"/>
        </w:rPr>
        <w:t>单位</w:t>
      </w:r>
      <w:r>
        <w:rPr>
          <w:rFonts w:hint="eastAsia" w:eastAsia="仿宋"/>
          <w:sz w:val="32"/>
        </w:rPr>
        <w:t>预算收支管理水平</w:t>
      </w:r>
      <w:r>
        <w:rPr>
          <w:rFonts w:eastAsia="仿宋"/>
          <w:sz w:val="32"/>
        </w:rPr>
        <w:t xml:space="preserve"> </w:t>
      </w: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ind w:firstLine="640" w:firstLineChars="200"/>
        <w:contextualSpacing/>
        <w:jc w:val="left"/>
        <w:rPr>
          <w:rFonts w:ascii="仿宋" w:hAnsi="仿宋" w:eastAsia="仿宋"/>
          <w:color w:val="000000"/>
          <w:sz w:val="32"/>
          <w:szCs w:val="32"/>
          <w:shd w:val="clear" w:color="auto" w:fill="FFFFFF"/>
          <w:lang w:val="zh-CN"/>
        </w:rPr>
      </w:pPr>
    </w:p>
    <w:p>
      <w:pPr>
        <w:widowControl/>
        <w:adjustRightInd w:val="0"/>
        <w:snapToGrid w:val="0"/>
        <w:spacing w:line="590" w:lineRule="exact"/>
        <w:contextualSpacing/>
        <w:jc w:val="left"/>
        <w:rPr>
          <w:rFonts w:ascii="仿宋" w:hAnsi="仿宋" w:eastAsia="仿宋"/>
          <w:color w:val="000000"/>
          <w:sz w:val="32"/>
          <w:szCs w:val="32"/>
          <w:shd w:val="clear" w:color="auto" w:fill="FFFFFF"/>
          <w:lang w:val="zh-CN"/>
        </w:rPr>
      </w:pPr>
    </w:p>
    <w:p>
      <w:pPr>
        <w:spacing w:line="600" w:lineRule="exact"/>
        <w:jc w:val="left"/>
        <w:outlineLvl w:val="0"/>
        <w:rPr>
          <w:rFonts w:hint="eastAsia" w:ascii="黑体" w:hAnsi="黑体" w:eastAsia="黑体" w:cs="黑体"/>
          <w:sz w:val="32"/>
          <w:szCs w:val="32"/>
        </w:rPr>
      </w:pPr>
      <w:bookmarkStart w:id="82" w:name="_Toc16476"/>
      <w:r>
        <w:rPr>
          <w:rFonts w:hint="eastAsia" w:ascii="黑体" w:hAnsi="黑体" w:eastAsia="黑体" w:cs="黑体"/>
          <w:sz w:val="32"/>
          <w:szCs w:val="32"/>
        </w:rPr>
        <w:t>附件2</w:t>
      </w:r>
      <w:bookmarkEnd w:id="82"/>
    </w:p>
    <w:p>
      <w:pPr>
        <w:spacing w:line="600" w:lineRule="exact"/>
        <w:jc w:val="center"/>
        <w:rPr>
          <w:rFonts w:ascii="宋体" w:hAnsi="宋体"/>
          <w:kern w:val="0"/>
          <w:sz w:val="44"/>
          <w:szCs w:val="44"/>
          <w:lang w:val="zh-CN"/>
        </w:rPr>
      </w:pPr>
      <w:r>
        <w:rPr>
          <w:rFonts w:hint="eastAsia" w:ascii="宋体" w:hAnsi="宋体"/>
          <w:kern w:val="0"/>
          <w:sz w:val="44"/>
          <w:szCs w:val="44"/>
        </w:rPr>
        <w:t>应急救援装备储备</w:t>
      </w:r>
      <w:r>
        <w:rPr>
          <w:rFonts w:hint="eastAsia" w:ascii="宋体" w:hAnsi="宋体"/>
          <w:kern w:val="0"/>
          <w:sz w:val="44"/>
          <w:szCs w:val="44"/>
          <w:lang w:val="zh-CN"/>
        </w:rPr>
        <w:t>项目</w:t>
      </w:r>
    </w:p>
    <w:p>
      <w:pPr>
        <w:spacing w:line="600" w:lineRule="exact"/>
        <w:jc w:val="center"/>
        <w:rPr>
          <w:rFonts w:ascii="宋体" w:hAnsi="宋体"/>
          <w:kern w:val="0"/>
          <w:sz w:val="44"/>
          <w:szCs w:val="44"/>
          <w:lang w:val="zh-CN"/>
        </w:rPr>
      </w:pPr>
      <w:r>
        <w:rPr>
          <w:rFonts w:hint="eastAsia" w:ascii="宋体" w:hAnsi="宋体"/>
          <w:kern w:val="0"/>
          <w:sz w:val="44"/>
          <w:szCs w:val="44"/>
        </w:rPr>
        <w:t>2021年</w:t>
      </w:r>
      <w:r>
        <w:rPr>
          <w:rFonts w:hint="eastAsia" w:ascii="宋体" w:hAnsi="宋体"/>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ind w:firstLine="636"/>
        <w:rPr>
          <w:rFonts w:ascii="仿宋_GB2312" w:eastAsia="仿宋_GB2312"/>
          <w:sz w:val="32"/>
          <w:szCs w:val="32"/>
        </w:rPr>
      </w:pPr>
      <w:r>
        <w:rPr>
          <w:rFonts w:hint="eastAsia" w:ascii="仿宋_GB2312" w:eastAsia="仿宋_GB2312"/>
          <w:sz w:val="32"/>
          <w:szCs w:val="32"/>
        </w:rPr>
        <w:t>矿山应急救援装备的补充、更新和应对自然灾害综合应急救援能力装备建设。资金投入规模将达到300万元。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（一）项目资金申报及批复情况。</w:t>
      </w:r>
    </w:p>
    <w:p>
      <w:pPr>
        <w:spacing w:line="560" w:lineRule="exact"/>
        <w:ind w:firstLine="640" w:firstLineChars="200"/>
        <w:rPr>
          <w:rFonts w:ascii="仿宋_GB2312" w:hAnsi="华文仿宋" w:eastAsia="仿宋_GB2312" w:cs="华文仿宋"/>
          <w:sz w:val="32"/>
          <w:szCs w:val="32"/>
        </w:rPr>
      </w:pPr>
      <w:r>
        <w:rPr>
          <w:rFonts w:hint="eastAsia" w:ascii="仿宋_GB2312" w:eastAsia="仿宋_GB2312"/>
          <w:sz w:val="32"/>
          <w:szCs w:val="32"/>
        </w:rPr>
        <w:t>应急救援装备储备项目</w:t>
      </w:r>
      <w:r>
        <w:rPr>
          <w:rFonts w:hint="eastAsia" w:ascii="仿宋_GB2312" w:hAnsi="华文仿宋" w:eastAsia="仿宋_GB2312" w:cs="华文仿宋"/>
          <w:sz w:val="32"/>
          <w:szCs w:val="32"/>
        </w:rPr>
        <w:t>预算申报资金300万元，预算批复300万元。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（二）项目绩效目标。</w:t>
      </w:r>
    </w:p>
    <w:p>
      <w:pPr>
        <w:ind w:firstLine="643" w:firstLineChars="200"/>
        <w:rPr>
          <w:rFonts w:ascii="仿宋_GB2312" w:hAnsi="华文仿宋" w:eastAsia="仿宋_GB2312" w:cs="华文仿宋"/>
          <w:b/>
          <w:sz w:val="32"/>
          <w:szCs w:val="32"/>
        </w:rPr>
      </w:pPr>
      <w:r>
        <w:rPr>
          <w:rFonts w:hint="eastAsia" w:ascii="仿宋_GB2312" w:hAnsi="华文仿宋" w:eastAsia="仿宋_GB2312" w:cs="华文仿宋"/>
          <w:b/>
          <w:sz w:val="32"/>
          <w:szCs w:val="32"/>
        </w:rPr>
        <w:t>1.产出指标</w:t>
      </w:r>
    </w:p>
    <w:p>
      <w:pPr>
        <w:ind w:firstLine="643" w:firstLineChars="200"/>
        <w:rPr>
          <w:rFonts w:ascii="仿宋_GB2312" w:hAnsi="华文仿宋" w:eastAsia="仿宋_GB2312" w:cs="华文仿宋"/>
          <w:sz w:val="32"/>
          <w:szCs w:val="32"/>
        </w:rPr>
      </w:pPr>
      <w:r>
        <w:rPr>
          <w:rFonts w:hint="eastAsia" w:ascii="仿宋_GB2312" w:hAnsi="华文仿宋" w:eastAsia="仿宋_GB2312" w:cs="华文仿宋"/>
          <w:b/>
          <w:sz w:val="32"/>
          <w:szCs w:val="32"/>
        </w:rPr>
        <w:t>（1）数量指标。</w:t>
      </w:r>
      <w:r>
        <w:rPr>
          <w:rFonts w:hint="eastAsia" w:ascii="仿宋_GB2312" w:hAnsi="华文仿宋" w:eastAsia="仿宋_GB2312" w:cs="华文仿宋"/>
          <w:sz w:val="32"/>
          <w:szCs w:val="32"/>
        </w:rPr>
        <w:t>新增救援装备155台/套。</w:t>
      </w:r>
    </w:p>
    <w:p>
      <w:pPr>
        <w:ind w:firstLine="643" w:firstLineChars="200"/>
        <w:rPr>
          <w:rFonts w:ascii="仿宋_GB2312" w:hAnsi="华文仿宋" w:eastAsia="仿宋_GB2312" w:cs="华文仿宋"/>
          <w:sz w:val="32"/>
          <w:szCs w:val="32"/>
        </w:rPr>
      </w:pPr>
      <w:r>
        <w:rPr>
          <w:rFonts w:hint="eastAsia" w:ascii="仿宋_GB2312" w:hAnsi="华文仿宋" w:eastAsia="仿宋_GB2312" w:cs="华文仿宋"/>
          <w:b/>
          <w:sz w:val="32"/>
          <w:szCs w:val="32"/>
        </w:rPr>
        <w:t>（2）质量指标。</w:t>
      </w:r>
      <w:r>
        <w:rPr>
          <w:rFonts w:hint="eastAsia" w:ascii="仿宋_GB2312" w:hAnsi="华文仿宋" w:eastAsia="仿宋_GB2312" w:cs="华文仿宋"/>
          <w:sz w:val="32"/>
          <w:szCs w:val="32"/>
        </w:rPr>
        <w:t>救援</w:t>
      </w:r>
      <w:r>
        <w:rPr>
          <w:rFonts w:hint="eastAsia" w:ascii="仿宋_GB2312" w:hAnsi="华文仿宋" w:eastAsia="仿宋_GB2312" w:cs="华文仿宋"/>
          <w:bCs/>
          <w:sz w:val="32"/>
          <w:szCs w:val="32"/>
        </w:rPr>
        <w:t>装备合格率达100%。</w:t>
      </w:r>
    </w:p>
    <w:p>
      <w:pPr>
        <w:ind w:firstLine="643" w:firstLineChars="200"/>
        <w:rPr>
          <w:rFonts w:ascii="仿宋_GB2312" w:hAnsi="华文仿宋" w:eastAsia="仿宋_GB2312" w:cs="华文仿宋"/>
          <w:b/>
          <w:sz w:val="32"/>
          <w:szCs w:val="32"/>
        </w:rPr>
      </w:pPr>
      <w:r>
        <w:rPr>
          <w:rFonts w:hint="eastAsia" w:ascii="仿宋_GB2312" w:hAnsi="华文仿宋" w:eastAsia="仿宋_GB2312" w:cs="华文仿宋"/>
          <w:b/>
          <w:sz w:val="32"/>
          <w:szCs w:val="32"/>
        </w:rPr>
        <w:t>（3）时效指标。</w:t>
      </w:r>
      <w:r>
        <w:rPr>
          <w:rFonts w:hint="eastAsia" w:ascii="仿宋_GB2312" w:hAnsi="华文仿宋" w:eastAsia="仿宋_GB2312" w:cs="华文仿宋"/>
          <w:bCs/>
          <w:sz w:val="32"/>
          <w:szCs w:val="32"/>
        </w:rPr>
        <w:t>2020年10月开始，2020年12月结束。</w:t>
      </w:r>
    </w:p>
    <w:p>
      <w:pPr>
        <w:ind w:firstLine="643" w:firstLineChars="200"/>
        <w:rPr>
          <w:rFonts w:ascii="仿宋_GB2312" w:hAnsi="华文仿宋" w:eastAsia="仿宋_GB2312" w:cs="华文仿宋"/>
          <w:sz w:val="32"/>
          <w:szCs w:val="32"/>
        </w:rPr>
      </w:pPr>
      <w:r>
        <w:rPr>
          <w:rFonts w:hint="eastAsia" w:ascii="仿宋_GB2312" w:hAnsi="华文仿宋" w:eastAsia="仿宋_GB2312" w:cs="华文仿宋"/>
          <w:b/>
          <w:sz w:val="32"/>
          <w:szCs w:val="32"/>
        </w:rPr>
        <w:t>（4）成本指标。</w:t>
      </w:r>
      <w:r>
        <w:rPr>
          <w:rFonts w:hint="eastAsia" w:ascii="仿宋_GB2312" w:hAnsi="华文仿宋" w:eastAsia="仿宋_GB2312" w:cs="华文仿宋"/>
          <w:sz w:val="32"/>
          <w:szCs w:val="32"/>
        </w:rPr>
        <w:t>购置成本支出不超预算。</w:t>
      </w:r>
    </w:p>
    <w:p>
      <w:pPr>
        <w:ind w:firstLine="643" w:firstLineChars="200"/>
        <w:rPr>
          <w:rFonts w:ascii="仿宋_GB2312" w:hAnsi="华文仿宋" w:eastAsia="仿宋_GB2312" w:cs="华文仿宋"/>
          <w:b/>
          <w:sz w:val="32"/>
          <w:szCs w:val="32"/>
        </w:rPr>
      </w:pPr>
      <w:r>
        <w:rPr>
          <w:rFonts w:hint="eastAsia" w:ascii="仿宋_GB2312" w:hAnsi="华文仿宋" w:eastAsia="仿宋_GB2312" w:cs="华文仿宋"/>
          <w:b/>
          <w:sz w:val="32"/>
          <w:szCs w:val="32"/>
        </w:rPr>
        <w:t>2.成效指标</w:t>
      </w:r>
    </w:p>
    <w:p>
      <w:pPr>
        <w:ind w:firstLine="643" w:firstLineChars="200"/>
        <w:rPr>
          <w:rFonts w:ascii="仿宋_GB2312" w:hAnsi="华文仿宋" w:eastAsia="仿宋_GB2312" w:cs="华文仿宋"/>
          <w:sz w:val="32"/>
          <w:szCs w:val="32"/>
        </w:rPr>
      </w:pPr>
      <w:r>
        <w:rPr>
          <w:rFonts w:hint="eastAsia" w:ascii="仿宋_GB2312" w:hAnsi="华文仿宋" w:eastAsia="仿宋_GB2312" w:cs="华文仿宋"/>
          <w:b/>
          <w:sz w:val="32"/>
          <w:szCs w:val="32"/>
        </w:rPr>
        <w:t>社会效益指标。</w:t>
      </w:r>
      <w:r>
        <w:rPr>
          <w:rFonts w:hint="eastAsia" w:ascii="仿宋_GB2312" w:hAnsi="华文仿宋" w:eastAsia="仿宋_GB2312" w:cs="华文仿宋"/>
          <w:sz w:val="32"/>
          <w:szCs w:val="32"/>
        </w:rPr>
        <w:t>应急突发事故帮扶率达到100%。当县市区救援装备不能满足应急需要时，可调用市级救援装备，抢险救援，减少灾害损失，保证人民群众生命财产安全。</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sz w:val="32"/>
          <w:szCs w:val="32"/>
        </w:rPr>
        <w:t>应急救援装备储备项目申报内容与具体实施内容相符、申报目标合理可行。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1．资金计划及到位情况。</w:t>
      </w:r>
    </w:p>
    <w:p>
      <w:pPr>
        <w:spacing w:line="560" w:lineRule="exact"/>
        <w:ind w:firstLine="640" w:firstLineChars="200"/>
        <w:rPr>
          <w:rFonts w:ascii="仿宋_GB2312" w:hAnsi="华文仿宋" w:eastAsia="仿宋_GB2312" w:cs="华文仿宋"/>
          <w:sz w:val="32"/>
          <w:szCs w:val="32"/>
        </w:rPr>
      </w:pPr>
      <w:r>
        <w:rPr>
          <w:rFonts w:hint="eastAsia" w:ascii="仿宋_GB2312" w:eastAsia="仿宋_GB2312"/>
          <w:sz w:val="32"/>
          <w:szCs w:val="32"/>
        </w:rPr>
        <w:t>应急救援装备储备项目</w:t>
      </w:r>
      <w:r>
        <w:rPr>
          <w:rFonts w:hint="eastAsia" w:ascii="仿宋_GB2312" w:hAnsi="华文仿宋" w:eastAsia="仿宋_GB2312" w:cs="华文仿宋"/>
          <w:sz w:val="32"/>
          <w:szCs w:val="32"/>
        </w:rPr>
        <w:t>计划资金300万元，实拨资金300万元，全部拨付到位，资金到位率100%。</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2．资金使用。</w:t>
      </w:r>
    </w:p>
    <w:p>
      <w:pPr>
        <w:ind w:firstLine="640" w:firstLineChars="200"/>
        <w:rPr>
          <w:rFonts w:ascii="仿宋_GB2312" w:eastAsia="仿宋_GB2312"/>
          <w:sz w:val="32"/>
          <w:szCs w:val="32"/>
        </w:rPr>
      </w:pPr>
      <w:r>
        <w:rPr>
          <w:rFonts w:hint="eastAsia" w:ascii="仿宋_GB2312" w:eastAsia="仿宋_GB2312"/>
          <w:sz w:val="32"/>
          <w:szCs w:val="32"/>
        </w:rPr>
        <w:t>项目实际使用资金300万元，主要用于补充、更新市矿山救护大队应急救援装备。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遵循“先有预算、后有支出”的原则，严格执行政府采购程序，采用规定的政府采购方式，上报政府采购计划，严格按照批复的计划组织实施。在合同审查中，对结算方式、付款条款等严格把关。严格资金支付审批，认真审核支出事项、支付程序、支出范围、标准以及原始凭证等，确保资金使用安全。加强日常财务报销、会计核算管理，强化会计稽核，对于支出金额较大的采购支出，严格按照进度和合同付款，积极跟踪大额资金结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第一阶段（2020年10月—20</w:t>
      </w:r>
      <w:r>
        <w:rPr>
          <w:rFonts w:ascii="仿宋_GB2312" w:hAnsi="宋体" w:eastAsia="仿宋_GB2312"/>
          <w:kern w:val="0"/>
          <w:sz w:val="32"/>
          <w:szCs w:val="32"/>
        </w:rPr>
        <w:t>20</w:t>
      </w:r>
      <w:r>
        <w:rPr>
          <w:rFonts w:hint="eastAsia" w:ascii="仿宋_GB2312" w:hAnsi="宋体" w:eastAsia="仿宋_GB2312"/>
          <w:kern w:val="0"/>
          <w:sz w:val="32"/>
          <w:szCs w:val="32"/>
        </w:rPr>
        <w:t>年11月）：项目招标采购：项目立项审批，招标、合同招标并鉴定等工作。</w:t>
      </w:r>
    </w:p>
    <w:p>
      <w:pPr>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第二阶段（20</w:t>
      </w:r>
      <w:r>
        <w:rPr>
          <w:rFonts w:ascii="仿宋_GB2312" w:hAnsi="宋体" w:eastAsia="仿宋_GB2312"/>
          <w:kern w:val="0"/>
          <w:sz w:val="32"/>
          <w:szCs w:val="32"/>
        </w:rPr>
        <w:t>20</w:t>
      </w:r>
      <w:r>
        <w:rPr>
          <w:rFonts w:hint="eastAsia" w:ascii="仿宋_GB2312" w:hAnsi="宋体" w:eastAsia="仿宋_GB2312"/>
          <w:kern w:val="0"/>
          <w:sz w:val="32"/>
          <w:szCs w:val="32"/>
        </w:rPr>
        <w:t>年12月—2020年12月）：实施完成：装备采购、验收入库、结算等。</w:t>
      </w:r>
      <w:r>
        <w:rPr>
          <w:rFonts w:ascii="仿宋_GB2312" w:hAnsi="宋体" w:eastAsia="仿宋_GB2312"/>
          <w:kern w:val="0"/>
          <w:sz w:val="32"/>
          <w:szCs w:val="32"/>
        </w:rPr>
        <w:t xml:space="preserve"> </w:t>
      </w:r>
      <w:r>
        <w:rPr>
          <w:rFonts w:hint="eastAsia" w:ascii="仿宋_GB2312" w:hAnsi="宋体" w:eastAsia="仿宋_GB2312"/>
          <w:kern w:val="0"/>
          <w:sz w:val="32"/>
          <w:szCs w:val="32"/>
        </w:rPr>
        <w:t>救援装备招标采购资料归类存档。</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1.完成任务量。</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截</w:t>
      </w:r>
      <w:r>
        <w:rPr>
          <w:rFonts w:hint="eastAsia" w:ascii="仿宋_GB2312" w:hAnsi="华文仿宋" w:eastAsia="仿宋_GB2312" w:cs="华文仿宋"/>
          <w:sz w:val="32"/>
          <w:szCs w:val="32"/>
          <w:lang w:val="en-US" w:eastAsia="zh-CN"/>
        </w:rPr>
        <w:t>至</w:t>
      </w:r>
      <w:r>
        <w:rPr>
          <w:rFonts w:hint="eastAsia" w:ascii="仿宋_GB2312" w:hAnsi="华文仿宋" w:eastAsia="仿宋_GB2312" w:cs="华文仿宋"/>
          <w:sz w:val="32"/>
          <w:szCs w:val="32"/>
        </w:rPr>
        <w:t>2020年12月31日，项目实际投资297.1万元，投资完成率99.03%，项目数量指标全部完成，155台/套救援装备验收入库。</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2.完成质量。</w:t>
      </w:r>
    </w:p>
    <w:p>
      <w:pPr>
        <w:ind w:firstLine="640" w:firstLineChars="200"/>
        <w:rPr>
          <w:rFonts w:ascii="仿宋_GB2312" w:hAnsi="仿宋_GB2312" w:eastAsia="仿宋_GB2312" w:cs="仿宋_GB2312"/>
          <w:b/>
          <w:sz w:val="32"/>
          <w:szCs w:val="32"/>
        </w:rPr>
      </w:pPr>
      <w:r>
        <w:rPr>
          <w:rFonts w:hint="eastAsia" w:ascii="仿宋_GB2312" w:hAnsi="华文仿宋" w:eastAsia="仿宋_GB2312" w:cs="华文仿宋"/>
          <w:sz w:val="32"/>
          <w:szCs w:val="32"/>
        </w:rPr>
        <w:t>（1）经矿山救护大队验收小组考核，155台/套救援装备</w:t>
      </w:r>
      <w:r>
        <w:rPr>
          <w:rFonts w:hint="eastAsia" w:ascii="仿宋_GB2312" w:hAnsi="华文仿宋" w:eastAsia="仿宋_GB2312" w:cs="华文仿宋"/>
          <w:bCs/>
          <w:sz w:val="32"/>
          <w:szCs w:val="32"/>
        </w:rPr>
        <w:t>合格率达100%</w:t>
      </w:r>
      <w:r>
        <w:rPr>
          <w:rFonts w:hint="eastAsia" w:ascii="仿宋_GB2312" w:hAnsi="华文仿宋" w:eastAsia="仿宋_GB2312" w:cs="华文仿宋"/>
          <w:sz w:val="32"/>
          <w:szCs w:val="32"/>
        </w:rPr>
        <w:t>；（2）</w:t>
      </w:r>
      <w:r>
        <w:rPr>
          <w:rFonts w:hint="eastAsia" w:ascii="仿宋_GB2312" w:hAnsi="华文仿宋" w:eastAsia="仿宋_GB2312" w:cs="华文仿宋"/>
          <w:bCs/>
          <w:sz w:val="32"/>
          <w:szCs w:val="32"/>
        </w:rPr>
        <w:t>完成时效与预期设定有一定差异，原因是2020年12月24日完成验收，此时财政大平台已暂停申请资金用款计划，于2021年2月完成结算；</w:t>
      </w:r>
      <w:r>
        <w:rPr>
          <w:rFonts w:hint="eastAsia" w:ascii="仿宋_GB2312" w:hAnsi="华文仿宋" w:eastAsia="仿宋_GB2312" w:cs="华文仿宋"/>
          <w:sz w:val="32"/>
          <w:szCs w:val="32"/>
        </w:rPr>
        <w:t>（3）购置成本支出总额不超预算。</w:t>
      </w:r>
    </w:p>
    <w:p>
      <w:pPr>
        <w:spacing w:line="56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（二）项目效益情况。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能承担规划服务区域内重大矿山事故救援任务，具备应对自然灾害处置能力，具备事故应急救援装备、物资储备的功能，同时提供矿山应急救援培训，演练服务，实现国家救援基地保障有力、响应迅速。项目坚持实用性强，在应急救援时能充分发挥装备的先进性，高效性，有利于提升救护队应急救援能力，实现快速救援、科学救援、安全救援，达到救援有力，救援有保障，以减少国家经济损失，保障人民生命财产安全。</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ind w:firstLine="640" w:firstLineChars="200"/>
        <w:rPr>
          <w:rFonts w:ascii="仿宋_GB2312" w:eastAsia="仿宋_GB2312"/>
          <w:sz w:val="32"/>
          <w:szCs w:val="32"/>
        </w:rPr>
      </w:pPr>
      <w:r>
        <w:rPr>
          <w:rFonts w:hint="eastAsia" w:ascii="仿宋_GB2312" w:eastAsia="仿宋_GB2312"/>
          <w:sz w:val="32"/>
          <w:szCs w:val="32"/>
        </w:rPr>
        <w:t>此项目的完成时效</w:t>
      </w:r>
      <w:r>
        <w:rPr>
          <w:rFonts w:hint="eastAsia" w:ascii="仿宋_GB2312" w:hAnsi="华文仿宋" w:eastAsia="仿宋_GB2312" w:cs="华文仿宋"/>
          <w:bCs/>
          <w:sz w:val="32"/>
          <w:szCs w:val="32"/>
        </w:rPr>
        <w:t>与预期设定有一定差异，结算时间在2020年12月未完成，原因是2020年12月24日完成验收，此时财政大平台已暂停申请资金用款计划，于2021年2月完成结算。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60" w:lineRule="exact"/>
        <w:ind w:firstLine="720"/>
        <w:rPr>
          <w:rFonts w:ascii="仿宋_GB2312" w:hAnsi="华文仿宋" w:eastAsia="仿宋_GB2312" w:cs="华文仿宋"/>
          <w:bCs/>
          <w:sz w:val="32"/>
          <w:szCs w:val="32"/>
        </w:rPr>
      </w:pPr>
      <w:r>
        <w:rPr>
          <w:rFonts w:hint="eastAsia" w:ascii="仿宋_GB2312" w:hAnsi="华文仿宋" w:eastAsia="仿宋_GB2312" w:cs="华文仿宋"/>
          <w:bCs/>
          <w:sz w:val="32"/>
          <w:szCs w:val="32"/>
        </w:rPr>
        <w:t>通过本次绩效目标自评工作对项目管理环节进行认真梳理，我单位还需建立完善项目管理办法，切实提高项目管理水平、财政资金使用效益和部门工作效率，发挥我单位在促进项目管理工作，总结完善制度办法，合理调整资源配置方面的积极作用。</w:t>
      </w:r>
    </w:p>
    <w:p>
      <w:pPr>
        <w:spacing w:line="600" w:lineRule="exact"/>
        <w:jc w:val="center"/>
        <w:outlineLvl w:val="0"/>
        <w:rPr>
          <w:rStyle w:val="30"/>
          <w:rFonts w:ascii="黑体" w:hAnsi="黑体" w:eastAsia="黑体"/>
          <w:b w:val="0"/>
        </w:rPr>
      </w:pPr>
    </w:p>
    <w:p>
      <w:pPr>
        <w:pStyle w:val="6"/>
        <w:rPr>
          <w:rStyle w:val="30"/>
          <w:rFonts w:ascii="黑体" w:hAnsi="黑体" w:eastAsia="黑体"/>
          <w:b w:val="0"/>
        </w:rPr>
      </w:pPr>
    </w:p>
    <w:p>
      <w:pPr>
        <w:pStyle w:val="6"/>
        <w:rPr>
          <w:rStyle w:val="30"/>
          <w:rFonts w:ascii="黑体" w:hAnsi="黑体" w:eastAsia="黑体"/>
          <w:b w:val="0"/>
        </w:rPr>
      </w:pPr>
    </w:p>
    <w:p>
      <w:pPr>
        <w:pStyle w:val="6"/>
        <w:rPr>
          <w:rStyle w:val="30"/>
          <w:rFonts w:ascii="黑体" w:hAnsi="黑体" w:eastAsia="黑体"/>
          <w:b w:val="0"/>
        </w:rPr>
      </w:pPr>
    </w:p>
    <w:p>
      <w:pPr>
        <w:pStyle w:val="6"/>
        <w:rPr>
          <w:rStyle w:val="30"/>
          <w:rFonts w:ascii="黑体" w:hAnsi="黑体" w:eastAsia="黑体"/>
          <w:b w:val="0"/>
        </w:rPr>
      </w:pPr>
    </w:p>
    <w:p>
      <w:pPr>
        <w:pStyle w:val="6"/>
        <w:rPr>
          <w:rStyle w:val="30"/>
          <w:rFonts w:ascii="黑体" w:hAnsi="黑体" w:eastAsia="黑体"/>
          <w:b w:val="0"/>
        </w:rPr>
      </w:pPr>
    </w:p>
    <w:p>
      <w:pPr>
        <w:pStyle w:val="6"/>
        <w:rPr>
          <w:rStyle w:val="30"/>
          <w:rFonts w:ascii="黑体" w:hAnsi="黑体" w:eastAsia="黑体"/>
          <w:b w:val="0"/>
        </w:rPr>
      </w:pPr>
    </w:p>
    <w:p>
      <w:pPr>
        <w:pStyle w:val="6"/>
        <w:rPr>
          <w:rStyle w:val="30"/>
          <w:rFonts w:ascii="黑体" w:hAnsi="黑体" w:eastAsia="黑体"/>
          <w:b w:val="0"/>
        </w:rPr>
      </w:pPr>
    </w:p>
    <w:p>
      <w:pPr>
        <w:pStyle w:val="6"/>
        <w:rPr>
          <w:rStyle w:val="30"/>
          <w:rFonts w:ascii="黑体" w:hAnsi="黑体" w:eastAsia="黑体"/>
          <w:b w:val="0"/>
        </w:rPr>
      </w:pPr>
    </w:p>
    <w:p>
      <w:pPr>
        <w:pStyle w:val="6"/>
        <w:rPr>
          <w:rStyle w:val="30"/>
          <w:rFonts w:ascii="黑体" w:hAnsi="黑体" w:eastAsia="黑体"/>
          <w:b w:val="0"/>
        </w:rPr>
      </w:pPr>
    </w:p>
    <w:p>
      <w:pPr>
        <w:spacing w:line="600" w:lineRule="exact"/>
        <w:jc w:val="left"/>
        <w:outlineLvl w:val="0"/>
        <w:rPr>
          <w:rFonts w:hint="eastAsia" w:ascii="黑体" w:hAnsi="黑体" w:eastAsia="黑体" w:cs="黑体"/>
          <w:sz w:val="32"/>
          <w:szCs w:val="32"/>
          <w:lang w:eastAsia="zh-CN"/>
        </w:rPr>
      </w:pPr>
      <w:bookmarkStart w:id="83" w:name="_Toc4765"/>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w:t>
      </w:r>
      <w:bookmarkEnd w:id="83"/>
    </w:p>
    <w:p>
      <w:pPr>
        <w:spacing w:line="580" w:lineRule="exact"/>
        <w:ind w:firstLine="640"/>
        <w:jc w:val="center"/>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2021年100万元以上（含）特定目标类</w:t>
      </w:r>
    </w:p>
    <w:p>
      <w:pPr>
        <w:spacing w:line="580" w:lineRule="exact"/>
        <w:ind w:firstLine="640"/>
        <w:jc w:val="center"/>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单位</w:t>
      </w:r>
      <w:r>
        <w:rPr>
          <w:rFonts w:hint="default" w:ascii="Times New Roman" w:hAnsi="Times New Roman" w:eastAsia="仿宋_GB2312" w:cs="Times New Roman"/>
          <w:b/>
          <w:bCs/>
          <w:color w:val="auto"/>
          <w:sz w:val="32"/>
          <w:szCs w:val="32"/>
          <w:highlight w:val="none"/>
          <w:lang w:val="en-US" w:eastAsia="zh-CN"/>
        </w:rPr>
        <w:t>预算项目绩效目标自评表</w:t>
      </w:r>
    </w:p>
    <w:tbl>
      <w:tblPr>
        <w:tblStyle w:val="18"/>
        <w:tblW w:w="8862" w:type="dxa"/>
        <w:tblInd w:w="0" w:type="dxa"/>
        <w:tblLayout w:type="autofit"/>
        <w:tblCellMar>
          <w:top w:w="0" w:type="dxa"/>
          <w:left w:w="0" w:type="dxa"/>
          <w:bottom w:w="0" w:type="dxa"/>
          <w:right w:w="0" w:type="dxa"/>
        </w:tblCellMar>
      </w:tblPr>
      <w:tblGrid>
        <w:gridCol w:w="722"/>
        <w:gridCol w:w="1193"/>
        <w:gridCol w:w="1290"/>
        <w:gridCol w:w="540"/>
        <w:gridCol w:w="1205"/>
        <w:gridCol w:w="1927"/>
        <w:gridCol w:w="1985"/>
      </w:tblGrid>
      <w:tr>
        <w:tblPrEx>
          <w:tblCellMar>
            <w:top w:w="0" w:type="dxa"/>
            <w:left w:w="0" w:type="dxa"/>
            <w:bottom w:w="0" w:type="dxa"/>
            <w:right w:w="0" w:type="dxa"/>
          </w:tblCellMar>
        </w:tblPrEx>
        <w:trPr>
          <w:trHeight w:val="515" w:hRule="atLeast"/>
        </w:trPr>
        <w:tc>
          <w:tcPr>
            <w:tcW w:w="1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项目名称</w:t>
            </w:r>
          </w:p>
        </w:tc>
        <w:tc>
          <w:tcPr>
            <w:tcW w:w="694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b/>
                <w:bCs/>
                <w:spacing w:val="6"/>
                <w:sz w:val="20"/>
                <w:szCs w:val="20"/>
                <w:lang w:val="en-US" w:eastAsia="zh-CN"/>
              </w:rPr>
            </w:pPr>
            <w:r>
              <w:rPr>
                <w:rFonts w:hint="eastAsia" w:ascii="宋体" w:hAnsi="宋体" w:cs="宋体"/>
                <w:b/>
                <w:bCs/>
                <w:spacing w:val="6"/>
                <w:sz w:val="20"/>
                <w:szCs w:val="20"/>
                <w:lang w:val="en-US" w:eastAsia="zh-CN"/>
              </w:rPr>
              <w:t>无</w:t>
            </w:r>
          </w:p>
        </w:tc>
      </w:tr>
      <w:tr>
        <w:tblPrEx>
          <w:tblCellMar>
            <w:top w:w="0" w:type="dxa"/>
            <w:left w:w="0" w:type="dxa"/>
            <w:bottom w:w="0" w:type="dxa"/>
            <w:right w:w="0" w:type="dxa"/>
          </w:tblCellMar>
        </w:tblPrEx>
        <w:trPr>
          <w:trHeight w:val="662" w:hRule="atLeast"/>
        </w:trPr>
        <w:tc>
          <w:tcPr>
            <w:tcW w:w="1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主管部门及代码</w:t>
            </w:r>
          </w:p>
        </w:tc>
        <w:tc>
          <w:tcPr>
            <w:tcW w:w="30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实施单位</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r>
      <w:tr>
        <w:tblPrEx>
          <w:tblCellMar>
            <w:top w:w="0" w:type="dxa"/>
            <w:left w:w="0" w:type="dxa"/>
            <w:bottom w:w="0" w:type="dxa"/>
            <w:right w:w="0" w:type="dxa"/>
          </w:tblCellMar>
        </w:tblPrEx>
        <w:trPr>
          <w:trHeight w:val="396" w:hRule="atLeast"/>
        </w:trPr>
        <w:tc>
          <w:tcPr>
            <w:tcW w:w="19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项目预算</w:t>
            </w:r>
            <w:r>
              <w:rPr>
                <w:rFonts w:hint="eastAsia" w:ascii="宋体" w:hAnsi="宋体" w:eastAsia="宋体" w:cs="宋体"/>
                <w:b/>
                <w:bCs/>
                <w:spacing w:val="6"/>
                <w:sz w:val="20"/>
                <w:szCs w:val="20"/>
                <w:lang w:val="en-US" w:eastAsia="zh-CN"/>
              </w:rPr>
              <w:br w:type="textWrapping"/>
            </w:r>
            <w:r>
              <w:rPr>
                <w:rFonts w:hint="eastAsia" w:ascii="宋体" w:hAnsi="宋体" w:eastAsia="宋体" w:cs="宋体"/>
                <w:b/>
                <w:bCs/>
                <w:spacing w:val="6"/>
                <w:sz w:val="20"/>
                <w:szCs w:val="20"/>
                <w:lang w:val="en-US" w:eastAsia="zh-CN"/>
              </w:rPr>
              <w:t>执行情况</w:t>
            </w:r>
            <w:r>
              <w:rPr>
                <w:rFonts w:hint="eastAsia" w:ascii="宋体" w:hAnsi="宋体" w:eastAsia="宋体" w:cs="宋体"/>
                <w:b/>
                <w:bCs/>
                <w:spacing w:val="6"/>
                <w:sz w:val="20"/>
                <w:szCs w:val="20"/>
                <w:lang w:val="en-US" w:eastAsia="zh-CN"/>
              </w:rPr>
              <w:br w:type="textWrapping"/>
            </w:r>
            <w:r>
              <w:rPr>
                <w:rFonts w:hint="eastAsia" w:ascii="宋体" w:hAnsi="宋体" w:eastAsia="宋体" w:cs="宋体"/>
                <w:b/>
                <w:bCs/>
                <w:spacing w:val="6"/>
                <w:sz w:val="20"/>
                <w:szCs w:val="20"/>
                <w:lang w:val="en-US" w:eastAsia="zh-CN"/>
              </w:rPr>
              <w:t>（万元）</w:t>
            </w: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预算数：</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cs="宋体"/>
                <w:spacing w:val="6"/>
                <w:sz w:val="20"/>
                <w:szCs w:val="20"/>
                <w:lang w:val="en-US" w:eastAsia="zh-CN"/>
              </w:rPr>
              <w:t>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执行数：</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cs="宋体"/>
                <w:spacing w:val="6"/>
                <w:sz w:val="20"/>
                <w:szCs w:val="20"/>
                <w:lang w:val="en-US" w:eastAsia="zh-CN"/>
              </w:rPr>
              <w:t>0</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其中：财政拨款</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cs="宋体"/>
                <w:spacing w:val="6"/>
                <w:sz w:val="20"/>
                <w:szCs w:val="20"/>
                <w:lang w:val="en-US" w:eastAsia="zh-CN"/>
              </w:rPr>
              <w:t>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其中：财政拨款</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cs="宋体"/>
                <w:spacing w:val="6"/>
                <w:sz w:val="20"/>
                <w:szCs w:val="20"/>
                <w:lang w:val="en-US" w:eastAsia="zh-CN"/>
              </w:rPr>
              <w:t>0</w:t>
            </w:r>
          </w:p>
        </w:tc>
      </w:tr>
      <w:tr>
        <w:tblPrEx>
          <w:tblCellMar>
            <w:top w:w="0" w:type="dxa"/>
            <w:left w:w="0" w:type="dxa"/>
            <w:bottom w:w="0" w:type="dxa"/>
            <w:right w:w="0" w:type="dxa"/>
          </w:tblCellMar>
        </w:tblPrEx>
        <w:trPr>
          <w:trHeight w:val="6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其他资金</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其他资金</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0.0</w:t>
            </w:r>
          </w:p>
        </w:tc>
      </w:tr>
      <w:tr>
        <w:tblPrEx>
          <w:tblCellMar>
            <w:top w:w="0" w:type="dxa"/>
            <w:left w:w="0" w:type="dxa"/>
            <w:bottom w:w="0" w:type="dxa"/>
            <w:right w:w="0" w:type="dxa"/>
          </w:tblCellMar>
        </w:tblPrEx>
        <w:trPr>
          <w:trHeight w:val="396" w:hRule="atLeast"/>
        </w:trPr>
        <w:tc>
          <w:tcPr>
            <w:tcW w:w="7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br w:type="textWrapping"/>
            </w:r>
            <w:r>
              <w:rPr>
                <w:rFonts w:hint="eastAsia" w:ascii="宋体" w:hAnsi="宋体" w:eastAsia="宋体" w:cs="宋体"/>
                <w:b/>
                <w:bCs/>
                <w:spacing w:val="6"/>
                <w:sz w:val="20"/>
                <w:szCs w:val="20"/>
                <w:lang w:val="en-US" w:eastAsia="zh-CN"/>
              </w:rPr>
              <w:t>年度</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总体</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目标</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完成</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情况</w:t>
            </w:r>
          </w:p>
        </w:tc>
        <w:tc>
          <w:tcPr>
            <w:tcW w:w="42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预期目标</w:t>
            </w:r>
          </w:p>
        </w:tc>
        <w:tc>
          <w:tcPr>
            <w:tcW w:w="3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目标实际完成情况</w:t>
            </w:r>
          </w:p>
        </w:tc>
      </w:tr>
      <w:tr>
        <w:tblPrEx>
          <w:tblCellMar>
            <w:top w:w="0" w:type="dxa"/>
            <w:left w:w="0" w:type="dxa"/>
            <w:bottom w:w="0" w:type="dxa"/>
            <w:right w:w="0" w:type="dxa"/>
          </w:tblCellMar>
        </w:tblPrEx>
        <w:trPr>
          <w:trHeight w:val="1374" w:hRule="atLeast"/>
        </w:trPr>
        <w:tc>
          <w:tcPr>
            <w:tcW w:w="7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p>
        </w:tc>
        <w:tc>
          <w:tcPr>
            <w:tcW w:w="42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3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r>
      <w:tr>
        <w:tblPrEx>
          <w:tblCellMar>
            <w:top w:w="0" w:type="dxa"/>
            <w:left w:w="0" w:type="dxa"/>
            <w:bottom w:w="0" w:type="dxa"/>
            <w:right w:w="0" w:type="dxa"/>
          </w:tblCellMar>
        </w:tblPrEx>
        <w:trPr>
          <w:trHeight w:val="629" w:hRule="atLeast"/>
        </w:trPr>
        <w:tc>
          <w:tcPr>
            <w:tcW w:w="722"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年度绩效指标完成情况</w:t>
            </w:r>
          </w:p>
        </w:tc>
        <w:tc>
          <w:tcPr>
            <w:tcW w:w="119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b/>
                <w:bCs/>
                <w:spacing w:val="6"/>
                <w:sz w:val="20"/>
                <w:szCs w:val="20"/>
                <w:lang w:val="en-US" w:eastAsia="zh-CN"/>
              </w:rPr>
              <w:t>一级指标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二级指标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三级指标</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预期指标值</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实际完成指标值</w:t>
            </w:r>
          </w:p>
        </w:tc>
      </w:tr>
      <w:tr>
        <w:tblPrEx>
          <w:tblCellMar>
            <w:top w:w="0" w:type="dxa"/>
            <w:left w:w="0" w:type="dxa"/>
            <w:bottom w:w="0" w:type="dxa"/>
            <w:right w:w="0" w:type="dxa"/>
          </w:tblCellMar>
        </w:tblPrEx>
        <w:trPr>
          <w:trHeight w:val="865"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完</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成</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指</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CellMar>
            <w:top w:w="0" w:type="dxa"/>
            <w:left w:w="0" w:type="dxa"/>
            <w:bottom w:w="0" w:type="dxa"/>
            <w:right w:w="0" w:type="dxa"/>
          </w:tblCellMar>
        </w:tblPrEx>
        <w:trPr>
          <w:trHeight w:val="829"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效</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益</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指</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CellMar>
            <w:top w:w="0" w:type="dxa"/>
            <w:left w:w="0" w:type="dxa"/>
            <w:bottom w:w="0" w:type="dxa"/>
            <w:right w:w="0" w:type="dxa"/>
          </w:tblCellMar>
        </w:tblPrEx>
        <w:trPr>
          <w:trHeight w:val="955"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CellMar>
            <w:top w:w="0" w:type="dxa"/>
            <w:left w:w="0" w:type="dxa"/>
            <w:bottom w:w="0" w:type="dxa"/>
            <w:right w:w="0" w:type="dxa"/>
          </w:tblCellMar>
        </w:tblPrEx>
        <w:trPr>
          <w:trHeight w:val="588"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CellMar>
            <w:top w:w="0" w:type="dxa"/>
            <w:left w:w="0" w:type="dxa"/>
            <w:bottom w:w="0" w:type="dxa"/>
            <w:right w:w="0" w:type="dxa"/>
          </w:tblCellMar>
        </w:tblPrEx>
        <w:trPr>
          <w:trHeight w:val="550"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CellMar>
            <w:top w:w="0" w:type="dxa"/>
            <w:left w:w="0" w:type="dxa"/>
            <w:bottom w:w="0" w:type="dxa"/>
            <w:right w:w="0" w:type="dxa"/>
          </w:tblCellMar>
        </w:tblPrEx>
        <w:trPr>
          <w:trHeight w:val="90"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满意</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度指</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bl>
    <w:p>
      <w:pPr>
        <w:spacing w:line="600" w:lineRule="exact"/>
        <w:outlineLvl w:val="0"/>
        <w:rPr>
          <w:rStyle w:val="30"/>
          <w:rFonts w:ascii="黑体" w:hAnsi="黑体" w:eastAsia="黑体"/>
          <w:b w:val="0"/>
        </w:rPr>
      </w:pPr>
      <w:r>
        <w:rPr>
          <w:rStyle w:val="30"/>
          <w:rFonts w:hint="eastAsia" w:ascii="黑体" w:hAnsi="黑体" w:eastAsia="黑体"/>
          <w:b w:val="0"/>
          <w:lang w:val="en-US" w:eastAsia="zh-CN"/>
        </w:rPr>
        <w:t xml:space="preserve">             </w:t>
      </w:r>
      <w:bookmarkStart w:id="84" w:name="_Toc15396618"/>
      <w:bookmarkStart w:id="85" w:name="_Toc29290"/>
      <w:r>
        <w:rPr>
          <w:rFonts w:hint="eastAsia" w:ascii="黑体" w:hAnsi="黑体" w:eastAsia="黑体"/>
          <w:color w:val="000000"/>
          <w:sz w:val="44"/>
          <w:szCs w:val="44"/>
        </w:rPr>
        <w:t>第</w:t>
      </w:r>
      <w:r>
        <w:rPr>
          <w:rStyle w:val="30"/>
          <w:rFonts w:hint="eastAsia" w:ascii="黑体" w:hAnsi="黑体" w:eastAsia="黑体"/>
          <w:b w:val="0"/>
        </w:rPr>
        <w:t>五部分 附表</w:t>
      </w:r>
      <w:bookmarkEnd w:id="78"/>
      <w:bookmarkEnd w:id="84"/>
      <w:bookmarkEnd w:id="85"/>
    </w:p>
    <w:p>
      <w:pPr>
        <w:pStyle w:val="3"/>
        <w:rPr>
          <w:rFonts w:ascii="仿宋" w:hAnsi="仿宋" w:eastAsia="仿宋"/>
          <w:color w:val="000000"/>
        </w:rPr>
      </w:pPr>
      <w:bookmarkStart w:id="86" w:name="_Toc15396619"/>
      <w:bookmarkStart w:id="87" w:name="_Toc24646"/>
      <w:r>
        <w:rPr>
          <w:rFonts w:hint="eastAsia" w:ascii="仿宋" w:hAnsi="仿宋" w:eastAsia="仿宋"/>
          <w:b w:val="0"/>
          <w:color w:val="000000"/>
        </w:rPr>
        <w:t>一、收</w:t>
      </w:r>
      <w:r>
        <w:rPr>
          <w:rStyle w:val="31"/>
          <w:rFonts w:hint="eastAsia" w:ascii="仿宋" w:hAnsi="仿宋" w:eastAsia="仿宋"/>
          <w:b w:val="0"/>
          <w:bCs w:val="0"/>
        </w:rPr>
        <w:t>入支出决算总表</w:t>
      </w:r>
      <w:bookmarkEnd w:id="86"/>
      <w:bookmarkEnd w:id="87"/>
    </w:p>
    <w:p>
      <w:pPr>
        <w:pStyle w:val="3"/>
        <w:rPr>
          <w:rFonts w:ascii="仿宋" w:hAnsi="仿宋" w:eastAsia="仿宋"/>
          <w:color w:val="000000"/>
        </w:rPr>
      </w:pPr>
      <w:bookmarkStart w:id="88" w:name="_Toc31772"/>
      <w:bookmarkStart w:id="89" w:name="_Toc15396620"/>
      <w:r>
        <w:rPr>
          <w:rFonts w:hint="eastAsia" w:ascii="仿宋" w:hAnsi="仿宋" w:eastAsia="仿宋"/>
          <w:b w:val="0"/>
          <w:color w:val="000000"/>
        </w:rPr>
        <w:t>二、收</w:t>
      </w:r>
      <w:r>
        <w:rPr>
          <w:rStyle w:val="31"/>
          <w:rFonts w:hint="eastAsia" w:ascii="仿宋" w:hAnsi="仿宋" w:eastAsia="仿宋"/>
          <w:b w:val="0"/>
          <w:bCs w:val="0"/>
        </w:rPr>
        <w:t>入决算表</w:t>
      </w:r>
      <w:bookmarkEnd w:id="88"/>
      <w:bookmarkEnd w:id="89"/>
    </w:p>
    <w:p>
      <w:pPr>
        <w:pStyle w:val="3"/>
        <w:rPr>
          <w:rFonts w:ascii="仿宋" w:hAnsi="仿宋" w:eastAsia="仿宋"/>
          <w:color w:val="000000"/>
        </w:rPr>
      </w:pPr>
      <w:bookmarkStart w:id="90" w:name="_Toc4295"/>
      <w:bookmarkStart w:id="91" w:name="_Toc15396621"/>
      <w:r>
        <w:rPr>
          <w:rStyle w:val="31"/>
          <w:rFonts w:hint="eastAsia" w:ascii="仿宋" w:hAnsi="仿宋" w:eastAsia="仿宋"/>
          <w:b w:val="0"/>
          <w:bCs w:val="0"/>
        </w:rPr>
        <w:t>三、</w:t>
      </w:r>
      <w:r>
        <w:rPr>
          <w:rFonts w:hint="eastAsia" w:ascii="仿宋" w:hAnsi="仿宋" w:eastAsia="仿宋"/>
          <w:b w:val="0"/>
          <w:color w:val="000000"/>
        </w:rPr>
        <w:t>支</w:t>
      </w:r>
      <w:r>
        <w:rPr>
          <w:rStyle w:val="31"/>
          <w:rFonts w:hint="eastAsia" w:ascii="仿宋" w:hAnsi="仿宋" w:eastAsia="仿宋"/>
          <w:b w:val="0"/>
          <w:bCs w:val="0"/>
        </w:rPr>
        <w:t>出决算表</w:t>
      </w:r>
      <w:bookmarkEnd w:id="90"/>
      <w:bookmarkEnd w:id="91"/>
    </w:p>
    <w:p>
      <w:pPr>
        <w:pStyle w:val="3"/>
        <w:rPr>
          <w:rFonts w:ascii="仿宋" w:hAnsi="仿宋" w:eastAsia="仿宋"/>
          <w:b w:val="0"/>
          <w:color w:val="000000"/>
        </w:rPr>
      </w:pPr>
      <w:bookmarkStart w:id="92" w:name="_Toc4334"/>
      <w:bookmarkStart w:id="93" w:name="_Toc15396622"/>
      <w:r>
        <w:rPr>
          <w:rStyle w:val="31"/>
          <w:rFonts w:hint="eastAsia" w:ascii="仿宋" w:hAnsi="仿宋" w:eastAsia="仿宋"/>
          <w:b w:val="0"/>
          <w:bCs w:val="0"/>
        </w:rPr>
        <w:t>四、</w:t>
      </w:r>
      <w:r>
        <w:rPr>
          <w:rFonts w:hint="eastAsia" w:ascii="仿宋" w:hAnsi="仿宋" w:eastAsia="仿宋"/>
          <w:b w:val="0"/>
          <w:color w:val="000000"/>
        </w:rPr>
        <w:t>财</w:t>
      </w:r>
      <w:r>
        <w:rPr>
          <w:rStyle w:val="31"/>
          <w:rFonts w:hint="eastAsia" w:ascii="仿宋" w:hAnsi="仿宋" w:eastAsia="仿宋"/>
          <w:b w:val="0"/>
          <w:bCs w:val="0"/>
        </w:rPr>
        <w:t>政拨款收入支出决算总表</w:t>
      </w:r>
      <w:bookmarkEnd w:id="92"/>
      <w:bookmarkEnd w:id="93"/>
    </w:p>
    <w:p>
      <w:pPr>
        <w:pStyle w:val="3"/>
        <w:rPr>
          <w:rStyle w:val="31"/>
          <w:rFonts w:ascii="仿宋" w:hAnsi="仿宋" w:eastAsia="仿宋"/>
          <w:b w:val="0"/>
          <w:bCs w:val="0"/>
        </w:rPr>
      </w:pPr>
      <w:bookmarkStart w:id="94" w:name="_Toc12791"/>
      <w:bookmarkStart w:id="95" w:name="_Toc15396623"/>
      <w:r>
        <w:rPr>
          <w:rStyle w:val="31"/>
          <w:rFonts w:hint="eastAsia" w:ascii="仿宋" w:hAnsi="仿宋" w:eastAsia="仿宋"/>
          <w:b w:val="0"/>
          <w:bCs w:val="0"/>
        </w:rPr>
        <w:t>五、</w:t>
      </w:r>
      <w:r>
        <w:rPr>
          <w:rFonts w:hint="eastAsia" w:ascii="仿宋" w:hAnsi="仿宋" w:eastAsia="仿宋"/>
          <w:b w:val="0"/>
          <w:color w:val="000000"/>
        </w:rPr>
        <w:t>财</w:t>
      </w:r>
      <w:r>
        <w:rPr>
          <w:rStyle w:val="31"/>
          <w:rFonts w:hint="eastAsia" w:ascii="仿宋" w:hAnsi="仿宋" w:eastAsia="仿宋"/>
          <w:b w:val="0"/>
          <w:bCs w:val="0"/>
        </w:rPr>
        <w:t>政拨款支出决算明细表</w:t>
      </w:r>
      <w:bookmarkEnd w:id="94"/>
      <w:bookmarkEnd w:id="95"/>
      <w:bookmarkStart w:id="96" w:name="_Toc15396624"/>
    </w:p>
    <w:p>
      <w:pPr>
        <w:pStyle w:val="3"/>
        <w:rPr>
          <w:rFonts w:ascii="仿宋" w:hAnsi="仿宋" w:eastAsia="仿宋"/>
          <w:color w:val="000000"/>
        </w:rPr>
      </w:pPr>
      <w:bookmarkStart w:id="97" w:name="_Toc5780"/>
      <w:r>
        <w:rPr>
          <w:rStyle w:val="31"/>
          <w:rFonts w:hint="eastAsia" w:ascii="仿宋" w:hAnsi="仿宋" w:eastAsia="仿宋"/>
          <w:b w:val="0"/>
          <w:bCs w:val="0"/>
        </w:rPr>
        <w:t>六、</w:t>
      </w:r>
      <w:r>
        <w:rPr>
          <w:rFonts w:hint="eastAsia" w:ascii="仿宋" w:hAnsi="仿宋" w:eastAsia="仿宋"/>
          <w:b w:val="0"/>
          <w:color w:val="000000"/>
        </w:rPr>
        <w:t>一</w:t>
      </w:r>
      <w:r>
        <w:rPr>
          <w:rStyle w:val="31"/>
          <w:rFonts w:hint="eastAsia" w:ascii="仿宋" w:hAnsi="仿宋" w:eastAsia="仿宋"/>
          <w:b w:val="0"/>
          <w:bCs w:val="0"/>
        </w:rPr>
        <w:t>般公共预算财政拨款支出决算表</w:t>
      </w:r>
      <w:bookmarkEnd w:id="96"/>
      <w:bookmarkEnd w:id="97"/>
    </w:p>
    <w:p>
      <w:pPr>
        <w:pStyle w:val="3"/>
        <w:rPr>
          <w:rFonts w:ascii="仿宋" w:hAnsi="仿宋" w:eastAsia="仿宋"/>
          <w:color w:val="000000"/>
        </w:rPr>
      </w:pPr>
      <w:bookmarkStart w:id="98" w:name="_Toc19716"/>
      <w:bookmarkStart w:id="99" w:name="_Toc15396625"/>
      <w:r>
        <w:rPr>
          <w:rStyle w:val="31"/>
          <w:rFonts w:hint="eastAsia" w:ascii="仿宋" w:hAnsi="仿宋" w:eastAsia="仿宋"/>
          <w:b w:val="0"/>
          <w:bCs w:val="0"/>
        </w:rPr>
        <w:t>七、</w:t>
      </w:r>
      <w:r>
        <w:rPr>
          <w:rFonts w:hint="eastAsia" w:ascii="仿宋" w:hAnsi="仿宋" w:eastAsia="仿宋"/>
          <w:b w:val="0"/>
          <w:color w:val="000000"/>
        </w:rPr>
        <w:t>一</w:t>
      </w:r>
      <w:r>
        <w:rPr>
          <w:rStyle w:val="31"/>
          <w:rFonts w:hint="eastAsia" w:ascii="仿宋" w:hAnsi="仿宋" w:eastAsia="仿宋"/>
          <w:b w:val="0"/>
          <w:bCs w:val="0"/>
        </w:rPr>
        <w:t>般公共预算财政拨款支出决算明细表</w:t>
      </w:r>
      <w:bookmarkEnd w:id="98"/>
      <w:bookmarkEnd w:id="99"/>
    </w:p>
    <w:p>
      <w:pPr>
        <w:pStyle w:val="3"/>
        <w:rPr>
          <w:rFonts w:ascii="仿宋" w:hAnsi="仿宋" w:eastAsia="仿宋"/>
          <w:color w:val="000000"/>
        </w:rPr>
      </w:pPr>
      <w:bookmarkStart w:id="100" w:name="_Toc15396626"/>
      <w:bookmarkStart w:id="101" w:name="_Toc2701"/>
      <w:r>
        <w:rPr>
          <w:rStyle w:val="31"/>
          <w:rFonts w:hint="eastAsia" w:ascii="仿宋" w:hAnsi="仿宋" w:eastAsia="仿宋"/>
          <w:b w:val="0"/>
          <w:bCs w:val="0"/>
        </w:rPr>
        <w:t>八、</w:t>
      </w:r>
      <w:r>
        <w:rPr>
          <w:rFonts w:hint="eastAsia" w:ascii="仿宋" w:hAnsi="仿宋" w:eastAsia="仿宋"/>
          <w:b w:val="0"/>
          <w:color w:val="000000"/>
        </w:rPr>
        <w:t>一</w:t>
      </w:r>
      <w:r>
        <w:rPr>
          <w:rStyle w:val="31"/>
          <w:rFonts w:hint="eastAsia" w:ascii="仿宋" w:hAnsi="仿宋" w:eastAsia="仿宋"/>
          <w:b w:val="0"/>
          <w:bCs w:val="0"/>
        </w:rPr>
        <w:t>般公共预算财政拨款基本支出决算表</w:t>
      </w:r>
      <w:bookmarkEnd w:id="100"/>
      <w:bookmarkEnd w:id="101"/>
    </w:p>
    <w:p>
      <w:pPr>
        <w:pStyle w:val="3"/>
        <w:rPr>
          <w:rFonts w:ascii="仿宋" w:hAnsi="仿宋" w:eastAsia="仿宋"/>
          <w:color w:val="000000"/>
        </w:rPr>
      </w:pPr>
      <w:bookmarkStart w:id="102" w:name="_Toc15396627"/>
      <w:bookmarkStart w:id="103" w:name="_Toc18007"/>
      <w:r>
        <w:rPr>
          <w:rStyle w:val="31"/>
          <w:rFonts w:hint="eastAsia" w:ascii="仿宋" w:hAnsi="仿宋" w:eastAsia="仿宋"/>
          <w:b w:val="0"/>
          <w:bCs w:val="0"/>
        </w:rPr>
        <w:t>九、</w:t>
      </w:r>
      <w:r>
        <w:rPr>
          <w:rFonts w:hint="eastAsia" w:ascii="仿宋" w:hAnsi="仿宋" w:eastAsia="仿宋"/>
          <w:b w:val="0"/>
          <w:color w:val="000000"/>
        </w:rPr>
        <w:t>一</w:t>
      </w:r>
      <w:r>
        <w:rPr>
          <w:rStyle w:val="31"/>
          <w:rFonts w:hint="eastAsia" w:ascii="仿宋" w:hAnsi="仿宋" w:eastAsia="仿宋"/>
          <w:b w:val="0"/>
          <w:bCs w:val="0"/>
        </w:rPr>
        <w:t>般公共预算财政拨款项目支出决算表</w:t>
      </w:r>
      <w:bookmarkEnd w:id="102"/>
      <w:bookmarkEnd w:id="103"/>
    </w:p>
    <w:p>
      <w:pPr>
        <w:pStyle w:val="3"/>
        <w:rPr>
          <w:rFonts w:ascii="仿宋" w:hAnsi="仿宋" w:eastAsia="仿宋"/>
          <w:color w:val="000000"/>
        </w:rPr>
      </w:pPr>
      <w:bookmarkStart w:id="104" w:name="_Toc12537"/>
      <w:bookmarkStart w:id="105" w:name="_Toc15396628"/>
      <w:r>
        <w:rPr>
          <w:rStyle w:val="31"/>
          <w:rFonts w:hint="eastAsia" w:ascii="仿宋" w:hAnsi="仿宋" w:eastAsia="仿宋"/>
          <w:b w:val="0"/>
          <w:bCs w:val="0"/>
        </w:rPr>
        <w:t>十、</w:t>
      </w:r>
      <w:r>
        <w:rPr>
          <w:rFonts w:hint="eastAsia" w:ascii="仿宋" w:hAnsi="仿宋" w:eastAsia="仿宋"/>
          <w:b w:val="0"/>
          <w:color w:val="000000"/>
        </w:rPr>
        <w:t>一</w:t>
      </w:r>
      <w:r>
        <w:rPr>
          <w:rStyle w:val="31"/>
          <w:rFonts w:hint="eastAsia" w:ascii="仿宋" w:hAnsi="仿宋" w:eastAsia="仿宋"/>
          <w:b w:val="0"/>
          <w:bCs w:val="0"/>
        </w:rPr>
        <w:t>般公共预算财政拨款“三公”经费支出决算表</w:t>
      </w:r>
      <w:bookmarkEnd w:id="104"/>
      <w:bookmarkEnd w:id="105"/>
    </w:p>
    <w:p>
      <w:pPr>
        <w:pStyle w:val="3"/>
        <w:rPr>
          <w:rFonts w:ascii="仿宋" w:hAnsi="仿宋" w:eastAsia="仿宋"/>
          <w:color w:val="000000"/>
        </w:rPr>
      </w:pPr>
      <w:bookmarkStart w:id="106" w:name="_Toc15396629"/>
      <w:bookmarkStart w:id="107" w:name="_Toc25986"/>
      <w:r>
        <w:rPr>
          <w:rStyle w:val="31"/>
          <w:rFonts w:hint="eastAsia" w:ascii="仿宋" w:hAnsi="仿宋" w:eastAsia="仿宋"/>
          <w:b w:val="0"/>
          <w:bCs w:val="0"/>
        </w:rPr>
        <w:t>十一、</w:t>
      </w:r>
      <w:r>
        <w:rPr>
          <w:rFonts w:hint="eastAsia" w:ascii="仿宋" w:hAnsi="仿宋" w:eastAsia="仿宋"/>
          <w:b w:val="0"/>
          <w:color w:val="000000"/>
        </w:rPr>
        <w:t>政</w:t>
      </w:r>
      <w:r>
        <w:rPr>
          <w:rStyle w:val="31"/>
          <w:rFonts w:hint="eastAsia" w:ascii="仿宋" w:hAnsi="仿宋" w:eastAsia="仿宋"/>
          <w:b w:val="0"/>
          <w:bCs w:val="0"/>
        </w:rPr>
        <w:t>府性基金预算财政拨款收入支出决算表</w:t>
      </w:r>
      <w:bookmarkEnd w:id="106"/>
      <w:bookmarkEnd w:id="107"/>
    </w:p>
    <w:p>
      <w:pPr>
        <w:pStyle w:val="3"/>
        <w:rPr>
          <w:rFonts w:ascii="仿宋" w:hAnsi="仿宋" w:eastAsia="仿宋"/>
          <w:color w:val="000000"/>
        </w:rPr>
      </w:pPr>
      <w:bookmarkStart w:id="108" w:name="_Toc15396630"/>
      <w:bookmarkStart w:id="109" w:name="_Toc16207"/>
      <w:r>
        <w:rPr>
          <w:rStyle w:val="31"/>
          <w:rFonts w:hint="eastAsia" w:ascii="仿宋" w:hAnsi="仿宋" w:eastAsia="仿宋"/>
          <w:b w:val="0"/>
          <w:bCs w:val="0"/>
        </w:rPr>
        <w:t>十二、</w:t>
      </w:r>
      <w:r>
        <w:rPr>
          <w:rFonts w:hint="eastAsia" w:ascii="仿宋" w:hAnsi="仿宋" w:eastAsia="仿宋"/>
          <w:b w:val="0"/>
          <w:color w:val="000000"/>
        </w:rPr>
        <w:t>政</w:t>
      </w:r>
      <w:r>
        <w:rPr>
          <w:rStyle w:val="31"/>
          <w:rFonts w:hint="eastAsia" w:ascii="仿宋" w:hAnsi="仿宋" w:eastAsia="仿宋"/>
          <w:b w:val="0"/>
          <w:bCs w:val="0"/>
        </w:rPr>
        <w:t>府性基金预算财政拨款“三公”经费支出决算表</w:t>
      </w:r>
      <w:bookmarkEnd w:id="108"/>
      <w:bookmarkEnd w:id="109"/>
    </w:p>
    <w:p>
      <w:pPr>
        <w:pStyle w:val="3"/>
        <w:rPr>
          <w:rStyle w:val="31"/>
          <w:rFonts w:ascii="仿宋" w:hAnsi="仿宋" w:eastAsia="仿宋"/>
          <w:b w:val="0"/>
          <w:bCs w:val="0"/>
        </w:rPr>
      </w:pPr>
      <w:bookmarkStart w:id="110" w:name="_Toc3488"/>
      <w:bookmarkStart w:id="111" w:name="_Toc15396631"/>
      <w:r>
        <w:rPr>
          <w:rStyle w:val="31"/>
          <w:rFonts w:hint="eastAsia" w:ascii="仿宋" w:hAnsi="仿宋" w:eastAsia="仿宋"/>
          <w:b w:val="0"/>
          <w:bCs w:val="0"/>
        </w:rPr>
        <w:t>十三、</w:t>
      </w:r>
      <w:r>
        <w:rPr>
          <w:rFonts w:hint="eastAsia" w:ascii="仿宋" w:hAnsi="仿宋" w:eastAsia="仿宋"/>
          <w:b w:val="0"/>
          <w:color w:val="000000"/>
        </w:rPr>
        <w:t>国有资本经营预算财政拨款收入支出决算表</w:t>
      </w:r>
      <w:bookmarkEnd w:id="110"/>
    </w:p>
    <w:p>
      <w:pPr>
        <w:pStyle w:val="3"/>
        <w:rPr>
          <w:rFonts w:ascii="仿宋" w:hAnsi="仿宋" w:eastAsia="仿宋"/>
          <w:color w:val="000000"/>
        </w:rPr>
      </w:pPr>
      <w:bookmarkStart w:id="112" w:name="_Toc2482"/>
      <w:r>
        <w:rPr>
          <w:rFonts w:hint="eastAsia" w:ascii="仿宋" w:hAnsi="仿宋" w:eastAsia="仿宋"/>
          <w:b w:val="0"/>
          <w:color w:val="000000"/>
        </w:rPr>
        <w:t>十四、国</w:t>
      </w:r>
      <w:r>
        <w:rPr>
          <w:rStyle w:val="31"/>
          <w:rFonts w:hint="eastAsia" w:ascii="仿宋" w:hAnsi="仿宋" w:eastAsia="仿宋"/>
          <w:b w:val="0"/>
          <w:bCs w:val="0"/>
        </w:rPr>
        <w:t>有资本经营预算财政拨款支出决算表</w:t>
      </w:r>
      <w:bookmarkEnd w:id="111"/>
      <w:bookmarkEnd w:id="11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6</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004"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1FFB520"/>
    <w:multiLevelType w:val="singleLevel"/>
    <w:tmpl w:val="41FFB52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zZGEzOGVmYTFmNjQxNGM5MTNiZmYyMjViMzY0ZGYifQ=="/>
  </w:docVars>
  <w:rsids>
    <w:rsidRoot w:val="00F1361C"/>
    <w:rsid w:val="0000450E"/>
    <w:rsid w:val="00010782"/>
    <w:rsid w:val="000222C6"/>
    <w:rsid w:val="0002549F"/>
    <w:rsid w:val="00025868"/>
    <w:rsid w:val="00027742"/>
    <w:rsid w:val="00041C77"/>
    <w:rsid w:val="00044870"/>
    <w:rsid w:val="000468DB"/>
    <w:rsid w:val="0005437E"/>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B7202"/>
    <w:rsid w:val="000C2071"/>
    <w:rsid w:val="000C3467"/>
    <w:rsid w:val="000C3CA6"/>
    <w:rsid w:val="000C6307"/>
    <w:rsid w:val="000C78AF"/>
    <w:rsid w:val="000D1267"/>
    <w:rsid w:val="000D1D50"/>
    <w:rsid w:val="000D5782"/>
    <w:rsid w:val="000E1528"/>
    <w:rsid w:val="000E33D2"/>
    <w:rsid w:val="000E6280"/>
    <w:rsid w:val="000E6613"/>
    <w:rsid w:val="000E7119"/>
    <w:rsid w:val="000F2757"/>
    <w:rsid w:val="000F54D9"/>
    <w:rsid w:val="00114E9B"/>
    <w:rsid w:val="00136AD0"/>
    <w:rsid w:val="00141887"/>
    <w:rsid w:val="00142216"/>
    <w:rsid w:val="00144D6A"/>
    <w:rsid w:val="0014729F"/>
    <w:rsid w:val="001477B2"/>
    <w:rsid w:val="00152A07"/>
    <w:rsid w:val="00157BAB"/>
    <w:rsid w:val="001654D1"/>
    <w:rsid w:val="00174518"/>
    <w:rsid w:val="0018106D"/>
    <w:rsid w:val="00182ECA"/>
    <w:rsid w:val="00185EC0"/>
    <w:rsid w:val="001877A7"/>
    <w:rsid w:val="00191536"/>
    <w:rsid w:val="00195DB1"/>
    <w:rsid w:val="00196687"/>
    <w:rsid w:val="001C0962"/>
    <w:rsid w:val="001C7862"/>
    <w:rsid w:val="001D515A"/>
    <w:rsid w:val="001D7143"/>
    <w:rsid w:val="001D7531"/>
    <w:rsid w:val="001E2902"/>
    <w:rsid w:val="001E32B5"/>
    <w:rsid w:val="001E737D"/>
    <w:rsid w:val="001F04E8"/>
    <w:rsid w:val="001F0592"/>
    <w:rsid w:val="001F7506"/>
    <w:rsid w:val="002006CD"/>
    <w:rsid w:val="0020268A"/>
    <w:rsid w:val="00202B36"/>
    <w:rsid w:val="00203980"/>
    <w:rsid w:val="00203E82"/>
    <w:rsid w:val="0020461F"/>
    <w:rsid w:val="00204B7A"/>
    <w:rsid w:val="00204CDE"/>
    <w:rsid w:val="0021101A"/>
    <w:rsid w:val="00220536"/>
    <w:rsid w:val="00235629"/>
    <w:rsid w:val="002363C0"/>
    <w:rsid w:val="0024690C"/>
    <w:rsid w:val="00260C38"/>
    <w:rsid w:val="002616C0"/>
    <w:rsid w:val="00263065"/>
    <w:rsid w:val="00265372"/>
    <w:rsid w:val="0026541C"/>
    <w:rsid w:val="002662AA"/>
    <w:rsid w:val="0027257C"/>
    <w:rsid w:val="0027359E"/>
    <w:rsid w:val="00280496"/>
    <w:rsid w:val="002809F3"/>
    <w:rsid w:val="0028222F"/>
    <w:rsid w:val="00294DC9"/>
    <w:rsid w:val="00295495"/>
    <w:rsid w:val="00296AEA"/>
    <w:rsid w:val="002A31DE"/>
    <w:rsid w:val="002B1A94"/>
    <w:rsid w:val="002B2613"/>
    <w:rsid w:val="002D2A63"/>
    <w:rsid w:val="002D6D05"/>
    <w:rsid w:val="002E1AB9"/>
    <w:rsid w:val="002F0FF4"/>
    <w:rsid w:val="002F1818"/>
    <w:rsid w:val="002F567B"/>
    <w:rsid w:val="00305D30"/>
    <w:rsid w:val="0030683A"/>
    <w:rsid w:val="00312FDC"/>
    <w:rsid w:val="003216A9"/>
    <w:rsid w:val="0032674D"/>
    <w:rsid w:val="00335A74"/>
    <w:rsid w:val="003369E3"/>
    <w:rsid w:val="00340B2B"/>
    <w:rsid w:val="00344886"/>
    <w:rsid w:val="00346433"/>
    <w:rsid w:val="00350E22"/>
    <w:rsid w:val="00365287"/>
    <w:rsid w:val="0036561B"/>
    <w:rsid w:val="00366633"/>
    <w:rsid w:val="0037013F"/>
    <w:rsid w:val="00377BF7"/>
    <w:rsid w:val="00380C92"/>
    <w:rsid w:val="0038345F"/>
    <w:rsid w:val="00390457"/>
    <w:rsid w:val="0039064C"/>
    <w:rsid w:val="003A3DC5"/>
    <w:rsid w:val="003A484F"/>
    <w:rsid w:val="003A4883"/>
    <w:rsid w:val="003A4B7D"/>
    <w:rsid w:val="003A4E15"/>
    <w:rsid w:val="003B0BE0"/>
    <w:rsid w:val="003B0C1B"/>
    <w:rsid w:val="003B39D8"/>
    <w:rsid w:val="003B688C"/>
    <w:rsid w:val="003C0291"/>
    <w:rsid w:val="003C39AE"/>
    <w:rsid w:val="003C580A"/>
    <w:rsid w:val="003C7B60"/>
    <w:rsid w:val="003D0C0F"/>
    <w:rsid w:val="003D1FB2"/>
    <w:rsid w:val="003D66DA"/>
    <w:rsid w:val="003E1310"/>
    <w:rsid w:val="003E3285"/>
    <w:rsid w:val="003E6F55"/>
    <w:rsid w:val="00406254"/>
    <w:rsid w:val="004223DE"/>
    <w:rsid w:val="00422C6C"/>
    <w:rsid w:val="004255FF"/>
    <w:rsid w:val="004266D1"/>
    <w:rsid w:val="00434489"/>
    <w:rsid w:val="00437085"/>
    <w:rsid w:val="00443880"/>
    <w:rsid w:val="00445B9C"/>
    <w:rsid w:val="004464F4"/>
    <w:rsid w:val="004575B3"/>
    <w:rsid w:val="00464B59"/>
    <w:rsid w:val="00466BD7"/>
    <w:rsid w:val="00471401"/>
    <w:rsid w:val="00473F31"/>
    <w:rsid w:val="00474EEC"/>
    <w:rsid w:val="0048263A"/>
    <w:rsid w:val="00487508"/>
    <w:rsid w:val="00487E5D"/>
    <w:rsid w:val="00487EC8"/>
    <w:rsid w:val="00492798"/>
    <w:rsid w:val="004963B6"/>
    <w:rsid w:val="004A31FE"/>
    <w:rsid w:val="004A711F"/>
    <w:rsid w:val="004B0BE1"/>
    <w:rsid w:val="004B199D"/>
    <w:rsid w:val="004B3C35"/>
    <w:rsid w:val="004B3D92"/>
    <w:rsid w:val="004B4690"/>
    <w:rsid w:val="004B59A5"/>
    <w:rsid w:val="004B7FF4"/>
    <w:rsid w:val="004C67BF"/>
    <w:rsid w:val="004D1F38"/>
    <w:rsid w:val="004E0A2D"/>
    <w:rsid w:val="004E206B"/>
    <w:rsid w:val="004E2B47"/>
    <w:rsid w:val="004E56B2"/>
    <w:rsid w:val="004E670E"/>
    <w:rsid w:val="004E6DF7"/>
    <w:rsid w:val="004F0FBD"/>
    <w:rsid w:val="004F5201"/>
    <w:rsid w:val="00505A47"/>
    <w:rsid w:val="00505C4C"/>
    <w:rsid w:val="00506966"/>
    <w:rsid w:val="005118F7"/>
    <w:rsid w:val="00512FDA"/>
    <w:rsid w:val="00520197"/>
    <w:rsid w:val="00520DA0"/>
    <w:rsid w:val="00521167"/>
    <w:rsid w:val="0052351F"/>
    <w:rsid w:val="005237DF"/>
    <w:rsid w:val="00531A3A"/>
    <w:rsid w:val="00545C4C"/>
    <w:rsid w:val="0055496C"/>
    <w:rsid w:val="00555BD5"/>
    <w:rsid w:val="005602B0"/>
    <w:rsid w:val="00560FC3"/>
    <w:rsid w:val="00562443"/>
    <w:rsid w:val="005664BB"/>
    <w:rsid w:val="00566FFA"/>
    <w:rsid w:val="0057481D"/>
    <w:rsid w:val="00575BC6"/>
    <w:rsid w:val="0058486E"/>
    <w:rsid w:val="00584E09"/>
    <w:rsid w:val="00585B33"/>
    <w:rsid w:val="005863E1"/>
    <w:rsid w:val="0059014D"/>
    <w:rsid w:val="005A18A0"/>
    <w:rsid w:val="005A2063"/>
    <w:rsid w:val="005A304C"/>
    <w:rsid w:val="005A3380"/>
    <w:rsid w:val="005A33F1"/>
    <w:rsid w:val="005A52F5"/>
    <w:rsid w:val="005A7781"/>
    <w:rsid w:val="005B0D92"/>
    <w:rsid w:val="005B1189"/>
    <w:rsid w:val="005B32D8"/>
    <w:rsid w:val="005B5C64"/>
    <w:rsid w:val="005C06ED"/>
    <w:rsid w:val="005C3C71"/>
    <w:rsid w:val="005C4A58"/>
    <w:rsid w:val="005C5337"/>
    <w:rsid w:val="005C5FAA"/>
    <w:rsid w:val="005C6BD0"/>
    <w:rsid w:val="005D1098"/>
    <w:rsid w:val="005D1C8B"/>
    <w:rsid w:val="005D468D"/>
    <w:rsid w:val="005D5713"/>
    <w:rsid w:val="005D5CED"/>
    <w:rsid w:val="005F1A4C"/>
    <w:rsid w:val="005F6585"/>
    <w:rsid w:val="00605688"/>
    <w:rsid w:val="00606102"/>
    <w:rsid w:val="006070AF"/>
    <w:rsid w:val="00607E6C"/>
    <w:rsid w:val="006101B1"/>
    <w:rsid w:val="006135C7"/>
    <w:rsid w:val="00614E44"/>
    <w:rsid w:val="00615C7F"/>
    <w:rsid w:val="0062270A"/>
    <w:rsid w:val="00622830"/>
    <w:rsid w:val="00622CFB"/>
    <w:rsid w:val="00623DA0"/>
    <w:rsid w:val="00626CFA"/>
    <w:rsid w:val="00630AEF"/>
    <w:rsid w:val="006325F8"/>
    <w:rsid w:val="00633463"/>
    <w:rsid w:val="00634C9A"/>
    <w:rsid w:val="006440E4"/>
    <w:rsid w:val="00653E02"/>
    <w:rsid w:val="00655541"/>
    <w:rsid w:val="0066343B"/>
    <w:rsid w:val="00664777"/>
    <w:rsid w:val="006748A4"/>
    <w:rsid w:val="00681A31"/>
    <w:rsid w:val="00683E73"/>
    <w:rsid w:val="0068577C"/>
    <w:rsid w:val="00694D26"/>
    <w:rsid w:val="006A3141"/>
    <w:rsid w:val="006A5E34"/>
    <w:rsid w:val="006B15A2"/>
    <w:rsid w:val="006B2422"/>
    <w:rsid w:val="006B29D7"/>
    <w:rsid w:val="006B2B9A"/>
    <w:rsid w:val="006B53C7"/>
    <w:rsid w:val="006B67A7"/>
    <w:rsid w:val="006C1937"/>
    <w:rsid w:val="006C3DBF"/>
    <w:rsid w:val="006C6E08"/>
    <w:rsid w:val="006D0A17"/>
    <w:rsid w:val="006D0C24"/>
    <w:rsid w:val="006D2C63"/>
    <w:rsid w:val="006E219D"/>
    <w:rsid w:val="006E7754"/>
    <w:rsid w:val="006F020C"/>
    <w:rsid w:val="006F20D5"/>
    <w:rsid w:val="006F4353"/>
    <w:rsid w:val="0070235A"/>
    <w:rsid w:val="007127B7"/>
    <w:rsid w:val="0071572E"/>
    <w:rsid w:val="0071798E"/>
    <w:rsid w:val="00720BC0"/>
    <w:rsid w:val="00731C1F"/>
    <w:rsid w:val="007324E5"/>
    <w:rsid w:val="007416B6"/>
    <w:rsid w:val="00742859"/>
    <w:rsid w:val="00746F48"/>
    <w:rsid w:val="00751040"/>
    <w:rsid w:val="0075288E"/>
    <w:rsid w:val="0075348E"/>
    <w:rsid w:val="0075404D"/>
    <w:rsid w:val="00760F05"/>
    <w:rsid w:val="0076182A"/>
    <w:rsid w:val="00763538"/>
    <w:rsid w:val="00767B7E"/>
    <w:rsid w:val="00770B45"/>
    <w:rsid w:val="007770C3"/>
    <w:rsid w:val="007800A6"/>
    <w:rsid w:val="00782EA8"/>
    <w:rsid w:val="00784D24"/>
    <w:rsid w:val="00785FBA"/>
    <w:rsid w:val="00786E4A"/>
    <w:rsid w:val="007875EB"/>
    <w:rsid w:val="0079426B"/>
    <w:rsid w:val="00794A9C"/>
    <w:rsid w:val="00797BC1"/>
    <w:rsid w:val="007A05CD"/>
    <w:rsid w:val="007A4C34"/>
    <w:rsid w:val="007A52B0"/>
    <w:rsid w:val="007A5DFA"/>
    <w:rsid w:val="007A7F8A"/>
    <w:rsid w:val="007B71F9"/>
    <w:rsid w:val="007C1BCB"/>
    <w:rsid w:val="007D1682"/>
    <w:rsid w:val="007D312A"/>
    <w:rsid w:val="007D3F19"/>
    <w:rsid w:val="007E23B0"/>
    <w:rsid w:val="007E23E5"/>
    <w:rsid w:val="007E5896"/>
    <w:rsid w:val="007E7B87"/>
    <w:rsid w:val="007F019C"/>
    <w:rsid w:val="007F1991"/>
    <w:rsid w:val="007F2C2F"/>
    <w:rsid w:val="007F2F69"/>
    <w:rsid w:val="007F3FA6"/>
    <w:rsid w:val="007F55FC"/>
    <w:rsid w:val="007F5665"/>
    <w:rsid w:val="0080003A"/>
    <w:rsid w:val="00800112"/>
    <w:rsid w:val="008012D6"/>
    <w:rsid w:val="00813348"/>
    <w:rsid w:val="008173AA"/>
    <w:rsid w:val="008211E9"/>
    <w:rsid w:val="00824B30"/>
    <w:rsid w:val="008253BB"/>
    <w:rsid w:val="00833AC1"/>
    <w:rsid w:val="00834784"/>
    <w:rsid w:val="0083706E"/>
    <w:rsid w:val="008408F6"/>
    <w:rsid w:val="008423A5"/>
    <w:rsid w:val="00846C0A"/>
    <w:rsid w:val="00850625"/>
    <w:rsid w:val="00853718"/>
    <w:rsid w:val="00855221"/>
    <w:rsid w:val="00860645"/>
    <w:rsid w:val="008656EE"/>
    <w:rsid w:val="00865ECC"/>
    <w:rsid w:val="008669DF"/>
    <w:rsid w:val="008716BC"/>
    <w:rsid w:val="00871F71"/>
    <w:rsid w:val="00872FD8"/>
    <w:rsid w:val="008772EC"/>
    <w:rsid w:val="00885AF4"/>
    <w:rsid w:val="008939CD"/>
    <w:rsid w:val="008B4237"/>
    <w:rsid w:val="008B768C"/>
    <w:rsid w:val="008C2CC5"/>
    <w:rsid w:val="008C4DB1"/>
    <w:rsid w:val="008C4EAF"/>
    <w:rsid w:val="008C5176"/>
    <w:rsid w:val="008C7FD0"/>
    <w:rsid w:val="008D3882"/>
    <w:rsid w:val="008D4D12"/>
    <w:rsid w:val="008D57CB"/>
    <w:rsid w:val="008E1DE7"/>
    <w:rsid w:val="008E461B"/>
    <w:rsid w:val="008E707C"/>
    <w:rsid w:val="008F52AE"/>
    <w:rsid w:val="00900B08"/>
    <w:rsid w:val="00902155"/>
    <w:rsid w:val="00902FA3"/>
    <w:rsid w:val="00923564"/>
    <w:rsid w:val="0092392E"/>
    <w:rsid w:val="00927ECC"/>
    <w:rsid w:val="009315F9"/>
    <w:rsid w:val="00933499"/>
    <w:rsid w:val="009344F3"/>
    <w:rsid w:val="00935C98"/>
    <w:rsid w:val="00937667"/>
    <w:rsid w:val="00942D78"/>
    <w:rsid w:val="00946945"/>
    <w:rsid w:val="00951248"/>
    <w:rsid w:val="0095152F"/>
    <w:rsid w:val="00954C49"/>
    <w:rsid w:val="00955E37"/>
    <w:rsid w:val="00963636"/>
    <w:rsid w:val="00965BBB"/>
    <w:rsid w:val="00967368"/>
    <w:rsid w:val="0097099F"/>
    <w:rsid w:val="00971997"/>
    <w:rsid w:val="00971FFC"/>
    <w:rsid w:val="0098660A"/>
    <w:rsid w:val="009931C3"/>
    <w:rsid w:val="009B2C43"/>
    <w:rsid w:val="009B4EAE"/>
    <w:rsid w:val="009B7573"/>
    <w:rsid w:val="009C22F4"/>
    <w:rsid w:val="009C2A4B"/>
    <w:rsid w:val="009C2E98"/>
    <w:rsid w:val="009C442B"/>
    <w:rsid w:val="009D3447"/>
    <w:rsid w:val="009D4711"/>
    <w:rsid w:val="009D53DF"/>
    <w:rsid w:val="009D7E49"/>
    <w:rsid w:val="009E0E4A"/>
    <w:rsid w:val="009E353A"/>
    <w:rsid w:val="009E6E9F"/>
    <w:rsid w:val="009F1185"/>
    <w:rsid w:val="009F18CD"/>
    <w:rsid w:val="009F2A13"/>
    <w:rsid w:val="009F7527"/>
    <w:rsid w:val="00A03F26"/>
    <w:rsid w:val="00A04EB0"/>
    <w:rsid w:val="00A0574C"/>
    <w:rsid w:val="00A05EE0"/>
    <w:rsid w:val="00A104D7"/>
    <w:rsid w:val="00A13CC1"/>
    <w:rsid w:val="00A16847"/>
    <w:rsid w:val="00A17CE1"/>
    <w:rsid w:val="00A237D8"/>
    <w:rsid w:val="00A256A0"/>
    <w:rsid w:val="00A268C4"/>
    <w:rsid w:val="00A307CD"/>
    <w:rsid w:val="00A31D85"/>
    <w:rsid w:val="00A3231B"/>
    <w:rsid w:val="00A331C8"/>
    <w:rsid w:val="00A351D2"/>
    <w:rsid w:val="00A40A00"/>
    <w:rsid w:val="00A4142F"/>
    <w:rsid w:val="00A422EB"/>
    <w:rsid w:val="00A424FC"/>
    <w:rsid w:val="00A45BB7"/>
    <w:rsid w:val="00A56DF2"/>
    <w:rsid w:val="00A56E6E"/>
    <w:rsid w:val="00A67AB5"/>
    <w:rsid w:val="00A733B2"/>
    <w:rsid w:val="00A741C2"/>
    <w:rsid w:val="00A84830"/>
    <w:rsid w:val="00A91760"/>
    <w:rsid w:val="00A93B00"/>
    <w:rsid w:val="00A93C21"/>
    <w:rsid w:val="00AB3EDD"/>
    <w:rsid w:val="00AB64C9"/>
    <w:rsid w:val="00AB7A07"/>
    <w:rsid w:val="00AC3C6A"/>
    <w:rsid w:val="00AC467B"/>
    <w:rsid w:val="00AC50C3"/>
    <w:rsid w:val="00AD18AB"/>
    <w:rsid w:val="00AD5620"/>
    <w:rsid w:val="00AD656B"/>
    <w:rsid w:val="00AD7C1B"/>
    <w:rsid w:val="00AE13B3"/>
    <w:rsid w:val="00AE16BA"/>
    <w:rsid w:val="00AE1EBE"/>
    <w:rsid w:val="00AF0CD7"/>
    <w:rsid w:val="00B00C36"/>
    <w:rsid w:val="00B03C9D"/>
    <w:rsid w:val="00B060AE"/>
    <w:rsid w:val="00B070CE"/>
    <w:rsid w:val="00B10517"/>
    <w:rsid w:val="00B14E76"/>
    <w:rsid w:val="00B161B8"/>
    <w:rsid w:val="00B2048C"/>
    <w:rsid w:val="00B223E4"/>
    <w:rsid w:val="00B27739"/>
    <w:rsid w:val="00B310B9"/>
    <w:rsid w:val="00B327DB"/>
    <w:rsid w:val="00B32C41"/>
    <w:rsid w:val="00B33475"/>
    <w:rsid w:val="00B34F00"/>
    <w:rsid w:val="00B35AF7"/>
    <w:rsid w:val="00B35F3F"/>
    <w:rsid w:val="00B36CBB"/>
    <w:rsid w:val="00B401E2"/>
    <w:rsid w:val="00B40469"/>
    <w:rsid w:val="00B425E0"/>
    <w:rsid w:val="00B440AA"/>
    <w:rsid w:val="00B44B70"/>
    <w:rsid w:val="00B456EF"/>
    <w:rsid w:val="00B46FB7"/>
    <w:rsid w:val="00B53C56"/>
    <w:rsid w:val="00B57DAF"/>
    <w:rsid w:val="00B61E09"/>
    <w:rsid w:val="00B63522"/>
    <w:rsid w:val="00B6680C"/>
    <w:rsid w:val="00B767C2"/>
    <w:rsid w:val="00B77EA6"/>
    <w:rsid w:val="00B80F61"/>
    <w:rsid w:val="00B81598"/>
    <w:rsid w:val="00B841F1"/>
    <w:rsid w:val="00B9301E"/>
    <w:rsid w:val="00B93E6C"/>
    <w:rsid w:val="00B944D6"/>
    <w:rsid w:val="00BA4FEB"/>
    <w:rsid w:val="00BA5897"/>
    <w:rsid w:val="00BB0B7B"/>
    <w:rsid w:val="00BB4DF0"/>
    <w:rsid w:val="00BB7919"/>
    <w:rsid w:val="00BC289F"/>
    <w:rsid w:val="00BC2D50"/>
    <w:rsid w:val="00BC31E5"/>
    <w:rsid w:val="00BC346B"/>
    <w:rsid w:val="00BC5361"/>
    <w:rsid w:val="00BC5460"/>
    <w:rsid w:val="00BC6B50"/>
    <w:rsid w:val="00BD0E25"/>
    <w:rsid w:val="00BD1E5A"/>
    <w:rsid w:val="00BD2484"/>
    <w:rsid w:val="00BD717A"/>
    <w:rsid w:val="00BF33AC"/>
    <w:rsid w:val="00BF5BD6"/>
    <w:rsid w:val="00C03134"/>
    <w:rsid w:val="00C03E31"/>
    <w:rsid w:val="00C33E72"/>
    <w:rsid w:val="00C354B2"/>
    <w:rsid w:val="00C35554"/>
    <w:rsid w:val="00C41434"/>
    <w:rsid w:val="00C42709"/>
    <w:rsid w:val="00C45695"/>
    <w:rsid w:val="00C5116F"/>
    <w:rsid w:val="00C533CC"/>
    <w:rsid w:val="00C54659"/>
    <w:rsid w:val="00C5751C"/>
    <w:rsid w:val="00C61BFC"/>
    <w:rsid w:val="00C62B85"/>
    <w:rsid w:val="00C65438"/>
    <w:rsid w:val="00C65E59"/>
    <w:rsid w:val="00C7570C"/>
    <w:rsid w:val="00C816BF"/>
    <w:rsid w:val="00C87FD8"/>
    <w:rsid w:val="00C91381"/>
    <w:rsid w:val="00C91CBB"/>
    <w:rsid w:val="00C96F5B"/>
    <w:rsid w:val="00C97129"/>
    <w:rsid w:val="00CA0319"/>
    <w:rsid w:val="00CA7C59"/>
    <w:rsid w:val="00CB49EB"/>
    <w:rsid w:val="00CB4E70"/>
    <w:rsid w:val="00CC087F"/>
    <w:rsid w:val="00CC09B6"/>
    <w:rsid w:val="00CC666F"/>
    <w:rsid w:val="00CD1E3F"/>
    <w:rsid w:val="00CE1F5E"/>
    <w:rsid w:val="00CE3EB4"/>
    <w:rsid w:val="00CE44F6"/>
    <w:rsid w:val="00CE49DA"/>
    <w:rsid w:val="00CE7B61"/>
    <w:rsid w:val="00CF2EF2"/>
    <w:rsid w:val="00D00095"/>
    <w:rsid w:val="00D114F0"/>
    <w:rsid w:val="00D20620"/>
    <w:rsid w:val="00D21D89"/>
    <w:rsid w:val="00D254F7"/>
    <w:rsid w:val="00D26091"/>
    <w:rsid w:val="00D2685C"/>
    <w:rsid w:val="00D27AFB"/>
    <w:rsid w:val="00D34E7C"/>
    <w:rsid w:val="00D35489"/>
    <w:rsid w:val="00D36AFE"/>
    <w:rsid w:val="00D44E2C"/>
    <w:rsid w:val="00D460EF"/>
    <w:rsid w:val="00D51276"/>
    <w:rsid w:val="00D54E33"/>
    <w:rsid w:val="00D7035F"/>
    <w:rsid w:val="00D7725C"/>
    <w:rsid w:val="00D870A2"/>
    <w:rsid w:val="00DA634F"/>
    <w:rsid w:val="00DA65AC"/>
    <w:rsid w:val="00DA6C7D"/>
    <w:rsid w:val="00DB0D04"/>
    <w:rsid w:val="00DB1913"/>
    <w:rsid w:val="00DB429C"/>
    <w:rsid w:val="00DC410D"/>
    <w:rsid w:val="00DC5A81"/>
    <w:rsid w:val="00DC5AA3"/>
    <w:rsid w:val="00DC68CA"/>
    <w:rsid w:val="00DC7CBA"/>
    <w:rsid w:val="00DD30E2"/>
    <w:rsid w:val="00DD73B7"/>
    <w:rsid w:val="00DE1CB6"/>
    <w:rsid w:val="00DE3465"/>
    <w:rsid w:val="00DE3944"/>
    <w:rsid w:val="00DE3D15"/>
    <w:rsid w:val="00DE5D2F"/>
    <w:rsid w:val="00DF28BC"/>
    <w:rsid w:val="00DF34B9"/>
    <w:rsid w:val="00DF5D9F"/>
    <w:rsid w:val="00E01053"/>
    <w:rsid w:val="00E07ACF"/>
    <w:rsid w:val="00E13B1A"/>
    <w:rsid w:val="00E331A1"/>
    <w:rsid w:val="00E33202"/>
    <w:rsid w:val="00E336A9"/>
    <w:rsid w:val="00E40E7E"/>
    <w:rsid w:val="00E423A5"/>
    <w:rsid w:val="00E472B1"/>
    <w:rsid w:val="00E50624"/>
    <w:rsid w:val="00E562F6"/>
    <w:rsid w:val="00E568DF"/>
    <w:rsid w:val="00E61D79"/>
    <w:rsid w:val="00E64269"/>
    <w:rsid w:val="00E752D7"/>
    <w:rsid w:val="00E82267"/>
    <w:rsid w:val="00E853CE"/>
    <w:rsid w:val="00E85B56"/>
    <w:rsid w:val="00E867B6"/>
    <w:rsid w:val="00E86ED6"/>
    <w:rsid w:val="00E92056"/>
    <w:rsid w:val="00EA010F"/>
    <w:rsid w:val="00EB3D8C"/>
    <w:rsid w:val="00EB3ED0"/>
    <w:rsid w:val="00EB6D7F"/>
    <w:rsid w:val="00EC4BFD"/>
    <w:rsid w:val="00ED0BC1"/>
    <w:rsid w:val="00ED1B63"/>
    <w:rsid w:val="00ED3C1F"/>
    <w:rsid w:val="00ED4085"/>
    <w:rsid w:val="00ED420E"/>
    <w:rsid w:val="00ED6FBE"/>
    <w:rsid w:val="00EE1B6B"/>
    <w:rsid w:val="00EE24BB"/>
    <w:rsid w:val="00EE2F57"/>
    <w:rsid w:val="00EF26A8"/>
    <w:rsid w:val="00EF2786"/>
    <w:rsid w:val="00EF3AC1"/>
    <w:rsid w:val="00EF4C34"/>
    <w:rsid w:val="00EF77C6"/>
    <w:rsid w:val="00F01F54"/>
    <w:rsid w:val="00F05438"/>
    <w:rsid w:val="00F1361C"/>
    <w:rsid w:val="00F156F0"/>
    <w:rsid w:val="00F160C7"/>
    <w:rsid w:val="00F2408F"/>
    <w:rsid w:val="00F240E9"/>
    <w:rsid w:val="00F31194"/>
    <w:rsid w:val="00F33BAE"/>
    <w:rsid w:val="00F36D8F"/>
    <w:rsid w:val="00F417B1"/>
    <w:rsid w:val="00F45853"/>
    <w:rsid w:val="00F45928"/>
    <w:rsid w:val="00F45B77"/>
    <w:rsid w:val="00F5208F"/>
    <w:rsid w:val="00F56840"/>
    <w:rsid w:val="00F602DF"/>
    <w:rsid w:val="00F6685E"/>
    <w:rsid w:val="00F754A1"/>
    <w:rsid w:val="00F810D1"/>
    <w:rsid w:val="00F81FD9"/>
    <w:rsid w:val="00F8367F"/>
    <w:rsid w:val="00F841AA"/>
    <w:rsid w:val="00F84A94"/>
    <w:rsid w:val="00F84E7B"/>
    <w:rsid w:val="00F87E96"/>
    <w:rsid w:val="00F928F3"/>
    <w:rsid w:val="00FA23E8"/>
    <w:rsid w:val="00FC5EAA"/>
    <w:rsid w:val="00FC7C89"/>
    <w:rsid w:val="00FD3CC1"/>
    <w:rsid w:val="00FD7009"/>
    <w:rsid w:val="00FD748C"/>
    <w:rsid w:val="00FD74C3"/>
    <w:rsid w:val="00FE42EA"/>
    <w:rsid w:val="00FE55CE"/>
    <w:rsid w:val="00FE6D37"/>
    <w:rsid w:val="00FF1E02"/>
    <w:rsid w:val="00FF30B4"/>
    <w:rsid w:val="0A2032A3"/>
    <w:rsid w:val="0A92038C"/>
    <w:rsid w:val="0E455645"/>
    <w:rsid w:val="107F1A10"/>
    <w:rsid w:val="10C055FF"/>
    <w:rsid w:val="110D2321"/>
    <w:rsid w:val="118107EC"/>
    <w:rsid w:val="16A36D13"/>
    <w:rsid w:val="16BB723D"/>
    <w:rsid w:val="1762439D"/>
    <w:rsid w:val="1C9943D1"/>
    <w:rsid w:val="1CD26311"/>
    <w:rsid w:val="1D155CEE"/>
    <w:rsid w:val="1D572400"/>
    <w:rsid w:val="1EAE09F3"/>
    <w:rsid w:val="21F041A5"/>
    <w:rsid w:val="23D43269"/>
    <w:rsid w:val="240371BF"/>
    <w:rsid w:val="24CA7C09"/>
    <w:rsid w:val="257F478D"/>
    <w:rsid w:val="28FF3B6C"/>
    <w:rsid w:val="29FD04D3"/>
    <w:rsid w:val="2ED3590C"/>
    <w:rsid w:val="2F220DA6"/>
    <w:rsid w:val="319F7F4E"/>
    <w:rsid w:val="372D0A42"/>
    <w:rsid w:val="374B4A55"/>
    <w:rsid w:val="3D065BAF"/>
    <w:rsid w:val="42BE177B"/>
    <w:rsid w:val="43E1775F"/>
    <w:rsid w:val="461F5BAF"/>
    <w:rsid w:val="488364F8"/>
    <w:rsid w:val="4B2458F4"/>
    <w:rsid w:val="4E342065"/>
    <w:rsid w:val="4ECE2238"/>
    <w:rsid w:val="521358F4"/>
    <w:rsid w:val="57D11971"/>
    <w:rsid w:val="593E38E4"/>
    <w:rsid w:val="5AEA760A"/>
    <w:rsid w:val="5C4035E0"/>
    <w:rsid w:val="5CA14646"/>
    <w:rsid w:val="5FCC4DDE"/>
    <w:rsid w:val="605B455E"/>
    <w:rsid w:val="60713EB7"/>
    <w:rsid w:val="631E4207"/>
    <w:rsid w:val="63925C9C"/>
    <w:rsid w:val="6C4A05C8"/>
    <w:rsid w:val="6D435C50"/>
    <w:rsid w:val="71631F89"/>
    <w:rsid w:val="72734D90"/>
    <w:rsid w:val="73C652F0"/>
    <w:rsid w:val="754E52B9"/>
    <w:rsid w:val="78DE08F5"/>
    <w:rsid w:val="79ED29DD"/>
    <w:rsid w:val="7E5A40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Calibri" w:hAnsi="Calibri"/>
      <w:sz w:val="18"/>
      <w:szCs w:val="18"/>
    </w:rPr>
  </w:style>
  <w:style w:type="paragraph" w:styleId="6">
    <w:name w:val="Body Text"/>
    <w:basedOn w:val="1"/>
    <w:link w:val="27"/>
    <w:qFormat/>
    <w:uiPriority w:val="99"/>
    <w:pPr>
      <w:spacing w:beforeLines="30"/>
    </w:pPr>
    <w:rPr>
      <w:rFonts w:ascii="仿宋_GB2312" w:eastAsia="仿宋_GB2312"/>
      <w:kern w:val="0"/>
      <w:sz w:val="24"/>
      <w:szCs w:val="20"/>
    </w:rPr>
  </w:style>
  <w:style w:type="paragraph" w:styleId="7">
    <w:name w:val="toc 5"/>
    <w:basedOn w:val="1"/>
    <w:next w:val="1"/>
    <w:unhideWhenUsed/>
    <w:qFormat/>
    <w:uiPriority w:val="39"/>
    <w:pPr>
      <w:ind w:left="840"/>
      <w:jc w:val="left"/>
    </w:pPr>
    <w:rPr>
      <w:rFonts w:ascii="Calibri" w:hAnsi="Calibri"/>
      <w:sz w:val="18"/>
      <w:szCs w:val="18"/>
    </w:rPr>
  </w:style>
  <w:style w:type="paragraph" w:styleId="8">
    <w:name w:val="toc 3"/>
    <w:basedOn w:val="1"/>
    <w:next w:val="1"/>
    <w:unhideWhenUsed/>
    <w:qFormat/>
    <w:uiPriority w:val="39"/>
    <w:pPr>
      <w:ind w:left="420"/>
      <w:jc w:val="left"/>
    </w:pPr>
    <w:rPr>
      <w:rFonts w:ascii="Calibri" w:hAnsi="Calibri"/>
      <w:i/>
      <w:iCs/>
      <w:sz w:val="20"/>
      <w:szCs w:val="20"/>
    </w:rPr>
  </w:style>
  <w:style w:type="paragraph" w:styleId="9">
    <w:name w:val="toc 8"/>
    <w:basedOn w:val="1"/>
    <w:next w:val="1"/>
    <w:unhideWhenUsed/>
    <w:qFormat/>
    <w:uiPriority w:val="39"/>
    <w:pPr>
      <w:ind w:left="1470"/>
      <w:jc w:val="left"/>
    </w:pPr>
    <w:rPr>
      <w:rFonts w:ascii="Calibri" w:hAnsi="Calibri"/>
      <w:sz w:val="18"/>
      <w:szCs w:val="18"/>
    </w:r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3">
    <w:name w:val="toc 1"/>
    <w:basedOn w:val="1"/>
    <w:next w:val="1"/>
    <w:unhideWhenUsed/>
    <w:qFormat/>
    <w:uiPriority w:val="39"/>
    <w:pPr>
      <w:spacing w:before="120" w:after="120"/>
      <w:jc w:val="left"/>
    </w:pPr>
    <w:rPr>
      <w:rFonts w:ascii="Calibri" w:hAnsi="Calibri"/>
      <w:b/>
      <w:bCs/>
      <w:caps/>
      <w:sz w:val="20"/>
      <w:szCs w:val="20"/>
    </w:rPr>
  </w:style>
  <w:style w:type="paragraph" w:styleId="14">
    <w:name w:val="toc 4"/>
    <w:basedOn w:val="1"/>
    <w:next w:val="1"/>
    <w:unhideWhenUsed/>
    <w:qFormat/>
    <w:uiPriority w:val="39"/>
    <w:pPr>
      <w:ind w:left="630"/>
      <w:jc w:val="left"/>
    </w:pPr>
    <w:rPr>
      <w:rFonts w:ascii="Calibri" w:hAnsi="Calibri"/>
      <w:sz w:val="18"/>
      <w:szCs w:val="18"/>
    </w:rPr>
  </w:style>
  <w:style w:type="paragraph" w:styleId="15">
    <w:name w:val="toc 6"/>
    <w:basedOn w:val="1"/>
    <w:next w:val="1"/>
    <w:unhideWhenUsed/>
    <w:qFormat/>
    <w:uiPriority w:val="39"/>
    <w:pPr>
      <w:ind w:left="1050"/>
      <w:jc w:val="left"/>
    </w:pPr>
    <w:rPr>
      <w:rFonts w:ascii="Calibri" w:hAnsi="Calibri"/>
      <w:sz w:val="18"/>
      <w:szCs w:val="18"/>
    </w:rPr>
  </w:style>
  <w:style w:type="paragraph" w:styleId="16">
    <w:name w:val="toc 2"/>
    <w:basedOn w:val="1"/>
    <w:next w:val="1"/>
    <w:unhideWhenUsed/>
    <w:qFormat/>
    <w:uiPriority w:val="39"/>
    <w:pPr>
      <w:ind w:left="210"/>
      <w:jc w:val="left"/>
    </w:pPr>
    <w:rPr>
      <w:rFonts w:ascii="Calibri" w:hAnsi="Calibri"/>
      <w:smallCaps/>
      <w:sz w:val="20"/>
      <w:szCs w:val="20"/>
    </w:rPr>
  </w:style>
  <w:style w:type="paragraph" w:styleId="17">
    <w:name w:val="toc 9"/>
    <w:basedOn w:val="1"/>
    <w:next w:val="1"/>
    <w:unhideWhenUsed/>
    <w:qFormat/>
    <w:uiPriority w:val="39"/>
    <w:pPr>
      <w:ind w:left="1680"/>
      <w:jc w:val="left"/>
    </w:pPr>
    <w:rPr>
      <w:rFonts w:ascii="Calibri" w:hAnsi="Calibri"/>
      <w:sz w:val="18"/>
      <w:szCs w:val="18"/>
    </w:rPr>
  </w:style>
  <w:style w:type="character" w:styleId="20">
    <w:name w:val="Strong"/>
    <w:qFormat/>
    <w:uiPriority w:val="99"/>
    <w:rPr>
      <w:b/>
    </w:rPr>
  </w:style>
  <w:style w:type="character" w:styleId="21">
    <w:name w:val="Hyperlink"/>
    <w:unhideWhenUsed/>
    <w:qFormat/>
    <w:uiPriority w:val="99"/>
    <w:rPr>
      <w:color w:val="0000FF"/>
      <w:u w:val="single"/>
    </w:rPr>
  </w:style>
  <w:style w:type="character" w:customStyle="1" w:styleId="22">
    <w:name w:val="Header Char"/>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semiHidden/>
    <w:qFormat/>
    <w:uiPriority w:val="99"/>
    <w:rPr>
      <w:rFonts w:ascii="Times New Roman" w:hAnsi="Times New Roman"/>
      <w:szCs w:val="24"/>
    </w:rPr>
  </w:style>
  <w:style w:type="character" w:customStyle="1" w:styleId="27">
    <w:name w:val="正文文本 Char"/>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link w:val="2"/>
    <w:qFormat/>
    <w:uiPriority w:val="9"/>
    <w:rPr>
      <w:rFonts w:ascii="Times New Roman" w:hAnsi="Times New Roman"/>
      <w:b/>
      <w:bCs/>
      <w:kern w:val="44"/>
      <w:sz w:val="44"/>
      <w:szCs w:val="44"/>
    </w:rPr>
  </w:style>
  <w:style w:type="character" w:customStyle="1" w:styleId="31">
    <w:name w:val="标题 2 Char"/>
    <w:link w:val="3"/>
    <w:qFormat/>
    <w:uiPriority w:val="9"/>
    <w:rPr>
      <w:rFonts w:ascii="Cambria" w:hAnsi="Cambria" w:eastAsia="宋体" w:cs="Times New Roman"/>
      <w:b/>
      <w:bCs/>
      <w:kern w:val="2"/>
      <w:sz w:val="32"/>
      <w:szCs w:val="32"/>
    </w:rPr>
  </w:style>
  <w:style w:type="paragraph" w:customStyle="1" w:styleId="32">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3">
    <w:name w:val="批注框文本 Char"/>
    <w:link w:val="10"/>
    <w:semiHidden/>
    <w:qFormat/>
    <w:uiPriority w:val="99"/>
    <w:rPr>
      <w:rFonts w:ascii="Times New Roman" w:hAnsi="Times New Roman"/>
      <w:kern w:val="2"/>
      <w:sz w:val="18"/>
      <w:szCs w:val="18"/>
    </w:rPr>
  </w:style>
  <w:style w:type="character" w:customStyle="1" w:styleId="34">
    <w:name w:val="标题 3 Char"/>
    <w:link w:val="4"/>
    <w:qFormat/>
    <w:uiPriority w:val="9"/>
    <w:rPr>
      <w:rFonts w:ascii="Times New Roman" w:hAnsi="Times New Roman"/>
      <w:b/>
      <w:bCs/>
      <w:kern w:val="2"/>
      <w:sz w:val="32"/>
      <w:szCs w:val="32"/>
    </w:rPr>
  </w:style>
  <w:style w:type="paragraph" w:customStyle="1" w:styleId="35">
    <w:name w:val="TOC 标题2"/>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6">
    <w:name w:val="TOC 标题3"/>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Workbook2.xls"/><Relationship Id="rId7" Type="http://schemas.openxmlformats.org/officeDocument/2006/relationships/image" Target="media/image1.emf"/><Relationship Id="rId6" Type="http://schemas.openxmlformats.org/officeDocument/2006/relationships/oleObject" Target="embeddings/Workbook1.xls"/><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emf"/><Relationship Id="rId13" Type="http://schemas.openxmlformats.org/officeDocument/2006/relationships/oleObject" Target="embeddings/Workbook4.xls"/><Relationship Id="rId12" Type="http://schemas.openxmlformats.org/officeDocument/2006/relationships/image" Target="media/image4.png"/><Relationship Id="rId11" Type="http://schemas.openxmlformats.org/officeDocument/2006/relationships/image" Target="media/image3.emf"/><Relationship Id="rId10" Type="http://schemas.openxmlformats.org/officeDocument/2006/relationships/oleObject" Target="embeddings/Workbook3.xls"/><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Info spid="_x0000_s1041"/>
    <customShpInfo spid="_x0000_s1042"/>
    <customShpInfo spid="_x0000_s1043"/>
    <customShpInfo spid="_x0000_s1044"/>
    <customShpInfo spid="_x0000_s1045"/>
    <customShpInfo spid="_x0000_s104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B691D-5E5B-4D4E-B3CA-B7EC201E592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10162</Words>
  <Characters>10971</Characters>
  <Lines>24</Lines>
  <Paragraphs>25</Paragraphs>
  <TotalTime>2</TotalTime>
  <ScaleCrop>false</ScaleCrop>
  <LinksUpToDate>false</LinksUpToDate>
  <CharactersWithSpaces>11053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2022-08-05T10:12:00Z</dcterms:created>
  <dc:creator>Administrator</dc:creator>
  <cp:lastModifiedBy>Administrator</cp:lastModifiedBy>
  <cp:lastPrinted>2022-08-05T10:02:00Z</cp:lastPrinted>
  <dcterms:modified xsi:type="dcterms:W3CDTF">2023-09-17T00:22:02Z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331F50D191B047429280CA47D87837A7</vt:lpwstr>
  </property>
</Properties>
</file>