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bidi w:val="0"/>
        <w:spacing w:beforeLines="0" w:afterLines="0" w:line="360" w:lineRule="auto"/>
        <w:jc w:val="center"/>
        <w:rPr>
          <w:rFonts w:hint="eastAsia" w:ascii="方正小标宋简体" w:hAnsi="方正小标宋简体" w:eastAsia="方正小标宋简体"/>
          <w:kern w:val="2"/>
          <w:sz w:val="72"/>
          <w:szCs w:val="24"/>
          <w:lang w:val="zh-CN"/>
        </w:rPr>
      </w:pPr>
    </w:p>
    <w:p>
      <w:pPr>
        <w:keepNext w:val="0"/>
        <w:keepLines w:val="0"/>
        <w:pageBreakBefore w:val="0"/>
        <w:widowControl w:val="0"/>
        <w:kinsoku/>
        <w:wordWrap/>
        <w:overflowPunct/>
        <w:topLinePunct w:val="0"/>
        <w:bidi w:val="0"/>
        <w:spacing w:beforeLines="0" w:afterLines="0" w:line="360" w:lineRule="auto"/>
        <w:jc w:val="center"/>
        <w:rPr>
          <w:rFonts w:hint="eastAsia" w:ascii="方正小标宋简体" w:hAnsi="方正小标宋简体" w:eastAsia="方正小标宋简体"/>
          <w:kern w:val="2"/>
          <w:sz w:val="72"/>
          <w:szCs w:val="24"/>
          <w:lang w:val="zh-CN"/>
        </w:rPr>
      </w:pPr>
    </w:p>
    <w:p>
      <w:pPr>
        <w:keepNext w:val="0"/>
        <w:keepLines w:val="0"/>
        <w:pageBreakBefore w:val="0"/>
        <w:widowControl w:val="0"/>
        <w:kinsoku/>
        <w:wordWrap/>
        <w:overflowPunct/>
        <w:topLinePunct w:val="0"/>
        <w:bidi w:val="0"/>
        <w:spacing w:beforeLines="0" w:afterLines="0" w:line="360" w:lineRule="auto"/>
        <w:jc w:val="center"/>
        <w:rPr>
          <w:rFonts w:hint="eastAsia" w:ascii="方正小标宋简体" w:hAnsi="方正小标宋简体" w:eastAsia="方正小标宋简体"/>
          <w:kern w:val="2"/>
          <w:sz w:val="72"/>
          <w:szCs w:val="24"/>
          <w:lang w:val="zh-CN"/>
        </w:rPr>
      </w:pPr>
    </w:p>
    <w:p>
      <w:pPr>
        <w:keepNext w:val="0"/>
        <w:keepLines w:val="0"/>
        <w:pageBreakBefore w:val="0"/>
        <w:widowControl w:val="0"/>
        <w:kinsoku/>
        <w:wordWrap/>
        <w:overflowPunct/>
        <w:topLinePunct w:val="0"/>
        <w:bidi w:val="0"/>
        <w:spacing w:beforeLines="0" w:afterLines="0"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2022年度</w:t>
      </w:r>
    </w:p>
    <w:p>
      <w:pPr>
        <w:keepNext w:val="0"/>
        <w:keepLines w:val="0"/>
        <w:pageBreakBefore w:val="0"/>
        <w:widowControl w:val="0"/>
        <w:kinsoku/>
        <w:wordWrap/>
        <w:overflowPunct/>
        <w:topLinePunct w:val="0"/>
        <w:bidi w:val="0"/>
        <w:spacing w:beforeLines="0" w:afterLines="0" w:line="360" w:lineRule="auto"/>
        <w:jc w:val="center"/>
        <w:outlineLvl w:val="0"/>
        <w:rPr>
          <w:rFonts w:hint="eastAsia" w:ascii="黑体" w:hAnsi="黑体" w:eastAsia="方正小标宋简体"/>
          <w:b/>
          <w:color w:val="FF0000"/>
          <w:kern w:val="2"/>
          <w:sz w:val="48"/>
          <w:szCs w:val="24"/>
          <w:lang w:val="en-US" w:eastAsia="zh-CN"/>
        </w:rPr>
      </w:pPr>
      <w:bookmarkStart w:id="0" w:name="_Toc25269"/>
      <w:bookmarkStart w:id="1" w:name="_Toc20878"/>
      <w:r>
        <w:rPr>
          <w:rFonts w:hint="eastAsia" w:ascii="方正小标宋简体" w:hAnsi="方正小标宋简体" w:eastAsia="方正小标宋简体"/>
          <w:kern w:val="2"/>
          <w:sz w:val="72"/>
          <w:szCs w:val="24"/>
          <w:lang w:val="zh-CN"/>
        </w:rPr>
        <w:t>广安市应急管理局</w:t>
      </w:r>
      <w:r>
        <w:rPr>
          <w:rFonts w:hint="eastAsia" w:ascii="方正小标宋简体" w:hAnsi="方正小标宋简体" w:eastAsia="方正小标宋简体"/>
          <w:kern w:val="2"/>
          <w:sz w:val="72"/>
          <w:szCs w:val="24"/>
          <w:lang w:val="en-US" w:eastAsia="zh-CN"/>
        </w:rPr>
        <w:t>部门</w:t>
      </w:r>
      <w:r>
        <w:rPr>
          <w:rFonts w:hint="eastAsia" w:ascii="方正小标宋简体" w:hAnsi="方正小标宋简体" w:eastAsia="方正小标宋简体"/>
          <w:kern w:val="2"/>
          <w:sz w:val="72"/>
          <w:szCs w:val="24"/>
          <w:lang w:val="zh-CN"/>
        </w:rPr>
        <w:t>决算</w:t>
      </w:r>
      <w:r>
        <w:rPr>
          <w:rFonts w:hint="eastAsia" w:ascii="方正小标宋简体" w:hAnsi="方正小标宋简体" w:eastAsia="方正小标宋简体"/>
          <w:kern w:val="2"/>
          <w:sz w:val="72"/>
          <w:szCs w:val="24"/>
          <w:lang w:val="en-US" w:eastAsia="zh-CN"/>
        </w:rPr>
        <w:t>编制说明</w:t>
      </w:r>
      <w:bookmarkEnd w:id="0"/>
      <w:bookmarkEnd w:id="1"/>
    </w:p>
    <w:p>
      <w:pPr>
        <w:keepNext w:val="0"/>
        <w:keepLines w:val="0"/>
        <w:pageBreakBefore w:val="0"/>
        <w:widowControl w:val="0"/>
        <w:kinsoku/>
        <w:wordWrap/>
        <w:overflowPunct/>
        <w:topLinePunct w:val="0"/>
        <w:bidi w:val="0"/>
        <w:spacing w:beforeLines="0" w:afterLines="0"/>
        <w:jc w:val="center"/>
        <w:rPr>
          <w:rFonts w:hint="eastAsia" w:ascii="黑体" w:hAnsi="黑体" w:eastAsia="黑体"/>
          <w:color w:val="auto"/>
          <w:kern w:val="2"/>
          <w:sz w:val="48"/>
          <w:szCs w:val="24"/>
          <w:lang w:val="zh-CN"/>
        </w:rPr>
      </w:pPr>
    </w:p>
    <w:p>
      <w:pPr>
        <w:keepNext w:val="0"/>
        <w:keepLines w:val="0"/>
        <w:pageBreakBefore w:val="0"/>
        <w:widowControl w:val="0"/>
        <w:kinsoku/>
        <w:wordWrap/>
        <w:overflowPunct/>
        <w:topLinePunct w:val="0"/>
        <w:bidi w:val="0"/>
        <w:spacing w:beforeLines="0" w:afterLines="0"/>
        <w:jc w:val="center"/>
        <w:rPr>
          <w:rFonts w:hint="eastAsia" w:ascii="黑体" w:hAnsi="黑体" w:eastAsia="黑体"/>
          <w:color w:val="auto"/>
          <w:kern w:val="2"/>
          <w:sz w:val="48"/>
          <w:szCs w:val="24"/>
          <w:lang w:val="zh-CN"/>
        </w:rPr>
      </w:pPr>
    </w:p>
    <w:p>
      <w:pPr>
        <w:keepNext w:val="0"/>
        <w:keepLines w:val="0"/>
        <w:pageBreakBefore w:val="0"/>
        <w:widowControl w:val="0"/>
        <w:kinsoku/>
        <w:wordWrap/>
        <w:overflowPunct/>
        <w:topLinePunct w:val="0"/>
        <w:bidi w:val="0"/>
        <w:spacing w:beforeLines="0" w:afterLines="0"/>
        <w:jc w:val="center"/>
        <w:rPr>
          <w:rFonts w:hint="eastAsia" w:ascii="黑体" w:hAnsi="黑体" w:eastAsia="黑体"/>
          <w:color w:val="auto"/>
          <w:kern w:val="2"/>
          <w:sz w:val="48"/>
          <w:szCs w:val="24"/>
          <w:lang w:val="zh-CN"/>
        </w:rPr>
      </w:pPr>
    </w:p>
    <w:p>
      <w:pPr>
        <w:keepNext w:val="0"/>
        <w:keepLines w:val="0"/>
        <w:pageBreakBefore w:val="0"/>
        <w:widowControl w:val="0"/>
        <w:kinsoku/>
        <w:wordWrap/>
        <w:overflowPunct/>
        <w:topLinePunct w:val="0"/>
        <w:bidi w:val="0"/>
        <w:spacing w:beforeLines="0" w:afterLines="0"/>
        <w:jc w:val="center"/>
        <w:rPr>
          <w:rFonts w:hint="eastAsia" w:ascii="黑体" w:hAnsi="黑体" w:eastAsia="黑体"/>
          <w:color w:val="auto"/>
          <w:kern w:val="2"/>
          <w:sz w:val="48"/>
          <w:szCs w:val="24"/>
          <w:lang w:val="zh-CN"/>
        </w:rPr>
      </w:pPr>
    </w:p>
    <w:p>
      <w:pPr>
        <w:keepNext w:val="0"/>
        <w:keepLines w:val="0"/>
        <w:pageBreakBefore w:val="0"/>
        <w:widowControl w:val="0"/>
        <w:kinsoku/>
        <w:wordWrap/>
        <w:overflowPunct/>
        <w:topLinePunct w:val="0"/>
        <w:bidi w:val="0"/>
        <w:spacing w:beforeLines="0" w:afterLines="0"/>
        <w:jc w:val="center"/>
        <w:rPr>
          <w:rFonts w:hint="eastAsia" w:ascii="黑体" w:hAnsi="黑体" w:eastAsia="黑体"/>
          <w:color w:val="auto"/>
          <w:kern w:val="2"/>
          <w:sz w:val="48"/>
          <w:szCs w:val="24"/>
          <w:lang w:val="zh-CN"/>
        </w:rPr>
      </w:pPr>
    </w:p>
    <w:p>
      <w:pPr>
        <w:pStyle w:val="6"/>
        <w:keepNext w:val="0"/>
        <w:keepLines w:val="0"/>
        <w:pageBreakBefore w:val="0"/>
        <w:widowControl w:val="0"/>
        <w:kinsoku/>
        <w:wordWrap/>
        <w:overflowPunct/>
        <w:topLinePunct w:val="0"/>
        <w:bidi w:val="0"/>
        <w:ind w:left="0" w:leftChars="0" w:firstLine="0" w:firstLineChars="0"/>
        <w:rPr>
          <w:rFonts w:hint="eastAsia" w:ascii="黑体" w:hAnsi="黑体" w:eastAsia="黑体"/>
          <w:color w:val="auto"/>
          <w:kern w:val="2"/>
          <w:sz w:val="48"/>
          <w:szCs w:val="24"/>
          <w:lang w:val="zh-CN"/>
        </w:rPr>
      </w:pPr>
    </w:p>
    <w:p>
      <w:pPr>
        <w:keepNext w:val="0"/>
        <w:keepLines w:val="0"/>
        <w:pageBreakBefore w:val="0"/>
        <w:widowControl w:val="0"/>
        <w:kinsoku/>
        <w:wordWrap/>
        <w:overflowPunct/>
        <w:topLinePunct w:val="0"/>
        <w:bidi w:val="0"/>
        <w:spacing w:beforeLines="0" w:afterLines="0"/>
        <w:jc w:val="center"/>
        <w:rPr>
          <w:rFonts w:hint="eastAsia" w:ascii="黑体" w:hAnsi="黑体" w:eastAsia="黑体"/>
          <w:color w:val="auto"/>
          <w:kern w:val="2"/>
          <w:sz w:val="48"/>
          <w:szCs w:val="24"/>
          <w:lang w:val="zh-CN"/>
        </w:rPr>
      </w:pPr>
    </w:p>
    <w:p>
      <w:pPr>
        <w:keepNext w:val="0"/>
        <w:keepLines w:val="0"/>
        <w:pageBreakBefore w:val="0"/>
        <w:widowControl w:val="0"/>
        <w:kinsoku/>
        <w:wordWrap/>
        <w:overflowPunct/>
        <w:topLinePunct w:val="0"/>
        <w:bidi w:val="0"/>
        <w:spacing w:beforeLines="0" w:afterLines="0"/>
        <w:jc w:val="center"/>
        <w:rPr>
          <w:rFonts w:hint="eastAsia" w:ascii="黑体" w:hAnsi="黑体" w:eastAsia="黑体"/>
          <w:color w:val="auto"/>
          <w:kern w:val="2"/>
          <w:sz w:val="48"/>
          <w:szCs w:val="24"/>
          <w:lang w:val="zh-CN"/>
        </w:rPr>
      </w:pPr>
      <w:r>
        <w:rPr>
          <w:rFonts w:hint="eastAsia" w:ascii="黑体" w:hAnsi="黑体" w:eastAsia="黑体"/>
          <w:color w:val="auto"/>
          <w:kern w:val="2"/>
          <w:sz w:val="48"/>
          <w:szCs w:val="24"/>
          <w:lang w:val="zh-CN"/>
        </w:rPr>
        <w:t>目录</w:t>
      </w:r>
    </w:p>
    <w:p>
      <w:pPr>
        <w:keepNext w:val="0"/>
        <w:keepLines w:val="0"/>
        <w:pageBreakBefore w:val="0"/>
        <w:widowControl w:val="0"/>
        <w:kinsoku/>
        <w:wordWrap/>
        <w:overflowPunct/>
        <w:topLinePunct w:val="0"/>
        <w:bidi w:val="0"/>
        <w:spacing w:beforeLines="0" w:afterLines="0"/>
        <w:jc w:val="center"/>
        <w:rPr>
          <w:rFonts w:hint="eastAsia" w:ascii="黑体" w:hAnsi="黑体" w:eastAsia="黑体"/>
          <w:color w:val="auto"/>
          <w:kern w:val="2"/>
          <w:sz w:val="28"/>
          <w:szCs w:val="24"/>
          <w:lang w:val="zh-CN"/>
        </w:rPr>
      </w:pPr>
    </w:p>
    <w:p>
      <w:pPr>
        <w:keepNext w:val="0"/>
        <w:keepLines w:val="0"/>
        <w:pageBreakBefore w:val="0"/>
        <w:widowControl w:val="0"/>
        <w:tabs>
          <w:tab w:val="right" w:leader="dot" w:pos="8296"/>
        </w:tabs>
        <w:kinsoku/>
        <w:wordWrap/>
        <w:overflowPunct/>
        <w:topLinePunct w:val="0"/>
        <w:bidi w:val="0"/>
        <w:spacing w:before="93" w:beforeLines="0" w:afterLines="0"/>
        <w:jc w:val="center"/>
        <w:rPr>
          <w:rFonts w:hint="eastAsia" w:ascii="仿宋" w:hAnsi="仿宋" w:eastAsia="仿宋"/>
          <w:color w:val="auto"/>
          <w:kern w:val="2"/>
          <w:sz w:val="28"/>
          <w:szCs w:val="24"/>
          <w:lang w:val="zh-CN"/>
        </w:rPr>
      </w:pPr>
      <w:r>
        <w:rPr>
          <w:rFonts w:hint="eastAsia" w:ascii="仿宋" w:hAnsi="仿宋" w:eastAsia="仿宋"/>
          <w:color w:val="auto"/>
          <w:kern w:val="2"/>
          <w:sz w:val="28"/>
          <w:szCs w:val="24"/>
          <w:lang w:val="zh-CN"/>
        </w:rPr>
        <w:t>公开时间：2023年</w:t>
      </w:r>
      <w:r>
        <w:rPr>
          <w:rFonts w:hint="eastAsia" w:ascii="仿宋" w:hAnsi="仿宋" w:eastAsia="仿宋"/>
          <w:color w:val="auto"/>
          <w:kern w:val="2"/>
          <w:sz w:val="28"/>
          <w:szCs w:val="24"/>
          <w:lang w:val="en-US" w:eastAsia="zh-CN"/>
        </w:rPr>
        <w:t>9</w:t>
      </w:r>
      <w:r>
        <w:rPr>
          <w:rFonts w:hint="eastAsia" w:ascii="仿宋" w:hAnsi="仿宋" w:eastAsia="仿宋"/>
          <w:color w:val="auto"/>
          <w:kern w:val="2"/>
          <w:sz w:val="28"/>
          <w:szCs w:val="24"/>
          <w:lang w:val="zh-CN"/>
        </w:rPr>
        <w:t>月</w:t>
      </w:r>
      <w:r>
        <w:rPr>
          <w:rFonts w:hint="eastAsia" w:ascii="仿宋" w:hAnsi="仿宋"/>
          <w:color w:val="auto"/>
          <w:kern w:val="2"/>
          <w:sz w:val="28"/>
          <w:szCs w:val="24"/>
          <w:lang w:val="en-US" w:eastAsia="zh-CN"/>
        </w:rPr>
        <w:t>14</w:t>
      </w:r>
      <w:r>
        <w:rPr>
          <w:rFonts w:hint="eastAsia" w:ascii="仿宋" w:hAnsi="仿宋" w:eastAsia="仿宋"/>
          <w:color w:val="auto"/>
          <w:kern w:val="2"/>
          <w:sz w:val="28"/>
          <w:szCs w:val="24"/>
          <w:lang w:val="zh-CN"/>
        </w:rPr>
        <w:t>日</w:t>
      </w:r>
    </w:p>
    <w:sdt>
      <w:sdtPr>
        <w:rPr>
          <w:rFonts w:hint="default" w:ascii="宋体" w:hAnsi="宋体" w:eastAsia="宋体" w:cs="Times New Roman"/>
          <w:sz w:val="21"/>
          <w:szCs w:val="24"/>
        </w:rPr>
        <w:id w:val="147467517"/>
        <w15:color w:val="DBDBDB"/>
        <w:docPartObj>
          <w:docPartGallery w:val="Table of Contents"/>
          <w:docPartUnique/>
        </w:docPartObj>
      </w:sdtPr>
      <w:sdtEndPr>
        <w:rPr>
          <w:rFonts w:hint="eastAsia" w:ascii="Times New Roman" w:hAnsi="Times New Roman" w:eastAsia="Times New Roman" w:cs="Times New Roman"/>
          <w:color w:val="auto"/>
          <w:kern w:val="2"/>
          <w:sz w:val="32"/>
          <w:szCs w:val="24"/>
          <w:lang w:val="zh-CN"/>
        </w:rPr>
      </w:sdtEndPr>
      <w:sdtContent>
        <w:p>
          <w:pPr>
            <w:spacing w:before="0" w:beforeLines="0" w:after="0" w:afterLines="0" w:line="240" w:lineRule="auto"/>
            <w:ind w:left="0" w:leftChars="0" w:right="0" w:rightChars="0" w:firstLine="0" w:firstLineChars="0"/>
            <w:jc w:val="center"/>
          </w:pPr>
        </w:p>
        <w:p>
          <w:pPr>
            <w:pStyle w:val="11"/>
            <w:tabs>
              <w:tab w:val="right" w:leader="dot" w:pos="9178"/>
            </w:tabs>
          </w:pPr>
          <w:r>
            <w:rPr>
              <w:rFonts w:hint="eastAsia" w:ascii="Times New Roman" w:hAnsi="Times New Roman" w:eastAsia="Times New Roman"/>
              <w:color w:val="auto"/>
              <w:kern w:val="2"/>
              <w:sz w:val="21"/>
              <w:szCs w:val="24"/>
              <w:lang w:val="zh-CN"/>
            </w:rPr>
            <w:fldChar w:fldCharType="begin"/>
          </w:r>
          <w:r>
            <w:rPr>
              <w:rFonts w:hint="eastAsia" w:ascii="Times New Roman" w:hAnsi="Times New Roman" w:eastAsia="Times New Roman"/>
              <w:color w:val="auto"/>
              <w:kern w:val="2"/>
              <w:sz w:val="21"/>
              <w:szCs w:val="24"/>
              <w:lang w:val="zh-CN"/>
            </w:rPr>
            <w:instrText xml:space="preserve">TOC \o "1-3" \h \u </w:instrText>
          </w:r>
          <w:r>
            <w:rPr>
              <w:rFonts w:hint="eastAsia" w:ascii="Times New Roman" w:hAnsi="Times New Roman" w:eastAsia="Times New Roman"/>
              <w:color w:val="auto"/>
              <w:kern w:val="2"/>
              <w:sz w:val="21"/>
              <w:szCs w:val="24"/>
              <w:lang w:val="zh-CN"/>
            </w:rPr>
            <w:fldChar w:fldCharType="separate"/>
          </w: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_Toc3465 </w:instrText>
          </w:r>
          <w:r>
            <w:rPr>
              <w:rFonts w:hint="eastAsia" w:ascii="Times New Roman" w:hAnsi="Times New Roman" w:eastAsia="Times New Roman"/>
              <w:kern w:val="2"/>
              <w:szCs w:val="24"/>
              <w:lang w:val="zh-CN"/>
            </w:rPr>
            <w:fldChar w:fldCharType="separate"/>
          </w:r>
          <w:r>
            <w:rPr>
              <w:rFonts w:hint="eastAsia" w:ascii="黑体" w:hAnsi="黑体" w:eastAsia="黑体"/>
              <w:kern w:val="44"/>
              <w:szCs w:val="24"/>
              <w:lang w:val="zh-CN"/>
            </w:rPr>
            <w:t xml:space="preserve">第一部分 </w:t>
          </w:r>
          <w:r>
            <w:rPr>
              <w:rFonts w:hint="eastAsia" w:ascii="黑体" w:hAnsi="黑体" w:eastAsia="黑体"/>
              <w:kern w:val="44"/>
              <w:szCs w:val="24"/>
              <w:lang w:val="en-US" w:eastAsia="zh-CN"/>
            </w:rPr>
            <w:t>部门</w:t>
          </w:r>
          <w:r>
            <w:rPr>
              <w:rFonts w:hint="eastAsia" w:ascii="黑体" w:hAnsi="黑体" w:eastAsia="黑体"/>
              <w:kern w:val="44"/>
              <w:szCs w:val="24"/>
              <w:lang w:val="zh-CN"/>
            </w:rPr>
            <w:t>概况</w:t>
          </w:r>
          <w:r>
            <w:tab/>
          </w:r>
          <w:r>
            <w:fldChar w:fldCharType="begin"/>
          </w:r>
          <w:r>
            <w:instrText xml:space="preserve"> PAGEREF _Toc3465 \h </w:instrText>
          </w:r>
          <w:r>
            <w:fldChar w:fldCharType="separate"/>
          </w:r>
          <w:r>
            <w:t>4</w:t>
          </w:r>
          <w:r>
            <w:fldChar w:fldCharType="end"/>
          </w:r>
          <w:r>
            <w:rPr>
              <w:rFonts w:hint="eastAsia" w:ascii="Times New Roman" w:hAnsi="Times New Roman" w:eastAsia="Times New Roman"/>
              <w:color w:val="auto"/>
              <w:kern w:val="2"/>
              <w:szCs w:val="24"/>
              <w:lang w:val="zh-CN"/>
            </w:rPr>
            <w:fldChar w:fldCharType="end"/>
          </w:r>
        </w:p>
        <w:p>
          <w:pPr>
            <w:pStyle w:val="11"/>
            <w:tabs>
              <w:tab w:val="right" w:leader="dot" w:pos="9178"/>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_Toc23574 </w:instrText>
          </w:r>
          <w:r>
            <w:rPr>
              <w:rFonts w:hint="eastAsia" w:ascii="Times New Roman" w:hAnsi="Times New Roman" w:eastAsia="Times New Roman"/>
              <w:kern w:val="2"/>
              <w:szCs w:val="24"/>
              <w:lang w:val="zh-CN"/>
            </w:rPr>
            <w:fldChar w:fldCharType="separate"/>
          </w:r>
          <w:r>
            <w:rPr>
              <w:rFonts w:hint="eastAsia"/>
              <w:lang w:val="zh-CN"/>
            </w:rPr>
            <w:t>一、基本职能及主要工作</w:t>
          </w:r>
          <w:r>
            <w:tab/>
          </w:r>
          <w:r>
            <w:fldChar w:fldCharType="begin"/>
          </w:r>
          <w:r>
            <w:instrText xml:space="preserve"> PAGEREF _Toc23574 \h </w:instrText>
          </w:r>
          <w:r>
            <w:fldChar w:fldCharType="separate"/>
          </w:r>
          <w:r>
            <w:t>4</w:t>
          </w:r>
          <w:r>
            <w:fldChar w:fldCharType="end"/>
          </w:r>
          <w:r>
            <w:rPr>
              <w:rFonts w:hint="eastAsia" w:ascii="Times New Roman" w:hAnsi="Times New Roman" w:eastAsia="Times New Roman"/>
              <w:color w:val="auto"/>
              <w:kern w:val="2"/>
              <w:szCs w:val="24"/>
              <w:lang w:val="zh-CN"/>
            </w:rPr>
            <w:fldChar w:fldCharType="end"/>
          </w:r>
        </w:p>
        <w:p>
          <w:pPr>
            <w:pStyle w:val="11"/>
            <w:tabs>
              <w:tab w:val="right" w:leader="dot" w:pos="9178"/>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_Toc19719 </w:instrText>
          </w:r>
          <w:r>
            <w:rPr>
              <w:rFonts w:hint="eastAsia" w:ascii="Times New Roman" w:hAnsi="Times New Roman" w:eastAsia="Times New Roman"/>
              <w:kern w:val="2"/>
              <w:szCs w:val="24"/>
              <w:lang w:val="zh-CN"/>
            </w:rPr>
            <w:fldChar w:fldCharType="separate"/>
          </w:r>
          <w:r>
            <w:rPr>
              <w:rFonts w:hint="eastAsia"/>
              <w:lang w:val="en-US" w:eastAsia="zh-CN"/>
            </w:rPr>
            <w:t>二</w:t>
          </w:r>
          <w:r>
            <w:rPr>
              <w:rFonts w:hint="eastAsia"/>
              <w:lang w:val="zh-CN"/>
            </w:rPr>
            <w:t>、机构设置</w:t>
          </w:r>
          <w:r>
            <w:tab/>
          </w:r>
          <w:r>
            <w:fldChar w:fldCharType="begin"/>
          </w:r>
          <w:r>
            <w:instrText xml:space="preserve"> PAGEREF _Toc19719 \h </w:instrText>
          </w:r>
          <w:r>
            <w:fldChar w:fldCharType="separate"/>
          </w:r>
          <w:r>
            <w:t>9</w:t>
          </w:r>
          <w:r>
            <w:fldChar w:fldCharType="end"/>
          </w:r>
          <w:r>
            <w:rPr>
              <w:rFonts w:hint="eastAsia" w:ascii="Times New Roman" w:hAnsi="Times New Roman" w:eastAsia="Times New Roman"/>
              <w:color w:val="auto"/>
              <w:kern w:val="2"/>
              <w:szCs w:val="24"/>
              <w:lang w:val="zh-CN"/>
            </w:rPr>
            <w:fldChar w:fldCharType="end"/>
          </w:r>
        </w:p>
        <w:p>
          <w:pPr>
            <w:pStyle w:val="11"/>
            <w:keepNext w:val="0"/>
            <w:keepLines w:val="0"/>
            <w:pageBreakBefore w:val="0"/>
            <w:widowControl w:val="0"/>
            <w:tabs>
              <w:tab w:val="right" w:leader="dot" w:pos="9178"/>
            </w:tabs>
            <w:kinsoku/>
            <w:wordWrap/>
            <w:overflowPunct/>
            <w:topLinePunct w:val="0"/>
            <w:autoSpaceDE w:val="0"/>
            <w:autoSpaceDN w:val="0"/>
            <w:bidi w:val="0"/>
            <w:adjustRightInd w:val="0"/>
            <w:snapToGrid/>
            <w:ind w:left="0" w:leftChars="0" w:firstLine="320" w:firstLineChars="100"/>
            <w:textAlignment w:val="auto"/>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_Toc2678 </w:instrText>
          </w:r>
          <w:r>
            <w:rPr>
              <w:rFonts w:hint="eastAsia" w:ascii="Times New Roman" w:hAnsi="Times New Roman" w:eastAsia="Times New Roman"/>
              <w:kern w:val="2"/>
              <w:szCs w:val="24"/>
              <w:lang w:val="zh-CN"/>
            </w:rPr>
            <w:fldChar w:fldCharType="separate"/>
          </w:r>
          <w:r>
            <w:rPr>
              <w:rFonts w:hint="eastAsia" w:ascii="方正黑体_GBK" w:hAnsi="方正黑体_GBK" w:eastAsia="方正黑体_GBK" w:cs="方正黑体_GBK"/>
              <w:kern w:val="44"/>
              <w:szCs w:val="24"/>
              <w:lang w:val="zh-CN"/>
            </w:rPr>
            <w:t>第二部分 2022年度</w:t>
          </w:r>
          <w:r>
            <w:rPr>
              <w:rFonts w:hint="eastAsia" w:ascii="方正黑体_GBK" w:hAnsi="方正黑体_GBK" w:eastAsia="方正黑体_GBK" w:cs="方正黑体_GBK"/>
              <w:kern w:val="44"/>
              <w:szCs w:val="24"/>
              <w:lang w:val="en-US" w:eastAsia="zh-CN"/>
            </w:rPr>
            <w:t>部门</w:t>
          </w:r>
          <w:r>
            <w:rPr>
              <w:rFonts w:hint="eastAsia" w:ascii="方正黑体_GBK" w:hAnsi="方正黑体_GBK" w:eastAsia="方正黑体_GBK" w:cs="方正黑体_GBK"/>
              <w:kern w:val="44"/>
              <w:szCs w:val="24"/>
              <w:lang w:val="zh-CN"/>
            </w:rPr>
            <w:t>决算情况说明</w:t>
          </w:r>
          <w:r>
            <w:tab/>
          </w:r>
          <w:r>
            <w:fldChar w:fldCharType="begin"/>
          </w:r>
          <w:r>
            <w:instrText xml:space="preserve"> PAGEREF _Toc2678 \h </w:instrText>
          </w:r>
          <w:r>
            <w:fldChar w:fldCharType="separate"/>
          </w:r>
          <w:r>
            <w:t>10</w:t>
          </w:r>
          <w:r>
            <w:fldChar w:fldCharType="end"/>
          </w:r>
          <w:r>
            <w:rPr>
              <w:rFonts w:hint="eastAsia" w:ascii="Times New Roman" w:hAnsi="Times New Roman" w:eastAsia="Times New Roman"/>
              <w:color w:val="auto"/>
              <w:kern w:val="2"/>
              <w:szCs w:val="24"/>
              <w:lang w:val="zh-CN"/>
            </w:rPr>
            <w:fldChar w:fldCharType="end"/>
          </w:r>
        </w:p>
        <w:p>
          <w:pPr>
            <w:pStyle w:val="11"/>
            <w:tabs>
              <w:tab w:val="right" w:leader="dot" w:pos="9178"/>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_Toc609 </w:instrText>
          </w:r>
          <w:r>
            <w:rPr>
              <w:rFonts w:hint="eastAsia" w:ascii="Times New Roman" w:hAnsi="Times New Roman" w:eastAsia="Times New Roman"/>
              <w:kern w:val="2"/>
              <w:szCs w:val="24"/>
              <w:lang w:val="zh-CN"/>
            </w:rPr>
            <w:fldChar w:fldCharType="separate"/>
          </w:r>
          <w:r>
            <w:rPr>
              <w:rFonts w:hint="eastAsia"/>
              <w:lang w:val="zh-CN"/>
            </w:rPr>
            <w:t>一、收入支出决算总体情况说明</w:t>
          </w:r>
          <w:r>
            <w:tab/>
          </w:r>
          <w:r>
            <w:fldChar w:fldCharType="begin"/>
          </w:r>
          <w:r>
            <w:instrText xml:space="preserve"> PAGEREF _Toc609 \h </w:instrText>
          </w:r>
          <w:r>
            <w:fldChar w:fldCharType="separate"/>
          </w:r>
          <w:r>
            <w:t>10</w:t>
          </w:r>
          <w:r>
            <w:fldChar w:fldCharType="end"/>
          </w:r>
          <w:r>
            <w:rPr>
              <w:rFonts w:hint="eastAsia" w:ascii="Times New Roman" w:hAnsi="Times New Roman" w:eastAsia="Times New Roman"/>
              <w:color w:val="auto"/>
              <w:kern w:val="2"/>
              <w:szCs w:val="24"/>
              <w:lang w:val="zh-CN"/>
            </w:rPr>
            <w:fldChar w:fldCharType="end"/>
          </w:r>
        </w:p>
        <w:p>
          <w:pPr>
            <w:pStyle w:val="11"/>
            <w:tabs>
              <w:tab w:val="right" w:leader="dot" w:pos="9178"/>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_Toc4208 </w:instrText>
          </w:r>
          <w:r>
            <w:rPr>
              <w:rFonts w:hint="eastAsia" w:ascii="Times New Roman" w:hAnsi="Times New Roman" w:eastAsia="Times New Roman"/>
              <w:kern w:val="2"/>
              <w:szCs w:val="24"/>
              <w:lang w:val="zh-CN"/>
            </w:rPr>
            <w:fldChar w:fldCharType="separate"/>
          </w:r>
          <w:r>
            <w:rPr>
              <w:rFonts w:hint="eastAsia"/>
              <w:lang w:val="zh-CN"/>
            </w:rPr>
            <w:t>二、收入决算情况说明</w:t>
          </w:r>
          <w:r>
            <w:tab/>
          </w:r>
          <w:r>
            <w:fldChar w:fldCharType="begin"/>
          </w:r>
          <w:r>
            <w:instrText xml:space="preserve"> PAGEREF _Toc4208 \h </w:instrText>
          </w:r>
          <w:r>
            <w:fldChar w:fldCharType="separate"/>
          </w:r>
          <w:r>
            <w:t>10</w:t>
          </w:r>
          <w:r>
            <w:fldChar w:fldCharType="end"/>
          </w:r>
          <w:r>
            <w:rPr>
              <w:rFonts w:hint="eastAsia" w:ascii="Times New Roman" w:hAnsi="Times New Roman" w:eastAsia="Times New Roman"/>
              <w:color w:val="auto"/>
              <w:kern w:val="2"/>
              <w:szCs w:val="24"/>
              <w:lang w:val="zh-CN"/>
            </w:rPr>
            <w:fldChar w:fldCharType="end"/>
          </w:r>
        </w:p>
        <w:p>
          <w:pPr>
            <w:pStyle w:val="11"/>
            <w:tabs>
              <w:tab w:val="right" w:leader="dot" w:pos="9178"/>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_Toc14274 </w:instrText>
          </w:r>
          <w:r>
            <w:rPr>
              <w:rFonts w:hint="eastAsia" w:ascii="Times New Roman" w:hAnsi="Times New Roman" w:eastAsia="Times New Roman"/>
              <w:kern w:val="2"/>
              <w:szCs w:val="24"/>
              <w:lang w:val="zh-CN"/>
            </w:rPr>
            <w:fldChar w:fldCharType="separate"/>
          </w:r>
          <w:r>
            <w:rPr>
              <w:rFonts w:hint="eastAsia" w:ascii="Times New Roman" w:hAnsi="Times New Roman"/>
              <w:lang w:val="zh-CN"/>
            </w:rPr>
            <w:t>三、支出决算情况说明</w:t>
          </w:r>
          <w:r>
            <w:tab/>
          </w:r>
          <w:r>
            <w:fldChar w:fldCharType="begin"/>
          </w:r>
          <w:r>
            <w:instrText xml:space="preserve"> PAGEREF _Toc14274 \h </w:instrText>
          </w:r>
          <w:r>
            <w:fldChar w:fldCharType="separate"/>
          </w:r>
          <w:r>
            <w:t>11</w:t>
          </w:r>
          <w:r>
            <w:fldChar w:fldCharType="end"/>
          </w:r>
          <w:r>
            <w:rPr>
              <w:rFonts w:hint="eastAsia" w:ascii="Times New Roman" w:hAnsi="Times New Roman" w:eastAsia="Times New Roman"/>
              <w:color w:val="auto"/>
              <w:kern w:val="2"/>
              <w:szCs w:val="24"/>
              <w:lang w:val="zh-CN"/>
            </w:rPr>
            <w:fldChar w:fldCharType="end"/>
          </w:r>
        </w:p>
        <w:p>
          <w:pPr>
            <w:pStyle w:val="11"/>
            <w:tabs>
              <w:tab w:val="right" w:leader="dot" w:pos="9178"/>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_Toc29820 </w:instrText>
          </w:r>
          <w:r>
            <w:rPr>
              <w:rFonts w:hint="eastAsia" w:ascii="Times New Roman" w:hAnsi="Times New Roman" w:eastAsia="Times New Roman"/>
              <w:kern w:val="2"/>
              <w:szCs w:val="24"/>
              <w:lang w:val="zh-CN"/>
            </w:rPr>
            <w:fldChar w:fldCharType="separate"/>
          </w:r>
          <w:r>
            <w:rPr>
              <w:rFonts w:hint="eastAsia"/>
              <w:lang w:val="zh-CN"/>
            </w:rPr>
            <w:t>四、财政拨款收入支出决算总体情况说明</w:t>
          </w:r>
          <w:r>
            <w:tab/>
          </w:r>
          <w:r>
            <w:fldChar w:fldCharType="begin"/>
          </w:r>
          <w:r>
            <w:instrText xml:space="preserve"> PAGEREF _Toc29820 \h </w:instrText>
          </w:r>
          <w:r>
            <w:fldChar w:fldCharType="separate"/>
          </w:r>
          <w:r>
            <w:t>12</w:t>
          </w:r>
          <w:r>
            <w:fldChar w:fldCharType="end"/>
          </w:r>
          <w:r>
            <w:rPr>
              <w:rFonts w:hint="eastAsia" w:ascii="Times New Roman" w:hAnsi="Times New Roman" w:eastAsia="Times New Roman"/>
              <w:color w:val="auto"/>
              <w:kern w:val="2"/>
              <w:szCs w:val="24"/>
              <w:lang w:val="zh-CN"/>
            </w:rPr>
            <w:fldChar w:fldCharType="end"/>
          </w:r>
        </w:p>
        <w:p>
          <w:pPr>
            <w:pStyle w:val="11"/>
            <w:tabs>
              <w:tab w:val="right" w:leader="dot" w:pos="9178"/>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_Toc28845 </w:instrText>
          </w:r>
          <w:r>
            <w:rPr>
              <w:rFonts w:hint="eastAsia" w:ascii="Times New Roman" w:hAnsi="Times New Roman" w:eastAsia="Times New Roman"/>
              <w:kern w:val="2"/>
              <w:szCs w:val="24"/>
              <w:lang w:val="zh-CN"/>
            </w:rPr>
            <w:fldChar w:fldCharType="separate"/>
          </w:r>
          <w:r>
            <w:rPr>
              <w:rFonts w:hint="eastAsia"/>
              <w:lang w:val="zh-CN"/>
            </w:rPr>
            <w:t>五、一般公共预算财政拨款支出决算情况说明</w:t>
          </w:r>
          <w:r>
            <w:tab/>
          </w:r>
          <w:r>
            <w:fldChar w:fldCharType="begin"/>
          </w:r>
          <w:r>
            <w:instrText xml:space="preserve"> PAGEREF _Toc28845 \h </w:instrText>
          </w:r>
          <w:r>
            <w:fldChar w:fldCharType="separate"/>
          </w:r>
          <w:r>
            <w:t>12</w:t>
          </w:r>
          <w:r>
            <w:fldChar w:fldCharType="end"/>
          </w:r>
          <w:r>
            <w:rPr>
              <w:rFonts w:hint="eastAsia" w:ascii="Times New Roman" w:hAnsi="Times New Roman" w:eastAsia="Times New Roman"/>
              <w:color w:val="auto"/>
              <w:kern w:val="2"/>
              <w:szCs w:val="24"/>
              <w:lang w:val="zh-CN"/>
            </w:rPr>
            <w:fldChar w:fldCharType="end"/>
          </w:r>
        </w:p>
        <w:p>
          <w:pPr>
            <w:pStyle w:val="12"/>
            <w:tabs>
              <w:tab w:val="right" w:leader="dot" w:pos="9178"/>
            </w:tabs>
            <w:ind w:left="0" w:leftChars="0" w:firstLine="640" w:firstLineChars="200"/>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_Toc30564 </w:instrText>
          </w:r>
          <w:r>
            <w:rPr>
              <w:rFonts w:hint="eastAsia" w:ascii="Times New Roman" w:hAnsi="Times New Roman" w:eastAsia="Times New Roman"/>
              <w:kern w:val="2"/>
              <w:szCs w:val="24"/>
              <w:lang w:val="zh-CN"/>
            </w:rPr>
            <w:fldChar w:fldCharType="separate"/>
          </w:r>
          <w:r>
            <w:rPr>
              <w:rFonts w:hint="eastAsia"/>
              <w:lang w:val="zh-CN"/>
            </w:rPr>
            <w:t>六、一般公共预算财政拨款基本支出决算情况说明</w:t>
          </w:r>
          <w:r>
            <w:tab/>
          </w:r>
          <w:r>
            <w:fldChar w:fldCharType="begin"/>
          </w:r>
          <w:r>
            <w:instrText xml:space="preserve"> PAGEREF _Toc30564 \h </w:instrText>
          </w:r>
          <w:r>
            <w:fldChar w:fldCharType="separate"/>
          </w:r>
          <w:r>
            <w:t>16</w:t>
          </w:r>
          <w:r>
            <w:fldChar w:fldCharType="end"/>
          </w:r>
          <w:r>
            <w:rPr>
              <w:rFonts w:hint="eastAsia" w:ascii="Times New Roman" w:hAnsi="Times New Roman" w:eastAsia="Times New Roman"/>
              <w:color w:val="auto"/>
              <w:kern w:val="2"/>
              <w:szCs w:val="24"/>
              <w:lang w:val="zh-CN"/>
            </w:rPr>
            <w:fldChar w:fldCharType="end"/>
          </w:r>
        </w:p>
        <w:p>
          <w:pPr>
            <w:pStyle w:val="12"/>
            <w:tabs>
              <w:tab w:val="right" w:leader="dot" w:pos="9178"/>
            </w:tabs>
            <w:ind w:left="0" w:leftChars="0" w:firstLine="640" w:firstLineChars="200"/>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_Toc24663 </w:instrText>
          </w:r>
          <w:r>
            <w:rPr>
              <w:rFonts w:hint="eastAsia" w:ascii="Times New Roman" w:hAnsi="Times New Roman" w:eastAsia="Times New Roman"/>
              <w:kern w:val="2"/>
              <w:szCs w:val="24"/>
              <w:lang w:val="zh-CN"/>
            </w:rPr>
            <w:fldChar w:fldCharType="separate"/>
          </w:r>
          <w:r>
            <w:rPr>
              <w:rFonts w:hint="eastAsia" w:ascii="方正仿宋_GBK" w:hAnsi="方正仿宋_GBK" w:eastAsia="方正仿宋_GBK" w:cs="方正仿宋_GBK"/>
              <w:bCs/>
              <w:szCs w:val="33"/>
              <w:lang w:val="en-US" w:eastAsia="zh-CN"/>
            </w:rPr>
            <w:t>七、</w:t>
          </w:r>
          <w:r>
            <w:rPr>
              <w:rFonts w:hint="eastAsia" w:ascii="方正仿宋_GBK" w:hAnsi="方正仿宋_GBK" w:eastAsia="方正仿宋_GBK" w:cs="方正仿宋_GBK"/>
              <w:bCs/>
              <w:szCs w:val="33"/>
            </w:rPr>
            <w:t>一</w:t>
          </w:r>
          <w:r>
            <w:rPr>
              <w:rFonts w:hint="eastAsia" w:ascii="方正仿宋_GBK" w:hAnsi="方正仿宋_GBK" w:eastAsia="方正仿宋_GBK" w:cs="方正仿宋_GBK"/>
              <w:szCs w:val="33"/>
            </w:rPr>
            <w:t>般公共预算财政拨款项目支出决算情况说明</w:t>
          </w:r>
          <w:r>
            <w:tab/>
          </w:r>
          <w:r>
            <w:fldChar w:fldCharType="begin"/>
          </w:r>
          <w:r>
            <w:instrText xml:space="preserve"> PAGEREF _Toc24663 \h </w:instrText>
          </w:r>
          <w:r>
            <w:fldChar w:fldCharType="separate"/>
          </w:r>
          <w:r>
            <w:t>17</w:t>
          </w:r>
          <w:r>
            <w:fldChar w:fldCharType="end"/>
          </w:r>
          <w:r>
            <w:rPr>
              <w:rFonts w:hint="eastAsia" w:ascii="Times New Roman" w:hAnsi="Times New Roman" w:eastAsia="Times New Roman"/>
              <w:color w:val="auto"/>
              <w:kern w:val="2"/>
              <w:szCs w:val="24"/>
              <w:lang w:val="zh-CN"/>
            </w:rPr>
            <w:fldChar w:fldCharType="end"/>
          </w:r>
        </w:p>
        <w:p>
          <w:pPr>
            <w:pStyle w:val="11"/>
            <w:tabs>
              <w:tab w:val="right" w:leader="dot" w:pos="9178"/>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_Toc30776 </w:instrText>
          </w:r>
          <w:r>
            <w:rPr>
              <w:rFonts w:hint="eastAsia" w:ascii="Times New Roman" w:hAnsi="Times New Roman" w:eastAsia="Times New Roman"/>
              <w:kern w:val="2"/>
              <w:szCs w:val="24"/>
              <w:lang w:val="zh-CN"/>
            </w:rPr>
            <w:fldChar w:fldCharType="separate"/>
          </w:r>
          <w:r>
            <w:rPr>
              <w:rFonts w:hint="eastAsia"/>
              <w:lang w:val="en-US" w:eastAsia="zh-CN"/>
            </w:rPr>
            <w:t>八</w:t>
          </w:r>
          <w:r>
            <w:rPr>
              <w:rFonts w:hint="eastAsia"/>
              <w:lang w:val="zh-CN"/>
            </w:rPr>
            <w:t>、“三公”经费财政拨款支出决算情况说明</w:t>
          </w:r>
          <w:r>
            <w:tab/>
          </w:r>
          <w:r>
            <w:fldChar w:fldCharType="begin"/>
          </w:r>
          <w:r>
            <w:instrText xml:space="preserve"> PAGEREF _Toc30776 \h </w:instrText>
          </w:r>
          <w:r>
            <w:fldChar w:fldCharType="separate"/>
          </w:r>
          <w:r>
            <w:t>19</w:t>
          </w:r>
          <w:r>
            <w:fldChar w:fldCharType="end"/>
          </w:r>
          <w:r>
            <w:rPr>
              <w:rFonts w:hint="eastAsia" w:ascii="Times New Roman" w:hAnsi="Times New Roman" w:eastAsia="Times New Roman"/>
              <w:color w:val="auto"/>
              <w:kern w:val="2"/>
              <w:szCs w:val="24"/>
              <w:lang w:val="zh-CN"/>
            </w:rPr>
            <w:fldChar w:fldCharType="end"/>
          </w:r>
        </w:p>
        <w:p>
          <w:pPr>
            <w:pStyle w:val="11"/>
            <w:tabs>
              <w:tab w:val="right" w:leader="dot" w:pos="9178"/>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_Toc18142 </w:instrText>
          </w:r>
          <w:r>
            <w:rPr>
              <w:rFonts w:hint="eastAsia" w:ascii="Times New Roman" w:hAnsi="Times New Roman" w:eastAsia="Times New Roman"/>
              <w:kern w:val="2"/>
              <w:szCs w:val="24"/>
              <w:lang w:val="zh-CN"/>
            </w:rPr>
            <w:fldChar w:fldCharType="separate"/>
          </w:r>
          <w:r>
            <w:rPr>
              <w:rFonts w:hint="eastAsia"/>
              <w:lang w:val="en-US" w:eastAsia="zh-CN"/>
            </w:rPr>
            <w:t>九</w:t>
          </w:r>
          <w:r>
            <w:rPr>
              <w:rFonts w:hint="eastAsia"/>
              <w:lang w:val="zh-CN"/>
            </w:rPr>
            <w:t>、政府性基金预算支出决算情况说明</w:t>
          </w:r>
          <w:r>
            <w:tab/>
          </w:r>
          <w:r>
            <w:fldChar w:fldCharType="begin"/>
          </w:r>
          <w:r>
            <w:instrText xml:space="preserve"> PAGEREF _Toc18142 \h </w:instrText>
          </w:r>
          <w:r>
            <w:fldChar w:fldCharType="separate"/>
          </w:r>
          <w:r>
            <w:t>22</w:t>
          </w:r>
          <w:r>
            <w:fldChar w:fldCharType="end"/>
          </w:r>
          <w:r>
            <w:rPr>
              <w:rFonts w:hint="eastAsia" w:ascii="Times New Roman" w:hAnsi="Times New Roman" w:eastAsia="Times New Roman"/>
              <w:color w:val="auto"/>
              <w:kern w:val="2"/>
              <w:szCs w:val="24"/>
              <w:lang w:val="zh-CN"/>
            </w:rPr>
            <w:fldChar w:fldCharType="end"/>
          </w:r>
        </w:p>
        <w:p>
          <w:pPr>
            <w:pStyle w:val="11"/>
            <w:tabs>
              <w:tab w:val="right" w:leader="dot" w:pos="9178"/>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_Toc22548 </w:instrText>
          </w:r>
          <w:r>
            <w:rPr>
              <w:rFonts w:hint="eastAsia" w:ascii="Times New Roman" w:hAnsi="Times New Roman" w:eastAsia="Times New Roman"/>
              <w:kern w:val="2"/>
              <w:szCs w:val="24"/>
              <w:lang w:val="zh-CN"/>
            </w:rPr>
            <w:fldChar w:fldCharType="separate"/>
          </w:r>
          <w:r>
            <w:rPr>
              <w:rFonts w:hint="eastAsia"/>
              <w:lang w:val="en-US" w:eastAsia="zh-CN"/>
            </w:rPr>
            <w:t>十</w:t>
          </w:r>
          <w:r>
            <w:rPr>
              <w:rFonts w:hint="eastAsia"/>
              <w:lang w:val="zh-CN"/>
            </w:rPr>
            <w:t>、国有资本经营预算支出决算情况说明</w:t>
          </w:r>
          <w:r>
            <w:tab/>
          </w:r>
          <w:r>
            <w:fldChar w:fldCharType="begin"/>
          </w:r>
          <w:r>
            <w:instrText xml:space="preserve"> PAGEREF _Toc22548 \h </w:instrText>
          </w:r>
          <w:r>
            <w:fldChar w:fldCharType="separate"/>
          </w:r>
          <w:r>
            <w:t>22</w:t>
          </w:r>
          <w:r>
            <w:fldChar w:fldCharType="end"/>
          </w:r>
          <w:r>
            <w:rPr>
              <w:rFonts w:hint="eastAsia" w:ascii="Times New Roman" w:hAnsi="Times New Roman" w:eastAsia="Times New Roman"/>
              <w:color w:val="auto"/>
              <w:kern w:val="2"/>
              <w:szCs w:val="24"/>
              <w:lang w:val="zh-CN"/>
            </w:rPr>
            <w:fldChar w:fldCharType="end"/>
          </w:r>
        </w:p>
        <w:p>
          <w:pPr>
            <w:pStyle w:val="11"/>
            <w:tabs>
              <w:tab w:val="right" w:leader="dot" w:pos="9178"/>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_Toc17884 </w:instrText>
          </w:r>
          <w:r>
            <w:rPr>
              <w:rFonts w:hint="eastAsia" w:ascii="Times New Roman" w:hAnsi="Times New Roman" w:eastAsia="Times New Roman"/>
              <w:kern w:val="2"/>
              <w:szCs w:val="24"/>
              <w:lang w:val="zh-CN"/>
            </w:rPr>
            <w:fldChar w:fldCharType="separate"/>
          </w:r>
          <w:r>
            <w:rPr>
              <w:rFonts w:hint="eastAsia"/>
              <w:lang w:val="zh-CN"/>
            </w:rPr>
            <w:t>十</w:t>
          </w:r>
          <w:r>
            <w:rPr>
              <w:rFonts w:hint="eastAsia"/>
              <w:lang w:val="en-US" w:eastAsia="zh-CN"/>
            </w:rPr>
            <w:t>一</w:t>
          </w:r>
          <w:r>
            <w:rPr>
              <w:rFonts w:hint="eastAsia"/>
              <w:lang w:val="zh-CN"/>
            </w:rPr>
            <w:t>、其他重要事项的情况说明</w:t>
          </w:r>
          <w:r>
            <w:tab/>
          </w:r>
          <w:r>
            <w:fldChar w:fldCharType="begin"/>
          </w:r>
          <w:r>
            <w:instrText xml:space="preserve"> PAGEREF _Toc17884 \h </w:instrText>
          </w:r>
          <w:r>
            <w:fldChar w:fldCharType="separate"/>
          </w:r>
          <w:r>
            <w:t>22</w:t>
          </w:r>
          <w:r>
            <w:fldChar w:fldCharType="end"/>
          </w:r>
          <w:r>
            <w:rPr>
              <w:rFonts w:hint="eastAsia" w:ascii="Times New Roman" w:hAnsi="Times New Roman" w:eastAsia="Times New Roman"/>
              <w:color w:val="auto"/>
              <w:kern w:val="2"/>
              <w:szCs w:val="24"/>
              <w:lang w:val="zh-CN"/>
            </w:rPr>
            <w:fldChar w:fldCharType="end"/>
          </w:r>
        </w:p>
        <w:p>
          <w:pPr>
            <w:pStyle w:val="12"/>
            <w:tabs>
              <w:tab w:val="right" w:leader="dot" w:pos="9178"/>
            </w:tabs>
          </w:pPr>
        </w:p>
        <w:p>
          <w:pPr>
            <w:pStyle w:val="11"/>
            <w:tabs>
              <w:tab w:val="right" w:leader="dot" w:pos="9178"/>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_Toc6296 </w:instrText>
          </w:r>
          <w:r>
            <w:rPr>
              <w:rFonts w:hint="eastAsia" w:ascii="Times New Roman" w:hAnsi="Times New Roman" w:eastAsia="Times New Roman"/>
              <w:kern w:val="2"/>
              <w:szCs w:val="24"/>
              <w:lang w:val="zh-CN"/>
            </w:rPr>
            <w:fldChar w:fldCharType="separate"/>
          </w:r>
          <w:r>
            <w:rPr>
              <w:rFonts w:hint="eastAsia" w:ascii="方正黑体_GBK" w:hAnsi="方正黑体_GBK" w:eastAsia="方正黑体_GBK" w:cs="方正黑体_GBK"/>
              <w:kern w:val="2"/>
              <w:szCs w:val="24"/>
              <w:lang w:val="zh-CN"/>
            </w:rPr>
            <w:t>第三部分 名</w:t>
          </w:r>
          <w:r>
            <w:rPr>
              <w:rFonts w:hint="eastAsia" w:ascii="方正黑体_GBK" w:hAnsi="方正黑体_GBK" w:eastAsia="方正黑体_GBK" w:cs="方正黑体_GBK"/>
              <w:kern w:val="44"/>
              <w:szCs w:val="24"/>
              <w:lang w:val="zh-CN"/>
            </w:rPr>
            <w:t>词解释</w:t>
          </w:r>
          <w:r>
            <w:tab/>
          </w:r>
          <w:r>
            <w:fldChar w:fldCharType="begin"/>
          </w:r>
          <w:r>
            <w:instrText xml:space="preserve"> PAGEREF _Toc6296 \h </w:instrText>
          </w:r>
          <w:r>
            <w:fldChar w:fldCharType="separate"/>
          </w:r>
          <w:r>
            <w:t>25</w:t>
          </w:r>
          <w:r>
            <w:fldChar w:fldCharType="end"/>
          </w:r>
          <w:r>
            <w:rPr>
              <w:rFonts w:hint="eastAsia" w:ascii="Times New Roman" w:hAnsi="Times New Roman" w:eastAsia="Times New Roman"/>
              <w:color w:val="auto"/>
              <w:kern w:val="2"/>
              <w:szCs w:val="24"/>
              <w:lang w:val="zh-CN"/>
            </w:rPr>
            <w:fldChar w:fldCharType="end"/>
          </w:r>
        </w:p>
        <w:p>
          <w:pPr>
            <w:pStyle w:val="11"/>
            <w:tabs>
              <w:tab w:val="right" w:leader="dot" w:pos="9178"/>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_Toc21525 </w:instrText>
          </w:r>
          <w:r>
            <w:rPr>
              <w:rFonts w:hint="eastAsia" w:ascii="Times New Roman" w:hAnsi="Times New Roman" w:eastAsia="Times New Roman"/>
              <w:kern w:val="2"/>
              <w:szCs w:val="24"/>
              <w:lang w:val="zh-CN"/>
            </w:rPr>
            <w:fldChar w:fldCharType="separate"/>
          </w:r>
          <w:r>
            <w:rPr>
              <w:rFonts w:hint="eastAsia" w:ascii="方正黑体_GBK" w:hAnsi="方正黑体_GBK" w:eastAsia="方正黑体_GBK" w:cs="方正黑体_GBK"/>
              <w:kern w:val="2"/>
              <w:szCs w:val="24"/>
              <w:lang w:val="en-US"/>
            </w:rPr>
            <w:t>第</w:t>
          </w:r>
          <w:r>
            <w:rPr>
              <w:rFonts w:hint="eastAsia" w:ascii="方正黑体_GBK" w:hAnsi="方正黑体_GBK" w:eastAsia="方正黑体_GBK" w:cs="方正黑体_GBK"/>
              <w:kern w:val="44"/>
              <w:szCs w:val="24"/>
              <w:lang w:val="en-US"/>
            </w:rPr>
            <w:t>四部分 附件</w:t>
          </w:r>
          <w:r>
            <w:tab/>
          </w:r>
          <w:r>
            <w:fldChar w:fldCharType="begin"/>
          </w:r>
          <w:r>
            <w:instrText xml:space="preserve"> PAGEREF _Toc21525 \h </w:instrText>
          </w:r>
          <w:r>
            <w:fldChar w:fldCharType="separate"/>
          </w:r>
          <w:r>
            <w:t>28</w:t>
          </w:r>
          <w:r>
            <w:fldChar w:fldCharType="end"/>
          </w:r>
          <w:r>
            <w:rPr>
              <w:rFonts w:hint="eastAsia" w:ascii="Times New Roman" w:hAnsi="Times New Roman" w:eastAsia="Times New Roman"/>
              <w:color w:val="auto"/>
              <w:kern w:val="2"/>
              <w:szCs w:val="24"/>
              <w:lang w:val="zh-CN"/>
            </w:rPr>
            <w:fldChar w:fldCharType="end"/>
          </w:r>
        </w:p>
        <w:p>
          <w:pPr>
            <w:pStyle w:val="11"/>
            <w:tabs>
              <w:tab w:val="right" w:leader="dot" w:pos="9178"/>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_Toc18200 </w:instrText>
          </w:r>
          <w:r>
            <w:rPr>
              <w:rFonts w:hint="eastAsia" w:ascii="Times New Roman" w:hAnsi="Times New Roman" w:eastAsia="Times New Roman"/>
              <w:kern w:val="2"/>
              <w:szCs w:val="24"/>
              <w:lang w:val="zh-CN"/>
            </w:rPr>
            <w:fldChar w:fldCharType="separate"/>
          </w:r>
          <w:r>
            <w:rPr>
              <w:rFonts w:hint="eastAsia" w:ascii="黑体" w:hAnsi="黑体" w:eastAsia="黑体"/>
              <w:kern w:val="44"/>
              <w:szCs w:val="24"/>
              <w:lang w:val="en-US"/>
            </w:rPr>
            <w:t>第五部分 附表</w:t>
          </w:r>
          <w:r>
            <w:tab/>
          </w:r>
          <w:r>
            <w:fldChar w:fldCharType="begin"/>
          </w:r>
          <w:r>
            <w:instrText xml:space="preserve"> PAGEREF _Toc18200 \h </w:instrText>
          </w:r>
          <w:r>
            <w:fldChar w:fldCharType="separate"/>
          </w:r>
          <w:r>
            <w:t>78</w:t>
          </w:r>
          <w:r>
            <w:fldChar w:fldCharType="end"/>
          </w:r>
          <w:r>
            <w:rPr>
              <w:rFonts w:hint="eastAsia" w:ascii="Times New Roman" w:hAnsi="Times New Roman" w:eastAsia="Times New Roman"/>
              <w:color w:val="auto"/>
              <w:kern w:val="2"/>
              <w:szCs w:val="24"/>
              <w:lang w:val="zh-CN"/>
            </w:rPr>
            <w:fldChar w:fldCharType="end"/>
          </w:r>
        </w:p>
        <w:p>
          <w:pPr>
            <w:pStyle w:val="12"/>
            <w:tabs>
              <w:tab w:val="right" w:leader="dot" w:pos="9178"/>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_Toc4848 </w:instrText>
          </w:r>
          <w:r>
            <w:rPr>
              <w:rFonts w:hint="eastAsia" w:ascii="Times New Roman" w:hAnsi="Times New Roman" w:eastAsia="Times New Roman"/>
              <w:kern w:val="2"/>
              <w:szCs w:val="24"/>
              <w:lang w:val="zh-CN"/>
            </w:rPr>
            <w:fldChar w:fldCharType="separate"/>
          </w:r>
          <w:r>
            <w:rPr>
              <w:rFonts w:hint="eastAsia" w:ascii="方正黑体_GBK" w:hAnsi="方正黑体_GBK" w:eastAsia="方正黑体_GBK" w:cs="方正黑体_GBK"/>
              <w:kern w:val="2"/>
              <w:szCs w:val="24"/>
              <w:lang w:val="en-US"/>
            </w:rPr>
            <w:t>一、收入支出决算总表</w:t>
          </w:r>
          <w:r>
            <w:tab/>
          </w:r>
          <w:r>
            <w:fldChar w:fldCharType="begin"/>
          </w:r>
          <w:r>
            <w:instrText xml:space="preserve"> PAGEREF _Toc4848 \h </w:instrText>
          </w:r>
          <w:r>
            <w:fldChar w:fldCharType="separate"/>
          </w:r>
          <w:r>
            <w:t>78</w:t>
          </w:r>
          <w:r>
            <w:fldChar w:fldCharType="end"/>
          </w:r>
          <w:r>
            <w:rPr>
              <w:rFonts w:hint="eastAsia" w:ascii="Times New Roman" w:hAnsi="Times New Roman" w:eastAsia="Times New Roman"/>
              <w:color w:val="auto"/>
              <w:kern w:val="2"/>
              <w:szCs w:val="24"/>
              <w:lang w:val="zh-CN"/>
            </w:rPr>
            <w:fldChar w:fldCharType="end"/>
          </w:r>
        </w:p>
        <w:p>
          <w:pPr>
            <w:pStyle w:val="12"/>
            <w:tabs>
              <w:tab w:val="right" w:leader="dot" w:pos="9178"/>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_Toc30127 </w:instrText>
          </w:r>
          <w:r>
            <w:rPr>
              <w:rFonts w:hint="eastAsia" w:ascii="Times New Roman" w:hAnsi="Times New Roman" w:eastAsia="Times New Roman"/>
              <w:kern w:val="2"/>
              <w:szCs w:val="24"/>
              <w:lang w:val="zh-CN"/>
            </w:rPr>
            <w:fldChar w:fldCharType="separate"/>
          </w:r>
          <w:r>
            <w:rPr>
              <w:rFonts w:hint="eastAsia" w:ascii="方正黑体_GBK" w:hAnsi="方正黑体_GBK" w:eastAsia="方正黑体_GBK" w:cs="方正黑体_GBK"/>
              <w:kern w:val="2"/>
              <w:szCs w:val="24"/>
              <w:lang w:val="en-US"/>
            </w:rPr>
            <w:t>二、收入决算表</w:t>
          </w:r>
          <w:r>
            <w:tab/>
          </w:r>
          <w:r>
            <w:fldChar w:fldCharType="begin"/>
          </w:r>
          <w:r>
            <w:instrText xml:space="preserve"> PAGEREF _Toc30127 \h </w:instrText>
          </w:r>
          <w:r>
            <w:fldChar w:fldCharType="separate"/>
          </w:r>
          <w:r>
            <w:t>78</w:t>
          </w:r>
          <w:r>
            <w:fldChar w:fldCharType="end"/>
          </w:r>
          <w:r>
            <w:rPr>
              <w:rFonts w:hint="eastAsia" w:ascii="Times New Roman" w:hAnsi="Times New Roman" w:eastAsia="Times New Roman"/>
              <w:color w:val="auto"/>
              <w:kern w:val="2"/>
              <w:szCs w:val="24"/>
              <w:lang w:val="zh-CN"/>
            </w:rPr>
            <w:fldChar w:fldCharType="end"/>
          </w:r>
        </w:p>
        <w:p>
          <w:pPr>
            <w:pStyle w:val="12"/>
            <w:tabs>
              <w:tab w:val="right" w:leader="dot" w:pos="9178"/>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_Toc17484 </w:instrText>
          </w:r>
          <w:r>
            <w:rPr>
              <w:rFonts w:hint="eastAsia" w:ascii="Times New Roman" w:hAnsi="Times New Roman" w:eastAsia="Times New Roman"/>
              <w:kern w:val="2"/>
              <w:szCs w:val="24"/>
              <w:lang w:val="zh-CN"/>
            </w:rPr>
            <w:fldChar w:fldCharType="separate"/>
          </w:r>
          <w:r>
            <w:rPr>
              <w:rFonts w:hint="eastAsia" w:ascii="方正黑体_GBK" w:hAnsi="方正黑体_GBK" w:eastAsia="方正黑体_GBK" w:cs="方正黑体_GBK"/>
              <w:kern w:val="2"/>
              <w:szCs w:val="24"/>
              <w:lang w:val="en-US"/>
            </w:rPr>
            <w:t>三、支出决算表</w:t>
          </w:r>
          <w:r>
            <w:tab/>
          </w:r>
          <w:r>
            <w:fldChar w:fldCharType="begin"/>
          </w:r>
          <w:r>
            <w:instrText xml:space="preserve"> PAGEREF _Toc17484 \h </w:instrText>
          </w:r>
          <w:r>
            <w:fldChar w:fldCharType="separate"/>
          </w:r>
          <w:r>
            <w:t>78</w:t>
          </w:r>
          <w:r>
            <w:fldChar w:fldCharType="end"/>
          </w:r>
          <w:r>
            <w:rPr>
              <w:rFonts w:hint="eastAsia" w:ascii="Times New Roman" w:hAnsi="Times New Roman" w:eastAsia="Times New Roman"/>
              <w:color w:val="auto"/>
              <w:kern w:val="2"/>
              <w:szCs w:val="24"/>
              <w:lang w:val="zh-CN"/>
            </w:rPr>
            <w:fldChar w:fldCharType="end"/>
          </w:r>
        </w:p>
        <w:p>
          <w:pPr>
            <w:pStyle w:val="12"/>
            <w:tabs>
              <w:tab w:val="right" w:leader="dot" w:pos="9178"/>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_Toc22226 </w:instrText>
          </w:r>
          <w:r>
            <w:rPr>
              <w:rFonts w:hint="eastAsia" w:ascii="Times New Roman" w:hAnsi="Times New Roman" w:eastAsia="Times New Roman"/>
              <w:kern w:val="2"/>
              <w:szCs w:val="24"/>
              <w:lang w:val="zh-CN"/>
            </w:rPr>
            <w:fldChar w:fldCharType="separate"/>
          </w:r>
          <w:r>
            <w:rPr>
              <w:rFonts w:hint="eastAsia" w:ascii="方正黑体_GBK" w:hAnsi="方正黑体_GBK" w:eastAsia="方正黑体_GBK" w:cs="方正黑体_GBK"/>
              <w:kern w:val="2"/>
              <w:szCs w:val="24"/>
              <w:lang w:val="en-US"/>
            </w:rPr>
            <w:t>四、财政拨款收入支出决算总表</w:t>
          </w:r>
          <w:r>
            <w:tab/>
          </w:r>
          <w:r>
            <w:fldChar w:fldCharType="begin"/>
          </w:r>
          <w:r>
            <w:instrText xml:space="preserve"> PAGEREF _Toc22226 \h </w:instrText>
          </w:r>
          <w:r>
            <w:fldChar w:fldCharType="separate"/>
          </w:r>
          <w:r>
            <w:t>78</w:t>
          </w:r>
          <w:r>
            <w:fldChar w:fldCharType="end"/>
          </w:r>
          <w:r>
            <w:rPr>
              <w:rFonts w:hint="eastAsia" w:ascii="Times New Roman" w:hAnsi="Times New Roman" w:eastAsia="Times New Roman"/>
              <w:color w:val="auto"/>
              <w:kern w:val="2"/>
              <w:szCs w:val="24"/>
              <w:lang w:val="zh-CN"/>
            </w:rPr>
            <w:fldChar w:fldCharType="end"/>
          </w:r>
        </w:p>
        <w:p>
          <w:pPr>
            <w:pStyle w:val="12"/>
            <w:tabs>
              <w:tab w:val="right" w:leader="dot" w:pos="9178"/>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_Toc15198 </w:instrText>
          </w:r>
          <w:r>
            <w:rPr>
              <w:rFonts w:hint="eastAsia" w:ascii="Times New Roman" w:hAnsi="Times New Roman" w:eastAsia="Times New Roman"/>
              <w:kern w:val="2"/>
              <w:szCs w:val="24"/>
              <w:lang w:val="zh-CN"/>
            </w:rPr>
            <w:fldChar w:fldCharType="separate"/>
          </w:r>
          <w:r>
            <w:rPr>
              <w:rFonts w:hint="eastAsia" w:ascii="方正黑体_GBK" w:hAnsi="方正黑体_GBK" w:eastAsia="方正黑体_GBK" w:cs="方正黑体_GBK"/>
              <w:kern w:val="2"/>
              <w:szCs w:val="24"/>
              <w:lang w:val="en-US"/>
            </w:rPr>
            <w:t>五、财政拨款支出决算明细表</w:t>
          </w:r>
          <w:r>
            <w:tab/>
          </w:r>
          <w:r>
            <w:fldChar w:fldCharType="begin"/>
          </w:r>
          <w:r>
            <w:instrText xml:space="preserve"> PAGEREF _Toc15198 \h </w:instrText>
          </w:r>
          <w:r>
            <w:fldChar w:fldCharType="separate"/>
          </w:r>
          <w:r>
            <w:t>78</w:t>
          </w:r>
          <w:r>
            <w:fldChar w:fldCharType="end"/>
          </w:r>
          <w:r>
            <w:rPr>
              <w:rFonts w:hint="eastAsia" w:ascii="Times New Roman" w:hAnsi="Times New Roman" w:eastAsia="Times New Roman"/>
              <w:color w:val="auto"/>
              <w:kern w:val="2"/>
              <w:szCs w:val="24"/>
              <w:lang w:val="zh-CN"/>
            </w:rPr>
            <w:fldChar w:fldCharType="end"/>
          </w:r>
        </w:p>
        <w:p>
          <w:pPr>
            <w:pStyle w:val="12"/>
            <w:tabs>
              <w:tab w:val="right" w:leader="dot" w:pos="9178"/>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_Toc13270 </w:instrText>
          </w:r>
          <w:r>
            <w:rPr>
              <w:rFonts w:hint="eastAsia" w:ascii="Times New Roman" w:hAnsi="Times New Roman" w:eastAsia="Times New Roman"/>
              <w:kern w:val="2"/>
              <w:szCs w:val="24"/>
              <w:lang w:val="zh-CN"/>
            </w:rPr>
            <w:fldChar w:fldCharType="separate"/>
          </w:r>
          <w:r>
            <w:rPr>
              <w:rFonts w:hint="eastAsia" w:ascii="方正黑体_GBK" w:hAnsi="方正黑体_GBK" w:eastAsia="方正黑体_GBK" w:cs="方正黑体_GBK"/>
              <w:kern w:val="2"/>
              <w:szCs w:val="24"/>
              <w:lang w:val="en-US"/>
            </w:rPr>
            <w:t>六、一般公共预算财政拨款支出决算表</w:t>
          </w:r>
          <w:r>
            <w:tab/>
          </w:r>
          <w:r>
            <w:fldChar w:fldCharType="begin"/>
          </w:r>
          <w:r>
            <w:instrText xml:space="preserve"> PAGEREF _Toc13270 \h </w:instrText>
          </w:r>
          <w:r>
            <w:fldChar w:fldCharType="separate"/>
          </w:r>
          <w:r>
            <w:t>78</w:t>
          </w:r>
          <w:r>
            <w:fldChar w:fldCharType="end"/>
          </w:r>
          <w:r>
            <w:rPr>
              <w:rFonts w:hint="eastAsia" w:ascii="Times New Roman" w:hAnsi="Times New Roman" w:eastAsia="Times New Roman"/>
              <w:color w:val="auto"/>
              <w:kern w:val="2"/>
              <w:szCs w:val="24"/>
              <w:lang w:val="zh-CN"/>
            </w:rPr>
            <w:fldChar w:fldCharType="end"/>
          </w:r>
        </w:p>
        <w:p>
          <w:pPr>
            <w:pStyle w:val="12"/>
            <w:tabs>
              <w:tab w:val="right" w:leader="dot" w:pos="9178"/>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_Toc10441 </w:instrText>
          </w:r>
          <w:r>
            <w:rPr>
              <w:rFonts w:hint="eastAsia" w:ascii="Times New Roman" w:hAnsi="Times New Roman" w:eastAsia="Times New Roman"/>
              <w:kern w:val="2"/>
              <w:szCs w:val="24"/>
              <w:lang w:val="zh-CN"/>
            </w:rPr>
            <w:fldChar w:fldCharType="separate"/>
          </w:r>
          <w:r>
            <w:rPr>
              <w:rFonts w:hint="eastAsia" w:ascii="方正黑体_GBK" w:hAnsi="方正黑体_GBK" w:eastAsia="方正黑体_GBK" w:cs="方正黑体_GBK"/>
              <w:kern w:val="2"/>
              <w:szCs w:val="24"/>
              <w:lang w:val="en-US"/>
            </w:rPr>
            <w:t>七、一般公共预算财政拨款支出决算明细表</w:t>
          </w:r>
          <w:r>
            <w:tab/>
          </w:r>
          <w:r>
            <w:fldChar w:fldCharType="begin"/>
          </w:r>
          <w:r>
            <w:instrText xml:space="preserve"> PAGEREF _Toc10441 \h </w:instrText>
          </w:r>
          <w:r>
            <w:fldChar w:fldCharType="separate"/>
          </w:r>
          <w:r>
            <w:t>78</w:t>
          </w:r>
          <w:r>
            <w:fldChar w:fldCharType="end"/>
          </w:r>
          <w:r>
            <w:rPr>
              <w:rFonts w:hint="eastAsia" w:ascii="Times New Roman" w:hAnsi="Times New Roman" w:eastAsia="Times New Roman"/>
              <w:color w:val="auto"/>
              <w:kern w:val="2"/>
              <w:szCs w:val="24"/>
              <w:lang w:val="zh-CN"/>
            </w:rPr>
            <w:fldChar w:fldCharType="end"/>
          </w:r>
        </w:p>
        <w:p>
          <w:pPr>
            <w:pStyle w:val="12"/>
            <w:tabs>
              <w:tab w:val="right" w:leader="dot" w:pos="9178"/>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_Toc31952 </w:instrText>
          </w:r>
          <w:r>
            <w:rPr>
              <w:rFonts w:hint="eastAsia" w:ascii="Times New Roman" w:hAnsi="Times New Roman" w:eastAsia="Times New Roman"/>
              <w:kern w:val="2"/>
              <w:szCs w:val="24"/>
              <w:lang w:val="zh-CN"/>
            </w:rPr>
            <w:fldChar w:fldCharType="separate"/>
          </w:r>
          <w:r>
            <w:rPr>
              <w:rFonts w:hint="eastAsia" w:ascii="方正黑体_GBK" w:hAnsi="方正黑体_GBK" w:eastAsia="方正黑体_GBK" w:cs="方正黑体_GBK"/>
              <w:kern w:val="2"/>
              <w:szCs w:val="24"/>
              <w:lang w:val="en-US"/>
            </w:rPr>
            <w:t>八、一般公共预算财政拨款基本支出决算表</w:t>
          </w:r>
          <w:r>
            <w:tab/>
          </w:r>
          <w:r>
            <w:fldChar w:fldCharType="begin"/>
          </w:r>
          <w:r>
            <w:instrText xml:space="preserve"> PAGEREF _Toc31952 \h </w:instrText>
          </w:r>
          <w:r>
            <w:fldChar w:fldCharType="separate"/>
          </w:r>
          <w:r>
            <w:t>78</w:t>
          </w:r>
          <w:r>
            <w:fldChar w:fldCharType="end"/>
          </w:r>
          <w:r>
            <w:rPr>
              <w:rFonts w:hint="eastAsia" w:ascii="Times New Roman" w:hAnsi="Times New Roman" w:eastAsia="Times New Roman"/>
              <w:color w:val="auto"/>
              <w:kern w:val="2"/>
              <w:szCs w:val="24"/>
              <w:lang w:val="zh-CN"/>
            </w:rPr>
            <w:fldChar w:fldCharType="end"/>
          </w:r>
        </w:p>
        <w:p>
          <w:pPr>
            <w:pStyle w:val="12"/>
            <w:tabs>
              <w:tab w:val="right" w:leader="dot" w:pos="9178"/>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_Toc15946 </w:instrText>
          </w:r>
          <w:r>
            <w:rPr>
              <w:rFonts w:hint="eastAsia" w:ascii="Times New Roman" w:hAnsi="Times New Roman" w:eastAsia="Times New Roman"/>
              <w:kern w:val="2"/>
              <w:szCs w:val="24"/>
              <w:lang w:val="zh-CN"/>
            </w:rPr>
            <w:fldChar w:fldCharType="separate"/>
          </w:r>
          <w:r>
            <w:rPr>
              <w:rFonts w:hint="eastAsia" w:ascii="方正黑体_GBK" w:hAnsi="方正黑体_GBK" w:eastAsia="方正黑体_GBK" w:cs="方正黑体_GBK"/>
              <w:kern w:val="2"/>
              <w:szCs w:val="24"/>
              <w:lang w:val="en-US"/>
            </w:rPr>
            <w:t>九、一般公共预算财政拨款项目支出决算表</w:t>
          </w:r>
          <w:r>
            <w:tab/>
          </w:r>
          <w:r>
            <w:fldChar w:fldCharType="begin"/>
          </w:r>
          <w:r>
            <w:instrText xml:space="preserve"> PAGEREF _Toc15946 \h </w:instrText>
          </w:r>
          <w:r>
            <w:fldChar w:fldCharType="separate"/>
          </w:r>
          <w:r>
            <w:t>78</w:t>
          </w:r>
          <w:r>
            <w:fldChar w:fldCharType="end"/>
          </w:r>
          <w:r>
            <w:rPr>
              <w:rFonts w:hint="eastAsia" w:ascii="Times New Roman" w:hAnsi="Times New Roman" w:eastAsia="Times New Roman"/>
              <w:color w:val="auto"/>
              <w:kern w:val="2"/>
              <w:szCs w:val="24"/>
              <w:lang w:val="zh-CN"/>
            </w:rPr>
            <w:fldChar w:fldCharType="end"/>
          </w:r>
        </w:p>
        <w:p>
          <w:pPr>
            <w:pStyle w:val="12"/>
            <w:tabs>
              <w:tab w:val="right" w:leader="dot" w:pos="9178"/>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_Toc32411 </w:instrText>
          </w:r>
          <w:r>
            <w:rPr>
              <w:rFonts w:hint="eastAsia" w:ascii="Times New Roman" w:hAnsi="Times New Roman" w:eastAsia="Times New Roman"/>
              <w:kern w:val="2"/>
              <w:szCs w:val="24"/>
              <w:lang w:val="zh-CN"/>
            </w:rPr>
            <w:fldChar w:fldCharType="separate"/>
          </w:r>
          <w:r>
            <w:rPr>
              <w:rFonts w:hint="eastAsia" w:ascii="方正黑体_GBK" w:hAnsi="方正黑体_GBK" w:eastAsia="方正黑体_GBK" w:cs="方正黑体_GBK"/>
              <w:kern w:val="2"/>
              <w:szCs w:val="24"/>
              <w:lang w:val="en-US"/>
            </w:rPr>
            <w:t>十、政府性基金预算财政拨款收入支出决算表</w:t>
          </w:r>
          <w:r>
            <w:tab/>
          </w:r>
          <w:r>
            <w:fldChar w:fldCharType="begin"/>
          </w:r>
          <w:r>
            <w:instrText xml:space="preserve"> PAGEREF _Toc32411 \h </w:instrText>
          </w:r>
          <w:r>
            <w:fldChar w:fldCharType="separate"/>
          </w:r>
          <w:r>
            <w:t>78</w:t>
          </w:r>
          <w:r>
            <w:fldChar w:fldCharType="end"/>
          </w:r>
          <w:r>
            <w:rPr>
              <w:rFonts w:hint="eastAsia" w:ascii="Times New Roman" w:hAnsi="Times New Roman" w:eastAsia="Times New Roman"/>
              <w:color w:val="auto"/>
              <w:kern w:val="2"/>
              <w:szCs w:val="24"/>
              <w:lang w:val="zh-CN"/>
            </w:rPr>
            <w:fldChar w:fldCharType="end"/>
          </w:r>
        </w:p>
        <w:p>
          <w:pPr>
            <w:pStyle w:val="12"/>
            <w:tabs>
              <w:tab w:val="right" w:leader="dot" w:pos="9178"/>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_Toc14110 </w:instrText>
          </w:r>
          <w:r>
            <w:rPr>
              <w:rFonts w:hint="eastAsia" w:ascii="Times New Roman" w:hAnsi="Times New Roman" w:eastAsia="Times New Roman"/>
              <w:kern w:val="2"/>
              <w:szCs w:val="24"/>
              <w:lang w:val="zh-CN"/>
            </w:rPr>
            <w:fldChar w:fldCharType="separate"/>
          </w:r>
          <w:r>
            <w:rPr>
              <w:rFonts w:hint="eastAsia" w:ascii="方正黑体_GBK" w:hAnsi="方正黑体_GBK" w:eastAsia="方正黑体_GBK" w:cs="方正黑体_GBK"/>
              <w:kern w:val="2"/>
              <w:szCs w:val="24"/>
              <w:lang w:val="en-US"/>
            </w:rPr>
            <w:t>十一、国有资本经营预算财政拨款收入支出决算表</w:t>
          </w:r>
          <w:r>
            <w:tab/>
          </w:r>
          <w:r>
            <w:fldChar w:fldCharType="begin"/>
          </w:r>
          <w:r>
            <w:instrText xml:space="preserve"> PAGEREF _Toc14110 \h </w:instrText>
          </w:r>
          <w:r>
            <w:fldChar w:fldCharType="separate"/>
          </w:r>
          <w:r>
            <w:t>78</w:t>
          </w:r>
          <w:r>
            <w:fldChar w:fldCharType="end"/>
          </w:r>
          <w:r>
            <w:rPr>
              <w:rFonts w:hint="eastAsia" w:ascii="Times New Roman" w:hAnsi="Times New Roman" w:eastAsia="Times New Roman"/>
              <w:color w:val="auto"/>
              <w:kern w:val="2"/>
              <w:szCs w:val="24"/>
              <w:lang w:val="zh-CN"/>
            </w:rPr>
            <w:fldChar w:fldCharType="end"/>
          </w:r>
        </w:p>
        <w:p>
          <w:pPr>
            <w:pStyle w:val="12"/>
            <w:tabs>
              <w:tab w:val="right" w:leader="dot" w:pos="9178"/>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_Toc18978 </w:instrText>
          </w:r>
          <w:r>
            <w:rPr>
              <w:rFonts w:hint="eastAsia" w:ascii="Times New Roman" w:hAnsi="Times New Roman" w:eastAsia="Times New Roman"/>
              <w:kern w:val="2"/>
              <w:szCs w:val="24"/>
              <w:lang w:val="zh-CN"/>
            </w:rPr>
            <w:fldChar w:fldCharType="separate"/>
          </w:r>
          <w:r>
            <w:rPr>
              <w:rFonts w:hint="eastAsia" w:ascii="方正黑体_GBK" w:hAnsi="方正黑体_GBK" w:eastAsia="方正黑体_GBK" w:cs="方正黑体_GBK"/>
              <w:kern w:val="2"/>
              <w:szCs w:val="24"/>
              <w:lang w:val="en-US"/>
            </w:rPr>
            <w:t>十二、国有资本经营预算财政拨款支出决算表</w:t>
          </w:r>
          <w:r>
            <w:tab/>
          </w:r>
          <w:r>
            <w:fldChar w:fldCharType="begin"/>
          </w:r>
          <w:r>
            <w:instrText xml:space="preserve"> PAGEREF _Toc18978 \h </w:instrText>
          </w:r>
          <w:r>
            <w:fldChar w:fldCharType="separate"/>
          </w:r>
          <w:r>
            <w:t>78</w:t>
          </w:r>
          <w:r>
            <w:fldChar w:fldCharType="end"/>
          </w:r>
          <w:r>
            <w:rPr>
              <w:rFonts w:hint="eastAsia" w:ascii="Times New Roman" w:hAnsi="Times New Roman" w:eastAsia="Times New Roman"/>
              <w:color w:val="auto"/>
              <w:kern w:val="2"/>
              <w:szCs w:val="24"/>
              <w:lang w:val="zh-CN"/>
            </w:rPr>
            <w:fldChar w:fldCharType="end"/>
          </w:r>
        </w:p>
        <w:p>
          <w:pPr>
            <w:pStyle w:val="12"/>
            <w:tabs>
              <w:tab w:val="right" w:leader="dot" w:pos="9178"/>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_Toc8344 </w:instrText>
          </w:r>
          <w:r>
            <w:rPr>
              <w:rFonts w:hint="eastAsia" w:ascii="Times New Roman" w:hAnsi="Times New Roman" w:eastAsia="Times New Roman"/>
              <w:kern w:val="2"/>
              <w:szCs w:val="24"/>
              <w:lang w:val="zh-CN"/>
            </w:rPr>
            <w:fldChar w:fldCharType="separate"/>
          </w:r>
          <w:r>
            <w:rPr>
              <w:rFonts w:hint="eastAsia" w:ascii="方正黑体_GBK" w:hAnsi="方正黑体_GBK" w:eastAsia="方正黑体_GBK" w:cs="方正黑体_GBK"/>
              <w:kern w:val="2"/>
              <w:szCs w:val="24"/>
              <w:lang w:val="en-US"/>
            </w:rPr>
            <w:t>十三、财政拨款</w:t>
          </w:r>
          <w:r>
            <w:rPr>
              <w:rFonts w:hint="default" w:ascii="方正黑体_GBK" w:hAnsi="方正黑体_GBK" w:eastAsia="方正黑体_GBK" w:cs="方正黑体_GBK"/>
              <w:kern w:val="2"/>
              <w:szCs w:val="24"/>
              <w:lang w:val="en-US"/>
            </w:rPr>
            <w:t>“</w:t>
          </w:r>
          <w:r>
            <w:rPr>
              <w:rFonts w:hint="eastAsia" w:ascii="方正黑体_GBK" w:hAnsi="方正黑体_GBK" w:eastAsia="方正黑体_GBK" w:cs="方正黑体_GBK"/>
              <w:kern w:val="2"/>
              <w:szCs w:val="24"/>
              <w:lang w:val="en-US"/>
            </w:rPr>
            <w:t>三公</w:t>
          </w:r>
          <w:r>
            <w:rPr>
              <w:rFonts w:hint="default" w:ascii="方正黑体_GBK" w:hAnsi="方正黑体_GBK" w:eastAsia="方正黑体_GBK" w:cs="方正黑体_GBK"/>
              <w:kern w:val="2"/>
              <w:szCs w:val="24"/>
              <w:lang w:val="en-US"/>
            </w:rPr>
            <w:t>”</w:t>
          </w:r>
          <w:r>
            <w:rPr>
              <w:rFonts w:hint="eastAsia" w:ascii="方正黑体_GBK" w:hAnsi="方正黑体_GBK" w:eastAsia="方正黑体_GBK" w:cs="方正黑体_GBK"/>
              <w:kern w:val="2"/>
              <w:szCs w:val="24"/>
              <w:lang w:val="en-US"/>
            </w:rPr>
            <w:t>经费支出决算表</w:t>
          </w:r>
          <w:r>
            <w:tab/>
          </w:r>
          <w:r>
            <w:fldChar w:fldCharType="begin"/>
          </w:r>
          <w:r>
            <w:instrText xml:space="preserve"> PAGEREF _Toc8344 \h </w:instrText>
          </w:r>
          <w:r>
            <w:fldChar w:fldCharType="separate"/>
          </w:r>
          <w:r>
            <w:t>78</w:t>
          </w:r>
          <w:r>
            <w:fldChar w:fldCharType="end"/>
          </w:r>
          <w:r>
            <w:rPr>
              <w:rFonts w:hint="eastAsia" w:ascii="Times New Roman" w:hAnsi="Times New Roman" w:eastAsia="Times New Roman"/>
              <w:color w:val="auto"/>
              <w:kern w:val="2"/>
              <w:szCs w:val="24"/>
              <w:lang w:val="zh-CN"/>
            </w:rPr>
            <w:fldChar w:fldCharType="end"/>
          </w:r>
        </w:p>
        <w:p>
          <w:pPr>
            <w:keepNext w:val="0"/>
            <w:keepLines w:val="0"/>
            <w:pageBreakBefore w:val="0"/>
            <w:widowControl w:val="0"/>
            <w:kinsoku/>
            <w:wordWrap/>
            <w:overflowPunct/>
            <w:topLinePunct w:val="0"/>
            <w:bidi w:val="0"/>
            <w:spacing w:beforeLines="0" w:afterLines="0"/>
            <w:jc w:val="both"/>
            <w:rPr>
              <w:rFonts w:hint="eastAsia" w:ascii="Times New Roman" w:hAnsi="Times New Roman" w:eastAsia="Times New Roman"/>
              <w:color w:val="auto"/>
              <w:kern w:val="2"/>
              <w:szCs w:val="24"/>
              <w:lang w:val="zh-CN"/>
            </w:rPr>
          </w:pPr>
          <w:r>
            <w:rPr>
              <w:rFonts w:hint="eastAsia" w:ascii="Times New Roman" w:hAnsi="Times New Roman" w:eastAsia="Times New Roman"/>
              <w:color w:val="auto"/>
              <w:kern w:val="2"/>
              <w:szCs w:val="24"/>
              <w:lang w:val="zh-CN"/>
            </w:rPr>
            <w:fldChar w:fldCharType="end"/>
          </w:r>
        </w:p>
        <w:p>
          <w:pPr>
            <w:keepNext w:val="0"/>
            <w:keepLines w:val="0"/>
            <w:pageBreakBefore w:val="0"/>
            <w:widowControl w:val="0"/>
            <w:kinsoku/>
            <w:wordWrap/>
            <w:overflowPunct/>
            <w:topLinePunct w:val="0"/>
            <w:bidi w:val="0"/>
            <w:spacing w:beforeLines="0" w:afterLines="0"/>
            <w:jc w:val="both"/>
            <w:rPr>
              <w:rFonts w:hint="eastAsia" w:ascii="Times New Roman" w:hAnsi="Times New Roman" w:eastAsia="Times New Roman"/>
              <w:color w:val="auto"/>
              <w:kern w:val="2"/>
              <w:szCs w:val="24"/>
              <w:lang w:val="zh-CN"/>
            </w:rPr>
          </w:pPr>
        </w:p>
        <w:p>
          <w:pPr>
            <w:keepNext w:val="0"/>
            <w:keepLines w:val="0"/>
            <w:pageBreakBefore w:val="0"/>
            <w:widowControl w:val="0"/>
            <w:kinsoku/>
            <w:wordWrap/>
            <w:overflowPunct/>
            <w:topLinePunct w:val="0"/>
            <w:bidi w:val="0"/>
            <w:spacing w:beforeLines="0" w:afterLines="0"/>
            <w:jc w:val="both"/>
            <w:rPr>
              <w:rFonts w:hint="eastAsia" w:ascii="Times New Roman" w:hAnsi="Times New Roman" w:eastAsia="Times New Roman"/>
              <w:color w:val="auto"/>
              <w:kern w:val="2"/>
              <w:sz w:val="21"/>
              <w:szCs w:val="24"/>
              <w:lang w:val="zh-CN"/>
            </w:rPr>
          </w:pPr>
        </w:p>
      </w:sdtContent>
    </w:sdt>
    <w:p>
      <w:pPr>
        <w:pStyle w:val="3"/>
        <w:keepNext w:val="0"/>
        <w:keepLines w:val="0"/>
        <w:pageBreakBefore w:val="0"/>
        <w:widowControl w:val="0"/>
        <w:kinsoku/>
        <w:wordWrap/>
        <w:overflowPunct/>
        <w:topLinePunct w:val="0"/>
        <w:bidi w:val="0"/>
        <w:spacing w:before="340" w:beforeLines="0" w:after="330" w:afterLines="0" w:line="576" w:lineRule="auto"/>
        <w:jc w:val="center"/>
        <w:outlineLvl w:val="0"/>
        <w:rPr>
          <w:rFonts w:hint="eastAsia" w:ascii="黑体" w:hAnsi="黑体" w:eastAsia="黑体"/>
          <w:b/>
          <w:color w:val="auto"/>
          <w:kern w:val="44"/>
          <w:sz w:val="44"/>
          <w:szCs w:val="24"/>
          <w:lang w:val="zh-CN"/>
        </w:rPr>
      </w:pPr>
      <w:bookmarkStart w:id="2" w:name="_Toc3465"/>
      <w:r>
        <w:rPr>
          <w:rFonts w:hint="eastAsia" w:ascii="黑体" w:hAnsi="黑体" w:eastAsia="黑体"/>
          <w:color w:val="auto"/>
          <w:kern w:val="44"/>
          <w:sz w:val="44"/>
          <w:szCs w:val="24"/>
          <w:lang w:val="zh-CN"/>
        </w:rPr>
        <w:t xml:space="preserve">第一部分 </w:t>
      </w:r>
      <w:r>
        <w:rPr>
          <w:rFonts w:hint="eastAsia" w:ascii="黑体" w:hAnsi="黑体" w:eastAsia="黑体"/>
          <w:color w:val="auto"/>
          <w:kern w:val="44"/>
          <w:sz w:val="44"/>
          <w:szCs w:val="24"/>
          <w:lang w:val="en-US" w:eastAsia="zh-CN"/>
        </w:rPr>
        <w:t>部门</w:t>
      </w:r>
      <w:r>
        <w:rPr>
          <w:rFonts w:hint="eastAsia" w:ascii="黑体" w:hAnsi="黑体" w:eastAsia="黑体"/>
          <w:color w:val="auto"/>
          <w:kern w:val="44"/>
          <w:sz w:val="44"/>
          <w:szCs w:val="24"/>
          <w:lang w:val="zh-CN"/>
        </w:rPr>
        <w:t>概况</w:t>
      </w:r>
      <w:bookmarkEnd w:id="2"/>
    </w:p>
    <w:p>
      <w:pPr>
        <w:pStyle w:val="3"/>
        <w:bidi w:val="0"/>
        <w:ind w:firstLine="660" w:firstLineChars="200"/>
        <w:jc w:val="both"/>
        <w:outlineLvl w:val="0"/>
        <w:rPr>
          <w:rFonts w:hint="eastAsia"/>
          <w:lang w:val="zh-CN"/>
        </w:rPr>
      </w:pPr>
      <w:bookmarkStart w:id="3" w:name="_Toc23574"/>
      <w:r>
        <w:rPr>
          <w:rFonts w:hint="eastAsia"/>
          <w:lang w:val="zh-CN"/>
        </w:rPr>
        <w:t>一、基本职能及主要工作</w:t>
      </w:r>
      <w:bookmarkEnd w:id="3"/>
    </w:p>
    <w:p>
      <w:pPr>
        <w:pStyle w:val="4"/>
        <w:keepNext w:val="0"/>
        <w:keepLines w:val="0"/>
        <w:pageBreakBefore w:val="0"/>
        <w:widowControl w:val="0"/>
        <w:kinsoku/>
        <w:wordWrap/>
        <w:overflowPunct/>
        <w:topLinePunct w:val="0"/>
        <w:bidi w:val="0"/>
        <w:spacing w:before="260" w:beforeLines="0" w:after="260" w:afterLines="0" w:line="576" w:lineRule="exact"/>
        <w:ind w:firstLine="640"/>
        <w:jc w:val="both"/>
        <w:outlineLvl w:val="1"/>
        <w:rPr>
          <w:rFonts w:hint="eastAsia" w:ascii="黑体" w:hAnsi="黑体" w:eastAsia="黑体"/>
          <w:color w:val="auto"/>
          <w:kern w:val="2"/>
          <w:sz w:val="32"/>
          <w:szCs w:val="24"/>
          <w:lang w:val="zh-CN"/>
        </w:rPr>
      </w:pPr>
      <w:bookmarkStart w:id="4" w:name="_Toc8745"/>
      <w:r>
        <w:rPr>
          <w:rFonts w:hint="default" w:ascii="Times New Roman" w:hAnsi="Times New Roman" w:eastAsia="仿宋" w:cs="Times New Roman"/>
          <w:bCs/>
          <w:color w:val="000000"/>
          <w:sz w:val="32"/>
          <w:szCs w:val="32"/>
        </w:rPr>
        <w:t>（一）</w:t>
      </w:r>
      <w:r>
        <w:rPr>
          <w:rFonts w:hint="eastAsia" w:eastAsia="仿宋" w:cs="Times New Roman"/>
          <w:bCs/>
          <w:color w:val="000000"/>
          <w:sz w:val="32"/>
          <w:szCs w:val="32"/>
          <w:lang w:val="en-US" w:eastAsia="zh-CN"/>
        </w:rPr>
        <w:t>基本</w:t>
      </w:r>
      <w:r>
        <w:rPr>
          <w:rFonts w:hint="default" w:ascii="Times New Roman" w:hAnsi="Times New Roman" w:eastAsia="仿宋" w:cs="Times New Roman"/>
          <w:bCs/>
          <w:color w:val="000000"/>
          <w:sz w:val="32"/>
          <w:szCs w:val="32"/>
        </w:rPr>
        <w:t>职能。</w:t>
      </w:r>
      <w:bookmarkEnd w:id="4"/>
    </w:p>
    <w:p>
      <w:pPr>
        <w:pStyle w:val="6"/>
        <w:keepNext w:val="0"/>
        <w:keepLines w:val="0"/>
        <w:pageBreakBefore w:val="0"/>
        <w:widowControl w:val="0"/>
        <w:kinsoku/>
        <w:wordWrap/>
        <w:overflowPunct/>
        <w:topLinePunct w:val="0"/>
        <w:bidi w:val="0"/>
        <w:adjustRightInd w:val="0"/>
        <w:snapToGrid w:val="0"/>
        <w:spacing w:before="93" w:line="600" w:lineRule="exact"/>
        <w:ind w:firstLine="672" w:firstLineChars="21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lang w:val="en-US" w:eastAsia="zh-CN"/>
        </w:rPr>
        <w:t>1.</w:t>
      </w:r>
      <w:r>
        <w:rPr>
          <w:rFonts w:hint="eastAsia" w:ascii="方正仿宋_GBK" w:hAnsi="方正仿宋_GBK" w:eastAsia="方正仿宋_GBK" w:cs="方正仿宋_GBK"/>
          <w:bCs/>
          <w:color w:val="000000"/>
          <w:sz w:val="32"/>
          <w:szCs w:val="32"/>
        </w:rPr>
        <w:t>负责应急管理工作，组织和指导各地、各部门应对安全生产类、自然灾害类等突发事件，抓好综合防灾减灾救灾工作。负责安全生产综合监督管理和工矿商贸、煤炭行业安全生产监督管理及防震减灾工作。</w:t>
      </w:r>
    </w:p>
    <w:p>
      <w:pPr>
        <w:pStyle w:val="6"/>
        <w:keepNext w:val="0"/>
        <w:keepLines w:val="0"/>
        <w:pageBreakBefore w:val="0"/>
        <w:widowControl w:val="0"/>
        <w:kinsoku/>
        <w:wordWrap/>
        <w:overflowPunct/>
        <w:topLinePunct w:val="0"/>
        <w:bidi w:val="0"/>
        <w:adjustRightInd w:val="0"/>
        <w:snapToGrid w:val="0"/>
        <w:spacing w:before="93" w:line="600" w:lineRule="exact"/>
        <w:ind w:firstLine="672" w:firstLineChars="21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lang w:val="en-US" w:eastAsia="zh-CN"/>
        </w:rPr>
        <w:t>2.</w:t>
      </w:r>
      <w:r>
        <w:rPr>
          <w:rFonts w:hint="eastAsia" w:ascii="方正仿宋_GBK" w:hAnsi="方正仿宋_GBK" w:eastAsia="方正仿宋_GBK" w:cs="方正仿宋_GBK"/>
          <w:bCs/>
          <w:color w:val="000000"/>
          <w:sz w:val="32"/>
          <w:szCs w:val="32"/>
        </w:rPr>
        <w:t>拟订应急管理、安全生产等政策措施，组织编制应急体系建设、安全生产和综合防灾减灾规划。</w:t>
      </w:r>
    </w:p>
    <w:p>
      <w:pPr>
        <w:pStyle w:val="6"/>
        <w:keepNext w:val="0"/>
        <w:keepLines w:val="0"/>
        <w:pageBreakBefore w:val="0"/>
        <w:widowControl w:val="0"/>
        <w:kinsoku/>
        <w:wordWrap/>
        <w:overflowPunct/>
        <w:topLinePunct w:val="0"/>
        <w:bidi w:val="0"/>
        <w:adjustRightInd w:val="0"/>
        <w:snapToGrid w:val="0"/>
        <w:spacing w:before="93" w:line="600" w:lineRule="exact"/>
        <w:ind w:firstLine="672" w:firstLineChars="21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lang w:val="en-US" w:eastAsia="zh-CN"/>
        </w:rPr>
        <w:t>3.</w:t>
      </w:r>
      <w:r>
        <w:rPr>
          <w:rFonts w:hint="eastAsia" w:ascii="方正仿宋_GBK" w:hAnsi="方正仿宋_GBK" w:eastAsia="方正仿宋_GBK" w:cs="方正仿宋_GBK"/>
          <w:bCs/>
          <w:color w:val="000000"/>
          <w:sz w:val="32"/>
          <w:szCs w:val="32"/>
        </w:rPr>
        <w:t>负责组织、指导应急预案体系建设，建立事故灾难和自然灾害分级应对制度，牵头组织编制综合应急防灾减灾预案和安全生产类、自然灾害类专项预案，负责应急预案衔接工作，组织开展预案演练，推动应急避难设施建设。</w:t>
      </w:r>
    </w:p>
    <w:p>
      <w:pPr>
        <w:pStyle w:val="6"/>
        <w:keepNext w:val="0"/>
        <w:keepLines w:val="0"/>
        <w:pageBreakBefore w:val="0"/>
        <w:widowControl w:val="0"/>
        <w:kinsoku/>
        <w:wordWrap/>
        <w:overflowPunct/>
        <w:topLinePunct w:val="0"/>
        <w:bidi w:val="0"/>
        <w:adjustRightInd w:val="0"/>
        <w:snapToGrid w:val="0"/>
        <w:spacing w:before="93" w:line="600" w:lineRule="exact"/>
        <w:ind w:firstLine="672" w:firstLineChars="21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lang w:val="en-US" w:eastAsia="zh-CN"/>
        </w:rPr>
        <w:t>4.</w:t>
      </w:r>
      <w:r>
        <w:rPr>
          <w:rFonts w:hint="eastAsia" w:ascii="方正仿宋_GBK" w:hAnsi="方正仿宋_GBK" w:eastAsia="方正仿宋_GBK" w:cs="方正仿宋_GBK"/>
          <w:bCs/>
          <w:color w:val="000000"/>
          <w:sz w:val="32"/>
          <w:szCs w:val="32"/>
        </w:rPr>
        <w:t>牵头建立统一的应急管理信息系统，负责信息传输渠道的规划和布局，建立监测预警和灾情报告制度，健全自然灾害信息资源获取和共享机制，依法统一发布灾情。</w:t>
      </w:r>
    </w:p>
    <w:p>
      <w:pPr>
        <w:pStyle w:val="6"/>
        <w:keepNext w:val="0"/>
        <w:keepLines w:val="0"/>
        <w:pageBreakBefore w:val="0"/>
        <w:widowControl w:val="0"/>
        <w:kinsoku/>
        <w:wordWrap/>
        <w:overflowPunct/>
        <w:topLinePunct w:val="0"/>
        <w:bidi w:val="0"/>
        <w:adjustRightInd w:val="0"/>
        <w:snapToGrid w:val="0"/>
        <w:spacing w:before="93" w:line="600" w:lineRule="exact"/>
        <w:ind w:firstLine="672" w:firstLineChars="21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lang w:val="en-US" w:eastAsia="zh-CN"/>
        </w:rPr>
        <w:t>5.</w:t>
      </w:r>
      <w:r>
        <w:rPr>
          <w:rFonts w:hint="eastAsia" w:ascii="方正仿宋_GBK" w:hAnsi="方正仿宋_GBK" w:eastAsia="方正仿宋_GBK" w:cs="方正仿宋_GBK"/>
          <w:bCs/>
          <w:color w:val="000000"/>
          <w:sz w:val="32"/>
          <w:szCs w:val="32"/>
        </w:rPr>
        <w:t>负责组织、指导、协调安全生产类、自然灾害类等突发事件应急救援，承担全市应对较大及以上灾害指挥部工作，综合研判突发事件发展态势并提出应对建议，负责组织较大及以上灾害应急处置工作。</w:t>
      </w:r>
    </w:p>
    <w:p>
      <w:pPr>
        <w:pStyle w:val="6"/>
        <w:keepNext w:val="0"/>
        <w:keepLines w:val="0"/>
        <w:pageBreakBefore w:val="0"/>
        <w:widowControl w:val="0"/>
        <w:kinsoku/>
        <w:wordWrap/>
        <w:overflowPunct/>
        <w:topLinePunct w:val="0"/>
        <w:bidi w:val="0"/>
        <w:adjustRightInd w:val="0"/>
        <w:snapToGrid w:val="0"/>
        <w:spacing w:before="93" w:line="600" w:lineRule="exact"/>
        <w:ind w:firstLine="672" w:firstLineChars="21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lang w:val="en-US" w:eastAsia="zh-CN"/>
        </w:rPr>
        <w:t>6.</w:t>
      </w:r>
      <w:r>
        <w:rPr>
          <w:rFonts w:hint="eastAsia" w:ascii="方正仿宋_GBK" w:hAnsi="方正仿宋_GBK" w:eastAsia="方正仿宋_GBK" w:cs="方正仿宋_GBK"/>
          <w:bCs/>
          <w:color w:val="000000"/>
          <w:sz w:val="32"/>
          <w:szCs w:val="32"/>
        </w:rPr>
        <w:t>统一协调指挥各类应急专业队伍，建立应急协调联动机制，推进指挥平台对接，提请衔接解放军和武警部队参与应急救援工作。</w:t>
      </w:r>
    </w:p>
    <w:p>
      <w:pPr>
        <w:pStyle w:val="6"/>
        <w:keepNext w:val="0"/>
        <w:keepLines w:val="0"/>
        <w:pageBreakBefore w:val="0"/>
        <w:widowControl w:val="0"/>
        <w:kinsoku/>
        <w:wordWrap/>
        <w:overflowPunct/>
        <w:topLinePunct w:val="0"/>
        <w:bidi w:val="0"/>
        <w:adjustRightInd w:val="0"/>
        <w:snapToGrid w:val="0"/>
        <w:spacing w:before="93" w:line="600" w:lineRule="exact"/>
        <w:ind w:firstLine="672" w:firstLineChars="21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lang w:val="en-US" w:eastAsia="zh-CN"/>
        </w:rPr>
        <w:t>7.</w:t>
      </w:r>
      <w:r>
        <w:rPr>
          <w:rFonts w:hint="eastAsia" w:ascii="方正仿宋_GBK" w:hAnsi="方正仿宋_GBK" w:eastAsia="方正仿宋_GBK" w:cs="方正仿宋_GBK"/>
          <w:bCs/>
          <w:color w:val="000000"/>
          <w:sz w:val="32"/>
          <w:szCs w:val="32"/>
        </w:rPr>
        <w:t>按照国家相关政策和规定负责消防、森林火灾扑救、抗洪抢险、地震和地质灾害救援、生产安全事故救援等专业应急救援力量建设，依法依规统筹指导各地及社会应急救援力量和应急保障能力建设。</w:t>
      </w:r>
    </w:p>
    <w:p>
      <w:pPr>
        <w:pStyle w:val="6"/>
        <w:keepNext w:val="0"/>
        <w:keepLines w:val="0"/>
        <w:pageBreakBefore w:val="0"/>
        <w:widowControl w:val="0"/>
        <w:kinsoku/>
        <w:wordWrap/>
        <w:overflowPunct/>
        <w:topLinePunct w:val="0"/>
        <w:bidi w:val="0"/>
        <w:adjustRightInd w:val="0"/>
        <w:snapToGrid w:val="0"/>
        <w:spacing w:before="93" w:line="600" w:lineRule="exact"/>
        <w:ind w:firstLine="672" w:firstLineChars="21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lang w:val="en-US" w:eastAsia="zh-CN"/>
        </w:rPr>
        <w:t>8.</w:t>
      </w:r>
      <w:r>
        <w:rPr>
          <w:rFonts w:hint="eastAsia" w:ascii="方正仿宋_GBK" w:hAnsi="方正仿宋_GBK" w:eastAsia="方正仿宋_GBK" w:cs="方正仿宋_GBK"/>
          <w:bCs/>
          <w:color w:val="000000"/>
          <w:sz w:val="32"/>
          <w:szCs w:val="32"/>
        </w:rPr>
        <w:t>按照国家相关政策和省委、省政府及市委、市政府相关规定负责消防工作，组织和指导消防监督、火灾预防、火灾扑救等工作。</w:t>
      </w:r>
    </w:p>
    <w:p>
      <w:pPr>
        <w:pStyle w:val="6"/>
        <w:keepNext w:val="0"/>
        <w:keepLines w:val="0"/>
        <w:pageBreakBefore w:val="0"/>
        <w:widowControl w:val="0"/>
        <w:kinsoku/>
        <w:wordWrap/>
        <w:overflowPunct/>
        <w:topLinePunct w:val="0"/>
        <w:bidi w:val="0"/>
        <w:adjustRightInd w:val="0"/>
        <w:snapToGrid w:val="0"/>
        <w:spacing w:before="93" w:line="600" w:lineRule="exact"/>
        <w:ind w:firstLine="672" w:firstLineChars="21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lang w:val="en-US" w:eastAsia="zh-CN"/>
        </w:rPr>
        <w:t>9.</w:t>
      </w:r>
      <w:r>
        <w:rPr>
          <w:rFonts w:hint="eastAsia" w:ascii="方正仿宋_GBK" w:hAnsi="方正仿宋_GBK" w:eastAsia="方正仿宋_GBK" w:cs="方正仿宋_GBK"/>
          <w:bCs/>
          <w:color w:val="000000"/>
          <w:sz w:val="32"/>
          <w:szCs w:val="32"/>
        </w:rPr>
        <w:t>负责自然灾害综合监测预警工作，承担自然灾害综合风险评估工作，督促、指导森林火灾、水旱灾害、地震和地质灾害等防治工作。</w:t>
      </w:r>
    </w:p>
    <w:p>
      <w:pPr>
        <w:pStyle w:val="6"/>
        <w:keepNext w:val="0"/>
        <w:keepLines w:val="0"/>
        <w:pageBreakBefore w:val="0"/>
        <w:widowControl w:val="0"/>
        <w:kinsoku/>
        <w:wordWrap/>
        <w:overflowPunct/>
        <w:topLinePunct w:val="0"/>
        <w:bidi w:val="0"/>
        <w:adjustRightInd w:val="0"/>
        <w:snapToGrid w:val="0"/>
        <w:spacing w:before="93" w:line="600" w:lineRule="exact"/>
        <w:ind w:firstLine="672" w:firstLineChars="21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lang w:val="en-US" w:eastAsia="zh-CN"/>
        </w:rPr>
        <w:t>10.</w:t>
      </w:r>
      <w:r>
        <w:rPr>
          <w:rFonts w:hint="eastAsia" w:ascii="方正仿宋_GBK" w:hAnsi="方正仿宋_GBK" w:eastAsia="方正仿宋_GBK" w:cs="方正仿宋_GBK"/>
          <w:bCs/>
          <w:color w:val="000000"/>
          <w:sz w:val="32"/>
          <w:szCs w:val="32"/>
        </w:rPr>
        <w:t>负责组织、协调灾害救助工作，组织和指导灾情核查、损失评估、救灾捐赠工作，管理、分配中央、省级下拨及市级救灾款物并监督使用。</w:t>
      </w:r>
    </w:p>
    <w:p>
      <w:pPr>
        <w:pStyle w:val="6"/>
        <w:keepNext w:val="0"/>
        <w:keepLines w:val="0"/>
        <w:pageBreakBefore w:val="0"/>
        <w:widowControl w:val="0"/>
        <w:kinsoku/>
        <w:wordWrap/>
        <w:overflowPunct/>
        <w:topLinePunct w:val="0"/>
        <w:bidi w:val="0"/>
        <w:adjustRightInd w:val="0"/>
        <w:snapToGrid w:val="0"/>
        <w:spacing w:before="93" w:line="600" w:lineRule="exact"/>
        <w:ind w:firstLine="672" w:firstLineChars="21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lang w:val="en-US" w:eastAsia="zh-CN"/>
        </w:rPr>
        <w:t>11.</w:t>
      </w:r>
      <w:r>
        <w:rPr>
          <w:rFonts w:hint="eastAsia" w:ascii="方正仿宋_GBK" w:hAnsi="方正仿宋_GBK" w:eastAsia="方正仿宋_GBK" w:cs="方正仿宋_GBK"/>
          <w:bCs/>
          <w:color w:val="000000"/>
          <w:sz w:val="32"/>
          <w:szCs w:val="32"/>
        </w:rPr>
        <w:t>依法承担安全生产综合监督管理责任。指导协调、监督检查市级有关部门和各区市县（园区）安全生产工作，组织开展安全生产巡查、考核工作。</w:t>
      </w:r>
    </w:p>
    <w:p>
      <w:pPr>
        <w:pStyle w:val="6"/>
        <w:keepNext w:val="0"/>
        <w:keepLines w:val="0"/>
        <w:pageBreakBefore w:val="0"/>
        <w:widowControl w:val="0"/>
        <w:kinsoku/>
        <w:wordWrap/>
        <w:overflowPunct/>
        <w:topLinePunct w:val="0"/>
        <w:bidi w:val="0"/>
        <w:adjustRightInd w:val="0"/>
        <w:snapToGrid w:val="0"/>
        <w:spacing w:before="93" w:line="600" w:lineRule="exact"/>
        <w:ind w:firstLine="672" w:firstLineChars="21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lang w:val="en-US" w:eastAsia="zh-CN"/>
        </w:rPr>
        <w:t>12.</w:t>
      </w:r>
      <w:r>
        <w:rPr>
          <w:rFonts w:hint="eastAsia" w:ascii="方正仿宋_GBK" w:hAnsi="方正仿宋_GBK" w:eastAsia="方正仿宋_GBK" w:cs="方正仿宋_GBK"/>
          <w:bCs/>
          <w:color w:val="000000"/>
          <w:sz w:val="32"/>
          <w:szCs w:val="32"/>
        </w:rPr>
        <w:t>按照分级、属地原则，依法监督检查工矿商贸生产经营单位贯彻执行安全生产法律法规情况及其安全生产条件和有关设备（特种设备除外）、材料、劳动防护用品的安全生产管理工作。协助上级应急管理部门做好中央和省属在广安市辖区内工矿商贸企业安全生产监督管理工作。负责危险化学品安全监督管理综合工作和烟花爆竹安全生产监督管理工作。</w:t>
      </w:r>
    </w:p>
    <w:p>
      <w:pPr>
        <w:pStyle w:val="6"/>
        <w:keepNext w:val="0"/>
        <w:keepLines w:val="0"/>
        <w:pageBreakBefore w:val="0"/>
        <w:widowControl w:val="0"/>
        <w:kinsoku/>
        <w:wordWrap/>
        <w:overflowPunct/>
        <w:topLinePunct w:val="0"/>
        <w:bidi w:val="0"/>
        <w:adjustRightInd w:val="0"/>
        <w:snapToGrid w:val="0"/>
        <w:spacing w:before="93" w:line="600" w:lineRule="exact"/>
        <w:ind w:firstLine="672" w:firstLineChars="21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lang w:val="en-US" w:eastAsia="zh-CN"/>
        </w:rPr>
        <w:t>13.</w:t>
      </w:r>
      <w:r>
        <w:rPr>
          <w:rFonts w:hint="eastAsia" w:ascii="方正仿宋_GBK" w:hAnsi="方正仿宋_GBK" w:eastAsia="方正仿宋_GBK" w:cs="方正仿宋_GBK"/>
          <w:bCs/>
          <w:color w:val="000000"/>
          <w:sz w:val="32"/>
          <w:szCs w:val="32"/>
        </w:rPr>
        <w:t>承担煤矿、非煤矿山、危险化学品、非药品类易制毒化学品和烟花爆竹等生产经营单位安全生产准入管理责任。</w:t>
      </w:r>
    </w:p>
    <w:p>
      <w:pPr>
        <w:pStyle w:val="6"/>
        <w:keepNext w:val="0"/>
        <w:keepLines w:val="0"/>
        <w:pageBreakBefore w:val="0"/>
        <w:widowControl w:val="0"/>
        <w:kinsoku/>
        <w:wordWrap/>
        <w:overflowPunct/>
        <w:topLinePunct w:val="0"/>
        <w:bidi w:val="0"/>
        <w:adjustRightInd w:val="0"/>
        <w:snapToGrid w:val="0"/>
        <w:spacing w:before="93" w:line="600" w:lineRule="exact"/>
        <w:ind w:firstLine="672" w:firstLineChars="21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lang w:val="en-US" w:eastAsia="zh-CN"/>
        </w:rPr>
        <w:t>14.</w:t>
      </w:r>
      <w:r>
        <w:rPr>
          <w:rFonts w:hint="eastAsia" w:ascii="方正仿宋_GBK" w:hAnsi="方正仿宋_GBK" w:eastAsia="方正仿宋_GBK" w:cs="方正仿宋_GBK"/>
          <w:bCs/>
          <w:color w:val="000000"/>
          <w:sz w:val="32"/>
          <w:szCs w:val="32"/>
        </w:rPr>
        <w:t>拟订煤炭产业发展计划并组织实施，组织实施煤炭行业标准、准入条件，按权限审核、上报煤炭项目并负责建设管理。负责煤炭生产协调和监督管理，煤炭行业结构调整和产业升级，煤矿瓦斯等级鉴定、瓦斯治理和利用。推进煤炭体制改革。</w:t>
      </w:r>
    </w:p>
    <w:p>
      <w:pPr>
        <w:pStyle w:val="6"/>
        <w:keepNext w:val="0"/>
        <w:keepLines w:val="0"/>
        <w:pageBreakBefore w:val="0"/>
        <w:widowControl w:val="0"/>
        <w:kinsoku/>
        <w:wordWrap/>
        <w:overflowPunct/>
        <w:topLinePunct w:val="0"/>
        <w:bidi w:val="0"/>
        <w:adjustRightInd w:val="0"/>
        <w:snapToGrid w:val="0"/>
        <w:spacing w:before="93" w:line="600" w:lineRule="exact"/>
        <w:ind w:firstLine="672" w:firstLineChars="21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lang w:val="en-US" w:eastAsia="zh-CN"/>
        </w:rPr>
        <w:t>15.</w:t>
      </w:r>
      <w:r>
        <w:rPr>
          <w:rFonts w:hint="eastAsia" w:ascii="方正仿宋_GBK" w:hAnsi="方正仿宋_GBK" w:eastAsia="方正仿宋_GBK" w:cs="方正仿宋_GBK"/>
          <w:bCs/>
          <w:color w:val="000000"/>
          <w:sz w:val="32"/>
          <w:szCs w:val="32"/>
        </w:rPr>
        <w:t>承担煤矿安全生产监督管理责任，依法监督检查煤矿企业贯彻执行安全生产法律法规情况及其安全生产条件和有关设备（特种设备除外）、材料、劳动防护用品的安全生产管理工作。负责组织、指导煤矿企业开展安全专项整治、安全生产标准化建设、瓦斯和水害防治及相关安全科技发展工作。参与煤矿事故调查处理工作。</w:t>
      </w:r>
    </w:p>
    <w:p>
      <w:pPr>
        <w:pStyle w:val="6"/>
        <w:keepNext w:val="0"/>
        <w:keepLines w:val="0"/>
        <w:pageBreakBefore w:val="0"/>
        <w:widowControl w:val="0"/>
        <w:kinsoku/>
        <w:wordWrap/>
        <w:overflowPunct/>
        <w:topLinePunct w:val="0"/>
        <w:bidi w:val="0"/>
        <w:adjustRightInd w:val="0"/>
        <w:snapToGrid w:val="0"/>
        <w:spacing w:before="93" w:line="600" w:lineRule="exact"/>
        <w:ind w:firstLine="672" w:firstLineChars="21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lang w:val="en-US" w:eastAsia="zh-CN"/>
        </w:rPr>
        <w:t>16.</w:t>
      </w:r>
      <w:r>
        <w:rPr>
          <w:rFonts w:hint="eastAsia" w:ascii="方正仿宋_GBK" w:hAnsi="方正仿宋_GBK" w:eastAsia="方正仿宋_GBK" w:cs="方正仿宋_GBK"/>
          <w:bCs/>
          <w:color w:val="000000"/>
          <w:sz w:val="32"/>
          <w:szCs w:val="32"/>
        </w:rPr>
        <w:t>依法组织、指导生产安全事故调查处理，监督事故查处和责任追究落实情况。组织开展自然灾害类突发事件的调查评估工作。</w:t>
      </w:r>
    </w:p>
    <w:p>
      <w:pPr>
        <w:pStyle w:val="6"/>
        <w:keepNext w:val="0"/>
        <w:keepLines w:val="0"/>
        <w:pageBreakBefore w:val="0"/>
        <w:widowControl w:val="0"/>
        <w:kinsoku/>
        <w:wordWrap/>
        <w:overflowPunct/>
        <w:topLinePunct w:val="0"/>
        <w:bidi w:val="0"/>
        <w:adjustRightInd w:val="0"/>
        <w:snapToGrid w:val="0"/>
        <w:spacing w:before="93" w:line="600" w:lineRule="exact"/>
        <w:ind w:firstLine="672" w:firstLineChars="21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lang w:val="en-US" w:eastAsia="zh-CN"/>
        </w:rPr>
        <w:t>17.</w:t>
      </w:r>
      <w:r>
        <w:rPr>
          <w:rFonts w:hint="eastAsia" w:ascii="方正仿宋_GBK" w:hAnsi="方正仿宋_GBK" w:eastAsia="方正仿宋_GBK" w:cs="方正仿宋_GBK"/>
          <w:bCs/>
          <w:color w:val="000000"/>
          <w:sz w:val="32"/>
          <w:szCs w:val="32"/>
        </w:rPr>
        <w:t>开展应急管理和安全生产方面的交流与合作，组织参与安全生产类、自然灾害类等突发事件的跨区域救援工作。</w:t>
      </w:r>
    </w:p>
    <w:p>
      <w:pPr>
        <w:pStyle w:val="6"/>
        <w:keepNext w:val="0"/>
        <w:keepLines w:val="0"/>
        <w:pageBreakBefore w:val="0"/>
        <w:widowControl w:val="0"/>
        <w:kinsoku/>
        <w:wordWrap/>
        <w:overflowPunct/>
        <w:topLinePunct w:val="0"/>
        <w:bidi w:val="0"/>
        <w:adjustRightInd w:val="0"/>
        <w:snapToGrid w:val="0"/>
        <w:spacing w:before="93" w:line="600" w:lineRule="exact"/>
        <w:ind w:firstLine="672" w:firstLineChars="21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lang w:val="en-US" w:eastAsia="zh-CN"/>
        </w:rPr>
        <w:t>18.</w:t>
      </w:r>
      <w:r>
        <w:rPr>
          <w:rFonts w:hint="eastAsia" w:ascii="方正仿宋_GBK" w:hAnsi="方正仿宋_GBK" w:eastAsia="方正仿宋_GBK" w:cs="方正仿宋_GBK"/>
          <w:bCs/>
          <w:color w:val="000000"/>
          <w:sz w:val="32"/>
          <w:szCs w:val="32"/>
        </w:rPr>
        <w:t>制定应急物资储备和应急救援装备规划并组织实施，会同市粮食和物资储备局等部门建立健全应急物资信息平台和调拨制度，在救灾时统一调度。</w:t>
      </w:r>
    </w:p>
    <w:p>
      <w:pPr>
        <w:pStyle w:val="6"/>
        <w:keepNext w:val="0"/>
        <w:keepLines w:val="0"/>
        <w:pageBreakBefore w:val="0"/>
        <w:widowControl w:val="0"/>
        <w:kinsoku/>
        <w:wordWrap/>
        <w:overflowPunct/>
        <w:topLinePunct w:val="0"/>
        <w:bidi w:val="0"/>
        <w:adjustRightInd w:val="0"/>
        <w:snapToGrid w:val="0"/>
        <w:spacing w:before="93" w:line="600" w:lineRule="exact"/>
        <w:ind w:firstLine="672" w:firstLineChars="21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lang w:val="en-US" w:eastAsia="zh-CN"/>
        </w:rPr>
        <w:t>19.</w:t>
      </w:r>
      <w:r>
        <w:rPr>
          <w:rFonts w:hint="eastAsia" w:ascii="方正仿宋_GBK" w:hAnsi="方正仿宋_GBK" w:eastAsia="方正仿宋_GBK" w:cs="方正仿宋_GBK"/>
          <w:bCs/>
          <w:color w:val="000000"/>
          <w:sz w:val="32"/>
          <w:szCs w:val="32"/>
        </w:rPr>
        <w:t>负责应急管理、安全生产和统筹指导防灾减灾救灾宣传、教育、培训工作，组织和指导应急管理、安全生产的科学技术研究、推广应用和信息化建设工作。</w:t>
      </w:r>
    </w:p>
    <w:p>
      <w:pPr>
        <w:pStyle w:val="6"/>
        <w:keepNext w:val="0"/>
        <w:keepLines w:val="0"/>
        <w:pageBreakBefore w:val="0"/>
        <w:widowControl w:val="0"/>
        <w:kinsoku/>
        <w:wordWrap/>
        <w:overflowPunct/>
        <w:topLinePunct w:val="0"/>
        <w:bidi w:val="0"/>
        <w:adjustRightInd w:val="0"/>
        <w:snapToGrid w:val="0"/>
        <w:spacing w:before="93" w:line="600" w:lineRule="exact"/>
        <w:ind w:firstLine="672" w:firstLineChars="21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lang w:val="en-US" w:eastAsia="zh-CN"/>
        </w:rPr>
        <w:t>20.</w:t>
      </w:r>
      <w:r>
        <w:rPr>
          <w:rFonts w:hint="eastAsia" w:ascii="方正仿宋_GBK" w:hAnsi="方正仿宋_GBK" w:eastAsia="方正仿宋_GBK" w:cs="方正仿宋_GBK"/>
          <w:bCs/>
          <w:color w:val="000000"/>
          <w:sz w:val="32"/>
          <w:szCs w:val="32"/>
        </w:rPr>
        <w:t>承担市防汛抗旱、减灾、抗震救灾、森林防火指挥部（委员会）的日常工作。</w:t>
      </w:r>
    </w:p>
    <w:p>
      <w:pPr>
        <w:pStyle w:val="6"/>
        <w:keepNext w:val="0"/>
        <w:keepLines w:val="0"/>
        <w:pageBreakBefore w:val="0"/>
        <w:widowControl w:val="0"/>
        <w:kinsoku/>
        <w:wordWrap/>
        <w:overflowPunct/>
        <w:topLinePunct w:val="0"/>
        <w:bidi w:val="0"/>
        <w:adjustRightInd w:val="0"/>
        <w:snapToGrid w:val="0"/>
        <w:spacing w:before="93" w:line="600" w:lineRule="exact"/>
        <w:ind w:firstLine="672" w:firstLineChars="21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lang w:val="en-US" w:eastAsia="zh-CN"/>
        </w:rPr>
        <w:t>21.</w:t>
      </w:r>
      <w:r>
        <w:rPr>
          <w:rFonts w:hint="eastAsia" w:ascii="方正仿宋_GBK" w:hAnsi="方正仿宋_GBK" w:eastAsia="方正仿宋_GBK" w:cs="方正仿宋_GBK"/>
          <w:bCs/>
          <w:color w:val="000000"/>
          <w:sz w:val="32"/>
          <w:szCs w:val="32"/>
        </w:rPr>
        <w:t>负责应急管理、安全生产领域内的行政执法工作。</w:t>
      </w:r>
    </w:p>
    <w:p>
      <w:pPr>
        <w:pStyle w:val="6"/>
        <w:keepNext w:val="0"/>
        <w:keepLines w:val="0"/>
        <w:pageBreakBefore w:val="0"/>
        <w:widowControl w:val="0"/>
        <w:kinsoku/>
        <w:wordWrap/>
        <w:overflowPunct/>
        <w:topLinePunct w:val="0"/>
        <w:bidi w:val="0"/>
        <w:adjustRightInd w:val="0"/>
        <w:snapToGrid w:val="0"/>
        <w:spacing w:before="93" w:line="600" w:lineRule="exact"/>
        <w:ind w:firstLine="672" w:firstLineChars="21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lang w:val="en-US" w:eastAsia="zh-CN"/>
        </w:rPr>
        <w:t>22.</w:t>
      </w:r>
      <w:r>
        <w:rPr>
          <w:rFonts w:hint="eastAsia" w:ascii="方正仿宋_GBK" w:hAnsi="方正仿宋_GBK" w:eastAsia="方正仿宋_GBK" w:cs="方正仿宋_GBK"/>
          <w:bCs/>
          <w:color w:val="000000"/>
          <w:sz w:val="32"/>
          <w:szCs w:val="32"/>
        </w:rPr>
        <w:t>负责职责范围内的职业健康、生态环境保护、审批服务便民化工作。</w:t>
      </w:r>
    </w:p>
    <w:p>
      <w:pPr>
        <w:pStyle w:val="6"/>
        <w:keepNext w:val="0"/>
        <w:keepLines w:val="0"/>
        <w:pageBreakBefore w:val="0"/>
        <w:widowControl w:val="0"/>
        <w:kinsoku/>
        <w:wordWrap/>
        <w:overflowPunct/>
        <w:topLinePunct w:val="0"/>
        <w:bidi w:val="0"/>
        <w:adjustRightInd w:val="0"/>
        <w:snapToGrid w:val="0"/>
        <w:spacing w:before="93" w:line="600" w:lineRule="exact"/>
        <w:ind w:firstLine="672" w:firstLineChars="21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lang w:val="en-US" w:eastAsia="zh-CN"/>
        </w:rPr>
        <w:t>23.</w:t>
      </w:r>
      <w:r>
        <w:rPr>
          <w:rFonts w:hint="eastAsia" w:ascii="方正仿宋_GBK" w:hAnsi="方正仿宋_GBK" w:eastAsia="方正仿宋_GBK" w:cs="方正仿宋_GBK"/>
          <w:bCs/>
          <w:color w:val="000000"/>
          <w:sz w:val="32"/>
          <w:szCs w:val="32"/>
        </w:rPr>
        <w:t>完成市委和市政府交办的其他任务。</w:t>
      </w:r>
    </w:p>
    <w:p>
      <w:pPr>
        <w:pStyle w:val="6"/>
        <w:keepNext w:val="0"/>
        <w:keepLines w:val="0"/>
        <w:pageBreakBefore w:val="0"/>
        <w:widowControl w:val="0"/>
        <w:kinsoku/>
        <w:wordWrap/>
        <w:overflowPunct/>
        <w:topLinePunct w:val="0"/>
        <w:bidi w:val="0"/>
        <w:adjustRightInd w:val="0"/>
        <w:snapToGrid w:val="0"/>
        <w:spacing w:before="93" w:line="600" w:lineRule="exact"/>
        <w:ind w:firstLine="672" w:firstLineChars="21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lang w:val="en-US" w:eastAsia="zh-CN"/>
        </w:rPr>
        <w:t>24.</w:t>
      </w:r>
      <w:r>
        <w:rPr>
          <w:rFonts w:hint="eastAsia" w:ascii="方正仿宋_GBK" w:hAnsi="方正仿宋_GBK" w:eastAsia="方正仿宋_GBK" w:cs="方正仿宋_GBK"/>
          <w:bCs/>
          <w:color w:val="000000"/>
          <w:sz w:val="32"/>
          <w:szCs w:val="32"/>
        </w:rPr>
        <w:t>职能转变。加强、优化、统筹应急能力建设，构建统一领导、权责一致、权威高效的应急能力体系，推动形成统一指挥、专常兼备、反应灵敏、上下联动、平战结合的中国特色应急管理体制。一是坚持以防为主、防抗救结合，坚持常态减灾和非常态救灾相统一，努力实现从注重灾后救助向注重灾前预防转变，从应对单一灾种向综合减灾转变，从减少灾害损失向减轻灾害风险转变，提高全市应急管理水平和防灾减灾救灾能力，防范化解重特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重特大安全事故。推进煤炭体制改革。</w:t>
      </w:r>
    </w:p>
    <w:p>
      <w:pPr>
        <w:pStyle w:val="4"/>
        <w:bidi w:val="0"/>
        <w:ind w:firstLine="663" w:firstLineChars="200"/>
        <w:rPr>
          <w:rFonts w:hint="eastAsia" w:ascii="方正仿宋_GBK" w:hAnsi="方正仿宋_GBK" w:eastAsia="方正仿宋_GBK" w:cs="方正仿宋_GBK"/>
        </w:rPr>
      </w:pPr>
      <w:bookmarkStart w:id="5" w:name="_Toc15378446"/>
      <w:bookmarkStart w:id="6" w:name="_Toc20272"/>
      <w:bookmarkStart w:id="7" w:name="_Toc15377199"/>
      <w:r>
        <w:rPr>
          <w:rFonts w:hint="eastAsia" w:ascii="方正仿宋_GBK" w:hAnsi="方正仿宋_GBK" w:eastAsia="方正仿宋_GBK" w:cs="方正仿宋_GBK"/>
        </w:rPr>
        <w:t>（二）202</w:t>
      </w:r>
      <w:r>
        <w:rPr>
          <w:rFonts w:hint="eastAsia" w:ascii="方正仿宋_GBK" w:hAnsi="方正仿宋_GBK" w:eastAsia="方正仿宋_GBK" w:cs="方正仿宋_GBK"/>
          <w:lang w:val="en-US" w:eastAsia="zh-CN"/>
        </w:rPr>
        <w:t>2</w:t>
      </w:r>
      <w:r>
        <w:rPr>
          <w:rFonts w:hint="eastAsia" w:ascii="方正仿宋_GBK" w:hAnsi="方正仿宋_GBK" w:eastAsia="方正仿宋_GBK" w:cs="方正仿宋_GBK"/>
        </w:rPr>
        <w:t>年重点工作完成情况。</w:t>
      </w:r>
      <w:bookmarkEnd w:id="5"/>
      <w:bookmarkEnd w:id="6"/>
      <w:bookmarkEnd w:id="7"/>
    </w:p>
    <w:p>
      <w:pPr>
        <w:pStyle w:val="6"/>
        <w:keepNext w:val="0"/>
        <w:keepLines w:val="0"/>
        <w:pageBreakBefore w:val="0"/>
        <w:widowControl w:val="0"/>
        <w:kinsoku/>
        <w:wordWrap/>
        <w:overflowPunct/>
        <w:topLinePunct w:val="0"/>
        <w:bidi w:val="0"/>
        <w:adjustRightInd w:val="0"/>
        <w:snapToGrid w:val="0"/>
        <w:spacing w:before="93" w:line="600" w:lineRule="exact"/>
        <w:ind w:firstLine="672" w:firstLineChars="210"/>
        <w:outlineLvl w:val="9"/>
        <w:rPr>
          <w:rFonts w:hint="eastAsia" w:ascii="方正仿宋_GBK" w:hAnsi="方正仿宋_GBK" w:eastAsia="方正仿宋_GBK" w:cs="方正仿宋_GBK"/>
          <w:color w:val="auto"/>
          <w:kern w:val="2"/>
          <w:sz w:val="32"/>
          <w:szCs w:val="24"/>
          <w:lang w:val="zh-CN"/>
        </w:rPr>
      </w:pPr>
      <w:r>
        <w:rPr>
          <w:rFonts w:hint="eastAsia" w:ascii="方正仿宋_GBK" w:hAnsi="方正仿宋_GBK" w:eastAsia="方正仿宋_GBK" w:cs="方正仿宋_GBK"/>
          <w:bCs/>
          <w:color w:val="000000"/>
          <w:sz w:val="32"/>
          <w:szCs w:val="32"/>
        </w:rPr>
        <w:t>今年以来，在市委、市政府和应急厅的坚强领导下，全市应急系统深入学习贯彻习近平总书记关于安全生产、防灾减灾和应急救援等系列重要论述、重要指示批示精神，认真落实市委、市政府和应急厅的决策部署，牢固树立人民至上、生命至上理念，着力防范化解重大安全风险，有效应对处置各类灾害事故，最大限度减少了人员伤亡和财产损失，为推动广安高质量发展营造了安全稳定环境。1—11月，全市通过事故直报系统上报各类生产安全事故14起、死亡16人，事故起数、死亡人数同比分别减少8起、6人，下降36.36%、27.27%，连续16年未发生重特大生产安全事故。</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ind w:firstLine="660" w:firstLineChars="200"/>
        <w:jc w:val="both"/>
        <w:textAlignment w:val="auto"/>
        <w:rPr>
          <w:rFonts w:hint="eastAsia"/>
          <w:lang w:val="zh-CN"/>
        </w:rPr>
      </w:pPr>
      <w:bookmarkStart w:id="8" w:name="_Toc19719"/>
      <w:r>
        <w:rPr>
          <w:rFonts w:hint="eastAsia"/>
          <w:lang w:val="en-US" w:eastAsia="zh-CN"/>
        </w:rPr>
        <w:t>二</w:t>
      </w:r>
      <w:r>
        <w:rPr>
          <w:rFonts w:hint="eastAsia"/>
          <w:lang w:val="zh-CN"/>
        </w:rPr>
        <w:t>、机构设置</w:t>
      </w:r>
      <w:bookmarkEnd w:id="8"/>
    </w:p>
    <w:p>
      <w:pPr>
        <w:keepNext w:val="0"/>
        <w:keepLines w:val="0"/>
        <w:pageBreakBefore w:val="0"/>
        <w:widowControl w:val="0"/>
        <w:kinsoku/>
        <w:wordWrap/>
        <w:overflowPunct/>
        <w:topLinePunct w:val="0"/>
        <w:bidi w:val="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广安市应急管理局下属二级预算单位5个（包含局机关），其中行政单位1个，参照公务员法管理的事业单位2个，其他事业单位2个。主要包括：1.广安市应急管理局机关、2.广安市应急管理综合行政执法支队、3.广安市应急救援保障中心、4、广安市煤矿数字化瓦斯监控中心、5.广安市矿山救护大队。其中广安市应急管理综合行政执法支队、广安市应急救援保障中心、广安市煤矿数字化瓦斯监控中心等3个单位统一纳入广安市应急管理局机关财务核算全部并入广安市应急管理局（本级）统一核算，单位决算编制纳入广安市应急管理局（本级）统一核算。</w:t>
      </w:r>
    </w:p>
    <w:p>
      <w:pPr>
        <w:pStyle w:val="6"/>
        <w:keepNext w:val="0"/>
        <w:keepLines w:val="0"/>
        <w:pageBreakBefore w:val="0"/>
        <w:widowControl w:val="0"/>
        <w:kinsoku/>
        <w:wordWrap/>
        <w:overflowPunct/>
        <w:topLinePunct w:val="0"/>
        <w:bidi w:val="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纳入2022年度部门决算编制范围的二级预算单位包括：</w:t>
      </w:r>
    </w:p>
    <w:p>
      <w:pPr>
        <w:pStyle w:val="6"/>
        <w:keepNext w:val="0"/>
        <w:keepLines w:val="0"/>
        <w:pageBreakBefore w:val="0"/>
        <w:widowControl w:val="0"/>
        <w:kinsoku/>
        <w:wordWrap/>
        <w:overflowPunct/>
        <w:topLinePunct w:val="0"/>
        <w:bidi w:val="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1.广安市应急管理局（本级）（含广安市应急管理综合行政执法支队、广安市应急救援保障中心、广安市煤矿数字化瓦斯监控中心）</w:t>
      </w:r>
    </w:p>
    <w:p>
      <w:pPr>
        <w:pStyle w:val="6"/>
        <w:keepNext w:val="0"/>
        <w:keepLines w:val="0"/>
        <w:pageBreakBefore w:val="0"/>
        <w:widowControl w:val="0"/>
        <w:kinsoku/>
        <w:wordWrap/>
        <w:overflowPunct/>
        <w:topLinePunct w:val="0"/>
        <w:bidi w:val="0"/>
        <w:outlineLvl w:val="2"/>
        <w:rPr>
          <w:rFonts w:hint="eastAsia" w:ascii="方正仿宋_GBK" w:hAnsi="方正仿宋_GBK" w:eastAsia="方正仿宋_GBK" w:cs="方正仿宋_GBK"/>
          <w:lang w:val="en-US" w:eastAsia="zh-CN"/>
        </w:rPr>
      </w:pPr>
      <w:bookmarkStart w:id="9" w:name="_Toc31915"/>
      <w:r>
        <w:rPr>
          <w:rFonts w:hint="eastAsia" w:ascii="方正仿宋_GBK" w:hAnsi="方正仿宋_GBK" w:eastAsia="方正仿宋_GBK" w:cs="方正仿宋_GBK"/>
          <w:lang w:val="en-US" w:eastAsia="zh-CN"/>
        </w:rPr>
        <w:t>2.广安市矿山救护大队</w:t>
      </w:r>
      <w:bookmarkEnd w:id="9"/>
    </w:p>
    <w:p>
      <w:pPr>
        <w:pStyle w:val="6"/>
        <w:keepNext w:val="0"/>
        <w:keepLines w:val="0"/>
        <w:pageBreakBefore w:val="0"/>
        <w:widowControl w:val="0"/>
        <w:kinsoku/>
        <w:wordWrap/>
        <w:overflowPunct/>
        <w:topLinePunct w:val="0"/>
        <w:bidi w:val="0"/>
        <w:outlineLvl w:val="2"/>
        <w:rPr>
          <w:rFonts w:hint="eastAsia" w:ascii="方正仿宋_GBK" w:hAnsi="方正仿宋_GBK" w:eastAsia="方正仿宋_GBK" w:cs="方正仿宋_GBK"/>
          <w:lang w:val="en-US" w:eastAsia="zh-CN"/>
        </w:rPr>
      </w:pPr>
    </w:p>
    <w:p>
      <w:pPr>
        <w:pStyle w:val="6"/>
        <w:keepNext w:val="0"/>
        <w:keepLines w:val="0"/>
        <w:pageBreakBefore w:val="0"/>
        <w:widowControl w:val="0"/>
        <w:kinsoku/>
        <w:wordWrap/>
        <w:overflowPunct/>
        <w:topLinePunct w:val="0"/>
        <w:bidi w:val="0"/>
        <w:outlineLvl w:val="2"/>
        <w:rPr>
          <w:rFonts w:hint="eastAsia" w:ascii="方正仿宋_GBK" w:hAnsi="方正仿宋_GBK" w:eastAsia="方正仿宋_GBK" w:cs="方正仿宋_GBK"/>
          <w:lang w:val="en-US" w:eastAsia="zh-CN"/>
        </w:rPr>
      </w:pPr>
    </w:p>
    <w:p>
      <w:pPr>
        <w:pStyle w:val="6"/>
        <w:keepNext w:val="0"/>
        <w:keepLines w:val="0"/>
        <w:pageBreakBefore w:val="0"/>
        <w:widowControl w:val="0"/>
        <w:kinsoku/>
        <w:wordWrap/>
        <w:overflowPunct/>
        <w:topLinePunct w:val="0"/>
        <w:bidi w:val="0"/>
        <w:outlineLvl w:val="2"/>
        <w:rPr>
          <w:rFonts w:hint="eastAsia" w:ascii="方正仿宋_GBK" w:hAnsi="方正仿宋_GBK" w:eastAsia="方正仿宋_GBK" w:cs="方正仿宋_GBK"/>
          <w:lang w:val="en-US" w:eastAsia="zh-CN"/>
        </w:rPr>
      </w:pPr>
    </w:p>
    <w:p>
      <w:pPr>
        <w:pStyle w:val="6"/>
        <w:keepNext w:val="0"/>
        <w:keepLines w:val="0"/>
        <w:pageBreakBefore w:val="0"/>
        <w:widowControl w:val="0"/>
        <w:kinsoku/>
        <w:wordWrap/>
        <w:overflowPunct/>
        <w:topLinePunct w:val="0"/>
        <w:bidi w:val="0"/>
        <w:outlineLvl w:val="2"/>
        <w:rPr>
          <w:rFonts w:hint="eastAsia" w:ascii="方正仿宋_GBK" w:hAnsi="方正仿宋_GBK" w:eastAsia="方正仿宋_GBK" w:cs="方正仿宋_GBK"/>
          <w:lang w:val="en-US" w:eastAsia="zh-CN"/>
        </w:rPr>
      </w:pPr>
    </w:p>
    <w:p>
      <w:pPr>
        <w:pStyle w:val="3"/>
        <w:keepNext w:val="0"/>
        <w:keepLines w:val="0"/>
        <w:pageBreakBefore w:val="0"/>
        <w:widowControl w:val="0"/>
        <w:kinsoku/>
        <w:wordWrap/>
        <w:overflowPunct/>
        <w:topLinePunct w:val="0"/>
        <w:bidi w:val="0"/>
        <w:spacing w:before="340" w:beforeLines="0" w:after="330" w:afterLines="0" w:line="576" w:lineRule="exact"/>
        <w:ind w:right="442" w:firstLine="880"/>
        <w:jc w:val="center"/>
        <w:outlineLvl w:val="0"/>
        <w:rPr>
          <w:rFonts w:hint="eastAsia" w:ascii="方正黑体_GBK" w:hAnsi="方正黑体_GBK" w:eastAsia="方正黑体_GBK" w:cs="方正黑体_GBK"/>
          <w:color w:val="auto"/>
          <w:kern w:val="44"/>
          <w:sz w:val="44"/>
          <w:szCs w:val="24"/>
          <w:lang w:val="zh-CN"/>
        </w:rPr>
      </w:pPr>
      <w:bookmarkStart w:id="10" w:name="_Toc2678"/>
      <w:r>
        <w:rPr>
          <w:rFonts w:hint="eastAsia" w:ascii="方正黑体_GBK" w:hAnsi="方正黑体_GBK" w:eastAsia="方正黑体_GBK" w:cs="方正黑体_GBK"/>
          <w:color w:val="000000"/>
          <w:kern w:val="44"/>
          <w:sz w:val="44"/>
          <w:szCs w:val="24"/>
          <w:lang w:val="zh-CN"/>
        </w:rPr>
        <w:t>第二部分</w:t>
      </w:r>
      <w:r>
        <w:rPr>
          <w:rFonts w:hint="eastAsia" w:ascii="方正黑体_GBK" w:hAnsi="方正黑体_GBK" w:eastAsia="方正黑体_GBK" w:cs="方正黑体_GBK"/>
          <w:b/>
          <w:color w:val="000000"/>
          <w:kern w:val="44"/>
          <w:sz w:val="44"/>
          <w:szCs w:val="24"/>
          <w:lang w:val="zh-CN"/>
        </w:rPr>
        <w:t xml:space="preserve"> </w:t>
      </w:r>
      <w:r>
        <w:rPr>
          <w:rFonts w:hint="eastAsia" w:ascii="方正黑体_GBK" w:hAnsi="方正黑体_GBK" w:eastAsia="方正黑体_GBK" w:cs="方正黑体_GBK"/>
          <w:color w:val="auto"/>
          <w:kern w:val="44"/>
          <w:sz w:val="44"/>
          <w:szCs w:val="24"/>
          <w:lang w:val="zh-CN"/>
        </w:rPr>
        <w:t>2022年度</w:t>
      </w:r>
      <w:r>
        <w:rPr>
          <w:rFonts w:hint="eastAsia" w:ascii="方正黑体_GBK" w:hAnsi="方正黑体_GBK" w:eastAsia="方正黑体_GBK" w:cs="方正黑体_GBK"/>
          <w:color w:val="auto"/>
          <w:kern w:val="44"/>
          <w:sz w:val="44"/>
          <w:szCs w:val="24"/>
          <w:lang w:val="en-US" w:eastAsia="zh-CN"/>
        </w:rPr>
        <w:t>部门</w:t>
      </w:r>
      <w:r>
        <w:rPr>
          <w:rFonts w:hint="eastAsia" w:ascii="方正黑体_GBK" w:hAnsi="方正黑体_GBK" w:eastAsia="方正黑体_GBK" w:cs="方正黑体_GBK"/>
          <w:color w:val="auto"/>
          <w:kern w:val="44"/>
          <w:sz w:val="44"/>
          <w:szCs w:val="24"/>
          <w:lang w:val="zh-CN"/>
        </w:rPr>
        <w:t>决算情况说明</w:t>
      </w:r>
      <w:bookmarkEnd w:id="10"/>
    </w:p>
    <w:p>
      <w:pPr>
        <w:pStyle w:val="4"/>
        <w:rPr>
          <w:rFonts w:hint="eastAsia"/>
          <w:lang w:val="zh-CN"/>
        </w:rPr>
      </w:pPr>
    </w:p>
    <w:p>
      <w:pPr>
        <w:pStyle w:val="3"/>
        <w:bidi w:val="0"/>
        <w:ind w:firstLine="660" w:firstLineChars="200"/>
        <w:jc w:val="both"/>
        <w:rPr>
          <w:rFonts w:hint="eastAsia"/>
          <w:lang w:val="zh-CN"/>
        </w:rPr>
      </w:pPr>
      <w:bookmarkStart w:id="11" w:name="_Toc609"/>
      <w:r>
        <w:rPr>
          <w:rFonts w:hint="eastAsia"/>
          <w:lang w:val="zh-CN"/>
        </w:rPr>
        <w:t>一、收入支出决算总体情况说明</w:t>
      </w:r>
      <w:bookmarkEnd w:id="11"/>
    </w:p>
    <w:p>
      <w:pPr>
        <w:keepNext w:val="0"/>
        <w:keepLines w:val="0"/>
        <w:pageBreakBefore w:val="0"/>
        <w:widowControl w:val="0"/>
        <w:kinsoku/>
        <w:wordWrap/>
        <w:overflowPunct/>
        <w:topLinePunct w:val="0"/>
        <w:bidi w:val="0"/>
        <w:spacing w:beforeLines="0" w:afterLines="0" w:line="576" w:lineRule="exact"/>
        <w:ind w:firstLine="640"/>
        <w:jc w:val="both"/>
        <w:rPr>
          <w:rFonts w:hint="eastAsia"/>
          <w:lang w:val="zh-CN"/>
        </w:rPr>
      </w:pPr>
      <w:r>
        <w:rPr>
          <w:rFonts w:hint="eastAsia" w:ascii="方正仿宋_GBK" w:hAnsi="方正仿宋_GBK" w:eastAsia="方正仿宋_GBK" w:cs="方正仿宋_GBK"/>
          <w:color w:val="000000"/>
          <w:kern w:val="2"/>
          <w:sz w:val="32"/>
          <w:szCs w:val="24"/>
          <w:lang w:val="zh-CN"/>
        </w:rPr>
        <w:t>2022年度收入、支出总计均为3877.54万元。与2021年相比，收</w:t>
      </w:r>
      <w:r>
        <w:rPr>
          <w:rFonts w:hint="eastAsia" w:ascii="方正仿宋_GBK" w:hAnsi="方正仿宋_GBK" w:eastAsia="方正仿宋_GBK" w:cs="方正仿宋_GBK"/>
          <w:color w:val="000000"/>
          <w:kern w:val="2"/>
          <w:sz w:val="32"/>
          <w:szCs w:val="24"/>
          <w:lang w:val="en-US" w:eastAsia="zh-CN"/>
        </w:rPr>
        <w:t>入</w:t>
      </w:r>
      <w:r>
        <w:rPr>
          <w:rFonts w:hint="eastAsia" w:ascii="方正仿宋_GBK" w:hAnsi="方正仿宋_GBK" w:eastAsia="方正仿宋_GBK" w:cs="方正仿宋_GBK"/>
          <w:color w:val="000000"/>
          <w:kern w:val="2"/>
          <w:sz w:val="32"/>
          <w:szCs w:val="24"/>
          <w:lang w:val="zh-CN"/>
        </w:rPr>
        <w:t>增加</w:t>
      </w:r>
      <w:r>
        <w:rPr>
          <w:rFonts w:hint="eastAsia" w:ascii="方正仿宋_GBK" w:hAnsi="方正仿宋_GBK" w:eastAsia="方正仿宋_GBK" w:cs="方正仿宋_GBK"/>
          <w:color w:val="000000"/>
          <w:kern w:val="2"/>
          <w:sz w:val="32"/>
          <w:szCs w:val="24"/>
          <w:lang w:val="en-US" w:eastAsia="zh-CN"/>
        </w:rPr>
        <w:t>2250.03</w:t>
      </w:r>
      <w:r>
        <w:rPr>
          <w:rFonts w:hint="eastAsia" w:ascii="方正仿宋_GBK" w:hAnsi="方正仿宋_GBK" w:eastAsia="方正仿宋_GBK" w:cs="方正仿宋_GBK"/>
          <w:color w:val="000000"/>
          <w:kern w:val="2"/>
          <w:sz w:val="32"/>
          <w:szCs w:val="24"/>
          <w:lang w:val="zh-CN"/>
        </w:rPr>
        <w:t>万元，增长</w:t>
      </w:r>
      <w:r>
        <w:rPr>
          <w:rFonts w:hint="eastAsia" w:ascii="方正仿宋_GBK" w:hAnsi="方正仿宋_GBK" w:eastAsia="方正仿宋_GBK" w:cs="方正仿宋_GBK"/>
          <w:color w:val="000000"/>
          <w:kern w:val="2"/>
          <w:sz w:val="32"/>
          <w:szCs w:val="24"/>
          <w:lang w:val="en-US" w:eastAsia="zh-CN"/>
        </w:rPr>
        <w:t>138.25</w:t>
      </w:r>
      <w:r>
        <w:rPr>
          <w:rFonts w:hint="eastAsia" w:ascii="方正仿宋_GBK" w:hAnsi="方正仿宋_GBK" w:eastAsia="方正仿宋_GBK" w:cs="方正仿宋_GBK"/>
          <w:color w:val="000000"/>
          <w:kern w:val="2"/>
          <w:sz w:val="32"/>
          <w:szCs w:val="24"/>
          <w:lang w:val="zh-CN"/>
        </w:rPr>
        <w:t>%，</w:t>
      </w:r>
      <w:r>
        <w:rPr>
          <w:rFonts w:hint="eastAsia" w:ascii="方正仿宋_GBK" w:hAnsi="方正仿宋_GBK" w:eastAsia="方正仿宋_GBK" w:cs="方正仿宋_GBK"/>
          <w:color w:val="000000"/>
          <w:kern w:val="2"/>
          <w:sz w:val="32"/>
          <w:szCs w:val="24"/>
          <w:lang w:val="en-US" w:eastAsia="zh-CN"/>
        </w:rPr>
        <w:t>支出</w:t>
      </w:r>
      <w:r>
        <w:rPr>
          <w:rFonts w:hint="eastAsia" w:ascii="方正仿宋_GBK" w:hAnsi="方正仿宋_GBK" w:eastAsia="方正仿宋_GBK" w:cs="方正仿宋_GBK"/>
          <w:color w:val="000000"/>
          <w:kern w:val="2"/>
          <w:sz w:val="32"/>
          <w:szCs w:val="24"/>
          <w:lang w:val="zh-CN"/>
        </w:rPr>
        <w:t>增加</w:t>
      </w:r>
      <w:r>
        <w:rPr>
          <w:rFonts w:hint="eastAsia" w:ascii="方正仿宋_GBK" w:hAnsi="方正仿宋_GBK" w:eastAsia="方正仿宋_GBK" w:cs="方正仿宋_GBK"/>
          <w:color w:val="000000"/>
          <w:kern w:val="2"/>
          <w:sz w:val="32"/>
          <w:szCs w:val="24"/>
          <w:lang w:val="en-US" w:eastAsia="zh-CN"/>
        </w:rPr>
        <w:t>1854.84</w:t>
      </w:r>
      <w:r>
        <w:rPr>
          <w:rFonts w:hint="eastAsia" w:ascii="方正仿宋_GBK" w:hAnsi="方正仿宋_GBK" w:eastAsia="方正仿宋_GBK" w:cs="方正仿宋_GBK"/>
          <w:color w:val="000000"/>
          <w:kern w:val="2"/>
          <w:sz w:val="32"/>
          <w:szCs w:val="24"/>
          <w:lang w:val="zh-CN"/>
        </w:rPr>
        <w:t>万元，增长</w:t>
      </w:r>
      <w:r>
        <w:rPr>
          <w:rFonts w:hint="eastAsia" w:ascii="方正仿宋_GBK" w:hAnsi="方正仿宋_GBK" w:eastAsia="方正仿宋_GBK" w:cs="方正仿宋_GBK"/>
          <w:color w:val="000000"/>
          <w:kern w:val="2"/>
          <w:sz w:val="32"/>
          <w:szCs w:val="24"/>
          <w:lang w:val="en-US" w:eastAsia="zh-CN"/>
        </w:rPr>
        <w:t>91.70</w:t>
      </w:r>
      <w:r>
        <w:rPr>
          <w:rFonts w:hint="eastAsia" w:ascii="方正仿宋_GBK" w:hAnsi="方正仿宋_GBK" w:eastAsia="方正仿宋_GBK" w:cs="方正仿宋_GBK"/>
          <w:color w:val="000000"/>
          <w:kern w:val="2"/>
          <w:sz w:val="32"/>
          <w:szCs w:val="24"/>
          <w:lang w:val="zh-CN"/>
        </w:rPr>
        <w:t>%。主要变动原因是新增广安市应急指挥中心信息化建设项目投入资金1793万元。</w:t>
      </w:r>
    </w:p>
    <w:p>
      <w:pPr>
        <w:pStyle w:val="6"/>
        <w:keepNext w:val="0"/>
        <w:keepLines w:val="0"/>
        <w:pageBreakBefore w:val="0"/>
        <w:widowControl w:val="0"/>
        <w:kinsoku/>
        <w:wordWrap/>
        <w:overflowPunct/>
        <w:topLinePunct w:val="0"/>
        <w:bidi w:val="0"/>
        <w:rPr>
          <w:rFonts w:hint="eastAsia" w:ascii="方正仿宋_GBK" w:hAnsi="方正仿宋_GBK" w:eastAsia="方正仿宋_GBK" w:cs="方正仿宋_GBK"/>
          <w:color w:val="000000"/>
          <w:kern w:val="2"/>
          <w:sz w:val="32"/>
          <w:szCs w:val="24"/>
          <w:lang w:val="zh-CN"/>
        </w:rPr>
      </w:pPr>
      <w:r>
        <w:rPr>
          <w:rFonts w:hint="eastAsia" w:ascii="方正仿宋_GBK" w:hAnsi="方正仿宋_GBK" w:eastAsia="方正仿宋_GBK" w:cs="方正仿宋_GBK"/>
        </w:rPr>
        <w:drawing>
          <wp:anchor distT="0" distB="0" distL="114300" distR="114300" simplePos="0" relativeHeight="251659264" behindDoc="1" locked="0" layoutInCell="1" allowOverlap="1">
            <wp:simplePos x="0" y="0"/>
            <wp:positionH relativeFrom="column">
              <wp:posOffset>518795</wp:posOffset>
            </wp:positionH>
            <wp:positionV relativeFrom="paragraph">
              <wp:posOffset>71120</wp:posOffset>
            </wp:positionV>
            <wp:extent cx="4182110" cy="2286000"/>
            <wp:effectExtent l="4445" t="5080" r="61595" b="71120"/>
            <wp:wrapTight wrapText="bothSides">
              <wp:wrapPolygon>
                <wp:start x="-23" y="-48"/>
                <wp:lineTo x="-23" y="21552"/>
                <wp:lineTo x="21525" y="21552"/>
                <wp:lineTo x="21525" y="-48"/>
                <wp:lineTo x="-23" y="-48"/>
              </wp:wrapPolygon>
            </wp:wrapTight>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6"/>
        <w:keepNext w:val="0"/>
        <w:keepLines w:val="0"/>
        <w:pageBreakBefore w:val="0"/>
        <w:widowControl w:val="0"/>
        <w:kinsoku/>
        <w:wordWrap/>
        <w:overflowPunct/>
        <w:topLinePunct w:val="0"/>
        <w:bidi w:val="0"/>
        <w:rPr>
          <w:rFonts w:hint="eastAsia" w:ascii="方正仿宋_GBK" w:hAnsi="方正仿宋_GBK" w:eastAsia="方正仿宋_GBK" w:cs="方正仿宋_GBK"/>
          <w:color w:val="000000"/>
          <w:kern w:val="2"/>
          <w:sz w:val="32"/>
          <w:szCs w:val="24"/>
          <w:lang w:val="zh-CN"/>
        </w:rPr>
      </w:pPr>
    </w:p>
    <w:p>
      <w:pPr>
        <w:pStyle w:val="6"/>
        <w:keepNext w:val="0"/>
        <w:keepLines w:val="0"/>
        <w:pageBreakBefore w:val="0"/>
        <w:widowControl w:val="0"/>
        <w:kinsoku/>
        <w:wordWrap/>
        <w:overflowPunct/>
        <w:topLinePunct w:val="0"/>
        <w:bidi w:val="0"/>
        <w:jc w:val="center"/>
        <w:rPr>
          <w:rFonts w:hint="eastAsia" w:ascii="方正仿宋_GBK" w:hAnsi="方正仿宋_GBK" w:eastAsia="方正仿宋_GBK" w:cs="方正仿宋_GBK"/>
          <w:color w:val="000000"/>
          <w:kern w:val="2"/>
          <w:sz w:val="32"/>
          <w:szCs w:val="24"/>
          <w:lang w:val="zh-CN"/>
        </w:rPr>
      </w:pPr>
    </w:p>
    <w:p>
      <w:pPr>
        <w:pStyle w:val="6"/>
        <w:keepNext w:val="0"/>
        <w:keepLines w:val="0"/>
        <w:pageBreakBefore w:val="0"/>
        <w:widowControl w:val="0"/>
        <w:kinsoku/>
        <w:wordWrap/>
        <w:overflowPunct/>
        <w:topLinePunct w:val="0"/>
        <w:bidi w:val="0"/>
        <w:rPr>
          <w:rFonts w:hint="eastAsia" w:ascii="方正仿宋_GBK" w:hAnsi="方正仿宋_GBK" w:eastAsia="方正仿宋_GBK" w:cs="方正仿宋_GBK"/>
          <w:color w:val="000000"/>
          <w:kern w:val="2"/>
          <w:sz w:val="32"/>
          <w:szCs w:val="24"/>
          <w:lang w:val="zh-CN"/>
        </w:rPr>
      </w:pPr>
    </w:p>
    <w:p>
      <w:pPr>
        <w:pStyle w:val="6"/>
        <w:keepNext w:val="0"/>
        <w:keepLines w:val="0"/>
        <w:pageBreakBefore w:val="0"/>
        <w:widowControl w:val="0"/>
        <w:kinsoku/>
        <w:wordWrap/>
        <w:overflowPunct/>
        <w:topLinePunct w:val="0"/>
        <w:bidi w:val="0"/>
        <w:rPr>
          <w:rFonts w:hint="eastAsia" w:ascii="方正仿宋_GBK" w:hAnsi="方正仿宋_GBK" w:eastAsia="方正仿宋_GBK" w:cs="方正仿宋_GBK"/>
          <w:color w:val="000000"/>
          <w:kern w:val="2"/>
          <w:sz w:val="32"/>
          <w:szCs w:val="24"/>
          <w:lang w:val="zh-CN"/>
        </w:rPr>
      </w:pPr>
    </w:p>
    <w:p>
      <w:pPr>
        <w:pStyle w:val="6"/>
        <w:keepNext w:val="0"/>
        <w:keepLines w:val="0"/>
        <w:pageBreakBefore w:val="0"/>
        <w:widowControl w:val="0"/>
        <w:kinsoku/>
        <w:wordWrap/>
        <w:overflowPunct/>
        <w:topLinePunct w:val="0"/>
        <w:bidi w:val="0"/>
        <w:ind w:left="0" w:leftChars="0" w:firstLine="0" w:firstLineChars="0"/>
        <w:rPr>
          <w:rFonts w:hint="eastAsia" w:ascii="方正仿宋_GBK" w:hAnsi="方正仿宋_GBK" w:eastAsia="方正仿宋_GBK" w:cs="方正仿宋_GBK"/>
          <w:color w:val="000000"/>
          <w:kern w:val="2"/>
          <w:sz w:val="32"/>
          <w:szCs w:val="24"/>
          <w:lang w:val="zh-CN"/>
        </w:rPr>
      </w:pPr>
    </w:p>
    <w:p>
      <w:pPr>
        <w:keepNext w:val="0"/>
        <w:keepLines w:val="0"/>
        <w:pageBreakBefore w:val="0"/>
        <w:widowControl w:val="0"/>
        <w:kinsoku/>
        <w:wordWrap/>
        <w:overflowPunct/>
        <w:topLinePunct w:val="0"/>
        <w:bidi w:val="0"/>
        <w:spacing w:beforeLines="0" w:afterLines="0" w:line="600" w:lineRule="exact"/>
        <w:ind w:firstLine="640"/>
        <w:jc w:val="both"/>
        <w:rPr>
          <w:rFonts w:hint="eastAsia" w:ascii="方正仿宋_GBK" w:hAnsi="方正仿宋_GBK" w:eastAsia="方正仿宋_GBK" w:cs="方正仿宋_GBK"/>
          <w:color w:val="auto"/>
          <w:kern w:val="2"/>
          <w:sz w:val="32"/>
          <w:szCs w:val="24"/>
          <w:lang w:val="en-US"/>
        </w:rPr>
      </w:pPr>
      <w:r>
        <w:rPr>
          <w:rFonts w:hint="eastAsia" w:ascii="方正仿宋_GBK" w:hAnsi="方正仿宋_GBK" w:eastAsia="方正仿宋_GBK" w:cs="方正仿宋_GBK"/>
          <w:color w:val="auto"/>
          <w:kern w:val="2"/>
          <w:sz w:val="32"/>
          <w:szCs w:val="24"/>
          <w:lang w:val="en-US"/>
        </w:rPr>
        <w:t>图1：收、支决算总计变动情况图（单位：万元）</w:t>
      </w:r>
    </w:p>
    <w:p>
      <w:pPr>
        <w:pStyle w:val="3"/>
        <w:bidi w:val="0"/>
        <w:ind w:firstLine="660" w:firstLineChars="200"/>
        <w:jc w:val="both"/>
        <w:rPr>
          <w:rFonts w:hint="eastAsia"/>
          <w:lang w:val="zh-CN"/>
        </w:rPr>
      </w:pPr>
      <w:bookmarkStart w:id="12" w:name="_Toc4208"/>
      <w:r>
        <w:rPr>
          <w:rFonts w:hint="eastAsia"/>
          <w:lang w:val="zh-CN"/>
        </w:rPr>
        <w:t>二、收入决算情况说明</w:t>
      </w:r>
      <w:bookmarkEnd w:id="12"/>
    </w:p>
    <w:p>
      <w:pPr>
        <w:keepNext w:val="0"/>
        <w:keepLines w:val="0"/>
        <w:pageBreakBefore w:val="0"/>
        <w:widowControl w:val="0"/>
        <w:kinsoku/>
        <w:wordWrap/>
        <w:overflowPunct/>
        <w:topLinePunct w:val="0"/>
        <w:bidi w:val="0"/>
        <w:spacing w:beforeLines="0" w:afterLines="0" w:line="576" w:lineRule="exact"/>
        <w:ind w:firstLine="640"/>
        <w:jc w:val="both"/>
        <w:rPr>
          <w:rFonts w:hint="eastAsia" w:ascii="方正仿宋_GBK" w:hAnsi="方正仿宋_GBK" w:eastAsia="方正仿宋_GBK" w:cs="方正仿宋_GBK"/>
          <w:color w:val="000000"/>
          <w:kern w:val="2"/>
          <w:sz w:val="32"/>
          <w:szCs w:val="24"/>
          <w:lang w:val="zh-CN"/>
        </w:rPr>
      </w:pPr>
      <w:r>
        <w:rPr>
          <w:rFonts w:hint="eastAsia" w:ascii="方正仿宋_GBK" w:hAnsi="方正仿宋_GBK" w:eastAsia="方正仿宋_GBK" w:cs="方正仿宋_GBK"/>
          <w:color w:val="000000"/>
          <w:kern w:val="2"/>
          <w:sz w:val="32"/>
          <w:szCs w:val="24"/>
          <w:lang w:val="zh-CN"/>
        </w:rPr>
        <w:t>2022年本年收入合计3877.54万元，其中：一般公共预算财政拨款收入3867.54万元，占99.7</w:t>
      </w:r>
      <w:r>
        <w:rPr>
          <w:rFonts w:hint="eastAsia" w:ascii="方正仿宋_GBK" w:hAnsi="方正仿宋_GBK" w:eastAsia="方正仿宋_GBK" w:cs="方正仿宋_GBK"/>
          <w:color w:val="000000"/>
          <w:kern w:val="2"/>
          <w:sz w:val="32"/>
          <w:szCs w:val="24"/>
          <w:lang w:val="en-US" w:eastAsia="zh-CN"/>
        </w:rPr>
        <w:t>4</w:t>
      </w:r>
      <w:r>
        <w:rPr>
          <w:rFonts w:hint="eastAsia" w:ascii="方正仿宋_GBK" w:hAnsi="方正仿宋_GBK" w:eastAsia="方正仿宋_GBK" w:cs="方正仿宋_GBK"/>
          <w:color w:val="000000"/>
          <w:kern w:val="2"/>
          <w:sz w:val="32"/>
          <w:szCs w:val="24"/>
          <w:lang w:val="zh-CN"/>
        </w:rPr>
        <w:t>%；政府性基金预算财政拨款收入10万元，占0.</w:t>
      </w:r>
      <w:r>
        <w:rPr>
          <w:rFonts w:hint="eastAsia" w:ascii="方正仿宋_GBK" w:hAnsi="方正仿宋_GBK" w:eastAsia="方正仿宋_GBK" w:cs="方正仿宋_GBK"/>
          <w:color w:val="000000"/>
          <w:kern w:val="2"/>
          <w:sz w:val="32"/>
          <w:szCs w:val="24"/>
          <w:lang w:val="en-US" w:eastAsia="zh-CN"/>
        </w:rPr>
        <w:t>26</w:t>
      </w:r>
      <w:r>
        <w:rPr>
          <w:rFonts w:hint="eastAsia" w:ascii="方正仿宋_GBK" w:hAnsi="方正仿宋_GBK" w:eastAsia="方正仿宋_GBK" w:cs="方正仿宋_GBK"/>
          <w:color w:val="000000"/>
          <w:kern w:val="2"/>
          <w:sz w:val="32"/>
          <w:szCs w:val="24"/>
          <w:lang w:val="zh-CN"/>
        </w:rPr>
        <w:t>%；国有资本经营预算财政拨款收入0万元，占0%；上级补助收入0万元，占0%；事业收入0万元，占0%；经营收入0万元，占0%；附属单位上缴收入0万元，占0%；其他收入0万元，占0%。</w:t>
      </w:r>
    </w:p>
    <w:p>
      <w:pPr>
        <w:pStyle w:val="6"/>
        <w:keepNext w:val="0"/>
        <w:keepLines w:val="0"/>
        <w:pageBreakBefore w:val="0"/>
        <w:widowControl w:val="0"/>
        <w:kinsoku/>
        <w:wordWrap/>
        <w:overflowPunct/>
        <w:topLinePunct w:val="0"/>
        <w:bidi w:val="0"/>
        <w:rPr>
          <w:rFonts w:hint="eastAsia" w:ascii="方正仿宋_GBK" w:hAnsi="方正仿宋_GBK" w:eastAsia="方正仿宋_GBK" w:cs="方正仿宋_GBK"/>
          <w:color w:val="000000"/>
          <w:kern w:val="2"/>
          <w:sz w:val="32"/>
          <w:szCs w:val="24"/>
          <w:lang w:val="zh-CN"/>
        </w:rPr>
      </w:pPr>
      <w:r>
        <w:rPr>
          <w:rFonts w:hint="eastAsia" w:ascii="方正仿宋_GBK" w:hAnsi="方正仿宋_GBK" w:eastAsia="方正仿宋_GBK" w:cs="方正仿宋_GBK"/>
        </w:rPr>
        <w:drawing>
          <wp:anchor distT="0" distB="0" distL="114300" distR="114300" simplePos="0" relativeHeight="251661312" behindDoc="0" locked="0" layoutInCell="1" allowOverlap="1">
            <wp:simplePos x="0" y="0"/>
            <wp:positionH relativeFrom="column">
              <wp:posOffset>528320</wp:posOffset>
            </wp:positionH>
            <wp:positionV relativeFrom="paragraph">
              <wp:posOffset>52070</wp:posOffset>
            </wp:positionV>
            <wp:extent cx="4664710" cy="2742565"/>
            <wp:effectExtent l="4445" t="4445" r="17145" b="15240"/>
            <wp:wrapSquare wrapText="bothSides"/>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6"/>
        <w:keepNext w:val="0"/>
        <w:keepLines w:val="0"/>
        <w:pageBreakBefore w:val="0"/>
        <w:widowControl w:val="0"/>
        <w:kinsoku/>
        <w:wordWrap/>
        <w:overflowPunct/>
        <w:topLinePunct w:val="0"/>
        <w:bidi w:val="0"/>
        <w:rPr>
          <w:rFonts w:hint="eastAsia" w:ascii="方正仿宋_GBK" w:hAnsi="方正仿宋_GBK" w:eastAsia="方正仿宋_GBK" w:cs="方正仿宋_GBK"/>
          <w:color w:val="000000"/>
          <w:kern w:val="2"/>
          <w:sz w:val="32"/>
          <w:szCs w:val="24"/>
          <w:lang w:val="zh-CN"/>
        </w:rPr>
      </w:pPr>
    </w:p>
    <w:p>
      <w:pPr>
        <w:pStyle w:val="6"/>
        <w:keepNext w:val="0"/>
        <w:keepLines w:val="0"/>
        <w:pageBreakBefore w:val="0"/>
        <w:widowControl w:val="0"/>
        <w:kinsoku/>
        <w:wordWrap/>
        <w:overflowPunct/>
        <w:topLinePunct w:val="0"/>
        <w:bidi w:val="0"/>
        <w:rPr>
          <w:rFonts w:hint="eastAsia" w:ascii="方正仿宋_GBK" w:hAnsi="方正仿宋_GBK" w:eastAsia="方正仿宋_GBK" w:cs="方正仿宋_GBK"/>
          <w:color w:val="000000"/>
          <w:kern w:val="2"/>
          <w:sz w:val="32"/>
          <w:szCs w:val="24"/>
          <w:lang w:val="zh-CN"/>
        </w:rPr>
      </w:pPr>
    </w:p>
    <w:p>
      <w:pPr>
        <w:pStyle w:val="6"/>
        <w:keepNext w:val="0"/>
        <w:keepLines w:val="0"/>
        <w:pageBreakBefore w:val="0"/>
        <w:widowControl w:val="0"/>
        <w:kinsoku/>
        <w:wordWrap/>
        <w:overflowPunct/>
        <w:topLinePunct w:val="0"/>
        <w:bidi w:val="0"/>
        <w:rPr>
          <w:rFonts w:hint="eastAsia" w:ascii="方正仿宋_GBK" w:hAnsi="方正仿宋_GBK" w:eastAsia="方正仿宋_GBK" w:cs="方正仿宋_GBK"/>
          <w:color w:val="000000"/>
          <w:kern w:val="2"/>
          <w:sz w:val="32"/>
          <w:szCs w:val="24"/>
          <w:lang w:val="zh-CN"/>
        </w:rPr>
      </w:pPr>
    </w:p>
    <w:p>
      <w:pPr>
        <w:pStyle w:val="6"/>
        <w:keepNext w:val="0"/>
        <w:keepLines w:val="0"/>
        <w:pageBreakBefore w:val="0"/>
        <w:widowControl w:val="0"/>
        <w:kinsoku/>
        <w:wordWrap/>
        <w:overflowPunct/>
        <w:topLinePunct w:val="0"/>
        <w:bidi w:val="0"/>
        <w:rPr>
          <w:rFonts w:hint="eastAsia" w:ascii="方正仿宋_GBK" w:hAnsi="方正仿宋_GBK" w:eastAsia="方正仿宋_GBK" w:cs="方正仿宋_GBK"/>
          <w:color w:val="000000"/>
          <w:kern w:val="2"/>
          <w:sz w:val="32"/>
          <w:szCs w:val="24"/>
          <w:lang w:val="zh-CN"/>
        </w:rPr>
      </w:pPr>
    </w:p>
    <w:p>
      <w:pPr>
        <w:pStyle w:val="6"/>
        <w:keepNext w:val="0"/>
        <w:keepLines w:val="0"/>
        <w:pageBreakBefore w:val="0"/>
        <w:widowControl w:val="0"/>
        <w:kinsoku/>
        <w:wordWrap/>
        <w:overflowPunct/>
        <w:topLinePunct w:val="0"/>
        <w:bidi w:val="0"/>
        <w:rPr>
          <w:rFonts w:hint="eastAsia" w:ascii="方正仿宋_GBK" w:hAnsi="方正仿宋_GBK" w:eastAsia="方正仿宋_GBK" w:cs="方正仿宋_GBK"/>
          <w:color w:val="000000"/>
          <w:kern w:val="2"/>
          <w:sz w:val="32"/>
          <w:szCs w:val="24"/>
          <w:lang w:val="zh-CN"/>
        </w:rPr>
      </w:pPr>
    </w:p>
    <w:p>
      <w:pPr>
        <w:pStyle w:val="6"/>
        <w:keepNext w:val="0"/>
        <w:keepLines w:val="0"/>
        <w:pageBreakBefore w:val="0"/>
        <w:widowControl w:val="0"/>
        <w:kinsoku/>
        <w:wordWrap/>
        <w:overflowPunct/>
        <w:topLinePunct w:val="0"/>
        <w:bidi w:val="0"/>
        <w:rPr>
          <w:rFonts w:hint="eastAsia" w:ascii="方正仿宋_GBK" w:hAnsi="方正仿宋_GBK" w:eastAsia="方正仿宋_GBK" w:cs="方正仿宋_GBK"/>
          <w:color w:val="000000"/>
          <w:kern w:val="2"/>
          <w:sz w:val="32"/>
          <w:szCs w:val="24"/>
          <w:lang w:val="zh-CN"/>
        </w:rPr>
      </w:pPr>
    </w:p>
    <w:p>
      <w:pPr>
        <w:keepNext w:val="0"/>
        <w:keepLines w:val="0"/>
        <w:pageBreakBefore w:val="0"/>
        <w:widowControl w:val="0"/>
        <w:kinsoku/>
        <w:wordWrap/>
        <w:overflowPunct/>
        <w:topLinePunct w:val="0"/>
        <w:bidi w:val="0"/>
        <w:spacing w:beforeLines="0" w:afterLines="0" w:line="600" w:lineRule="exact"/>
        <w:ind w:firstLine="640"/>
        <w:jc w:val="center"/>
        <w:rPr>
          <w:rFonts w:hint="eastAsia" w:ascii="方正仿宋_GBK" w:hAnsi="方正仿宋_GBK" w:eastAsia="方正仿宋_GBK" w:cs="方正仿宋_GBK"/>
          <w:color w:val="auto"/>
          <w:kern w:val="2"/>
          <w:sz w:val="32"/>
          <w:szCs w:val="24"/>
          <w:lang w:val="en-US"/>
        </w:rPr>
      </w:pPr>
      <w:r>
        <w:rPr>
          <w:rFonts w:hint="eastAsia" w:ascii="方正仿宋_GBK" w:hAnsi="方正仿宋_GBK" w:eastAsia="方正仿宋_GBK" w:cs="方正仿宋_GBK"/>
          <w:color w:val="auto"/>
          <w:kern w:val="2"/>
          <w:sz w:val="32"/>
          <w:szCs w:val="24"/>
          <w:lang w:val="en-US"/>
        </w:rPr>
        <w:t>图2：收入决算结构图</w:t>
      </w:r>
    </w:p>
    <w:p>
      <w:pPr>
        <w:pStyle w:val="3"/>
        <w:bidi w:val="0"/>
        <w:ind w:firstLine="660" w:firstLineChars="200"/>
        <w:jc w:val="both"/>
        <w:rPr>
          <w:rFonts w:hint="eastAsia" w:ascii="Times New Roman" w:hAnsi="Times New Roman"/>
          <w:lang w:val="zh-CN"/>
        </w:rPr>
      </w:pPr>
      <w:bookmarkStart w:id="13" w:name="_Toc14274"/>
      <w:r>
        <w:rPr>
          <w:rFonts w:hint="eastAsia" w:ascii="Times New Roman" w:hAnsi="Times New Roman"/>
          <w:lang w:val="zh-CN"/>
        </w:rPr>
        <w:t>三、支出决算情况说明</w:t>
      </w:r>
      <w:bookmarkEnd w:id="13"/>
    </w:p>
    <w:p>
      <w:pPr>
        <w:keepNext w:val="0"/>
        <w:keepLines w:val="0"/>
        <w:pageBreakBefore w:val="0"/>
        <w:widowControl w:val="0"/>
        <w:kinsoku/>
        <w:wordWrap/>
        <w:overflowPunct/>
        <w:topLinePunct w:val="0"/>
        <w:bidi w:val="0"/>
        <w:spacing w:beforeLines="0" w:afterLines="0" w:line="576" w:lineRule="exact"/>
        <w:ind w:firstLine="640"/>
        <w:jc w:val="both"/>
        <w:rPr>
          <w:rFonts w:hint="eastAsia" w:ascii="方正仿宋_GBK" w:hAnsi="方正仿宋_GBK" w:eastAsia="方正仿宋_GBK" w:cs="方正仿宋_GBK"/>
          <w:color w:val="000000"/>
          <w:kern w:val="2"/>
          <w:sz w:val="32"/>
          <w:szCs w:val="24"/>
          <w:lang w:val="zh-CN"/>
        </w:rPr>
      </w:pPr>
      <w:r>
        <w:rPr>
          <w:rFonts w:hint="eastAsia" w:ascii="方正仿宋_GBK" w:hAnsi="方正仿宋_GBK" w:eastAsia="方正仿宋_GBK" w:cs="方正仿宋_GBK"/>
        </w:rPr>
        <w:drawing>
          <wp:anchor distT="0" distB="0" distL="114300" distR="114300" simplePos="0" relativeHeight="251660288" behindDoc="0" locked="0" layoutInCell="1" allowOverlap="1">
            <wp:simplePos x="0" y="0"/>
            <wp:positionH relativeFrom="column">
              <wp:posOffset>633095</wp:posOffset>
            </wp:positionH>
            <wp:positionV relativeFrom="paragraph">
              <wp:posOffset>1257935</wp:posOffset>
            </wp:positionV>
            <wp:extent cx="4391025" cy="2515235"/>
            <wp:effectExtent l="4445" t="4445" r="5080" b="13970"/>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方正仿宋_GBK" w:hAnsi="方正仿宋_GBK" w:eastAsia="方正仿宋_GBK" w:cs="方正仿宋_GBK"/>
          <w:color w:val="000000"/>
          <w:kern w:val="2"/>
          <w:sz w:val="32"/>
          <w:szCs w:val="24"/>
          <w:lang w:val="zh-CN"/>
        </w:rPr>
        <w:t>2022年本年支出合计3877.54万元，其中：基本支出1194.82万元，占30.8</w:t>
      </w:r>
      <w:r>
        <w:rPr>
          <w:rFonts w:hint="eastAsia" w:ascii="方正仿宋_GBK" w:hAnsi="方正仿宋_GBK" w:eastAsia="方正仿宋_GBK" w:cs="方正仿宋_GBK"/>
          <w:color w:val="000000"/>
          <w:kern w:val="2"/>
          <w:sz w:val="32"/>
          <w:szCs w:val="24"/>
          <w:lang w:val="en-US" w:eastAsia="zh-CN"/>
        </w:rPr>
        <w:t>1</w:t>
      </w:r>
      <w:r>
        <w:rPr>
          <w:rFonts w:hint="eastAsia" w:ascii="方正仿宋_GBK" w:hAnsi="方正仿宋_GBK" w:eastAsia="方正仿宋_GBK" w:cs="方正仿宋_GBK"/>
          <w:color w:val="000000"/>
          <w:kern w:val="2"/>
          <w:sz w:val="32"/>
          <w:szCs w:val="24"/>
          <w:lang w:val="zh-CN"/>
        </w:rPr>
        <w:t>%；项目支出2682.72万元，占69.</w:t>
      </w:r>
      <w:r>
        <w:rPr>
          <w:rFonts w:hint="eastAsia" w:ascii="方正仿宋_GBK" w:hAnsi="方正仿宋_GBK" w:eastAsia="方正仿宋_GBK" w:cs="方正仿宋_GBK"/>
          <w:color w:val="000000"/>
          <w:kern w:val="2"/>
          <w:sz w:val="32"/>
          <w:szCs w:val="24"/>
          <w:lang w:val="en-US" w:eastAsia="zh-CN"/>
        </w:rPr>
        <w:t>19</w:t>
      </w:r>
      <w:r>
        <w:rPr>
          <w:rFonts w:hint="eastAsia" w:ascii="方正仿宋_GBK" w:hAnsi="方正仿宋_GBK" w:eastAsia="方正仿宋_GBK" w:cs="方正仿宋_GBK"/>
          <w:color w:val="000000"/>
          <w:kern w:val="2"/>
          <w:sz w:val="32"/>
          <w:szCs w:val="24"/>
          <w:lang w:val="zh-CN"/>
        </w:rPr>
        <w:t>%；上缴上级支出0万元，占0%；经营支出0万元，占0%；对附属单位补助支出0万元，占0%。</w:t>
      </w:r>
    </w:p>
    <w:p>
      <w:pPr>
        <w:pStyle w:val="2"/>
        <w:rPr>
          <w:rFonts w:hint="eastAsia" w:ascii="方正仿宋_GBK" w:hAnsi="方正仿宋_GBK" w:eastAsia="方正仿宋_GBK" w:cs="方正仿宋_GBK"/>
          <w:color w:val="000000"/>
          <w:kern w:val="2"/>
          <w:sz w:val="32"/>
          <w:szCs w:val="24"/>
          <w:lang w:val="zh-CN"/>
        </w:rPr>
      </w:pPr>
    </w:p>
    <w:p>
      <w:pPr>
        <w:rPr>
          <w:rFonts w:hint="eastAsia" w:ascii="方正仿宋_GBK" w:hAnsi="方正仿宋_GBK" w:eastAsia="方正仿宋_GBK" w:cs="方正仿宋_GBK"/>
          <w:color w:val="000000"/>
          <w:kern w:val="2"/>
          <w:sz w:val="32"/>
          <w:szCs w:val="24"/>
          <w:lang w:val="zh-CN"/>
        </w:rPr>
      </w:pPr>
    </w:p>
    <w:p>
      <w:pPr>
        <w:pStyle w:val="2"/>
        <w:rPr>
          <w:rFonts w:hint="eastAsia"/>
          <w:lang w:val="zh-CN"/>
        </w:rPr>
      </w:pPr>
    </w:p>
    <w:p>
      <w:pPr>
        <w:keepNext w:val="0"/>
        <w:keepLines w:val="0"/>
        <w:pageBreakBefore w:val="0"/>
        <w:widowControl w:val="0"/>
        <w:kinsoku/>
        <w:wordWrap/>
        <w:overflowPunct/>
        <w:topLinePunct w:val="0"/>
        <w:bidi w:val="0"/>
        <w:spacing w:beforeLines="0" w:afterLines="0" w:line="600" w:lineRule="exact"/>
        <w:ind w:left="0" w:leftChars="0" w:firstLine="0" w:firstLineChars="0"/>
        <w:jc w:val="both"/>
        <w:rPr>
          <w:rFonts w:hint="eastAsia" w:ascii="方正仿宋_GBK" w:hAnsi="方正仿宋_GBK" w:eastAsia="方正仿宋_GBK" w:cs="方正仿宋_GBK"/>
          <w:color w:val="auto"/>
          <w:kern w:val="2"/>
          <w:sz w:val="32"/>
          <w:szCs w:val="24"/>
          <w:lang w:val="en-US"/>
        </w:rPr>
      </w:pPr>
    </w:p>
    <w:p>
      <w:pPr>
        <w:keepNext w:val="0"/>
        <w:keepLines w:val="0"/>
        <w:pageBreakBefore w:val="0"/>
        <w:widowControl w:val="0"/>
        <w:kinsoku/>
        <w:wordWrap/>
        <w:overflowPunct/>
        <w:topLinePunct w:val="0"/>
        <w:bidi w:val="0"/>
        <w:spacing w:beforeLines="0" w:afterLines="0" w:line="600" w:lineRule="exact"/>
        <w:ind w:firstLine="640"/>
        <w:jc w:val="center"/>
        <w:rPr>
          <w:rFonts w:hint="eastAsia" w:ascii="方正仿宋_GBK" w:hAnsi="方正仿宋_GBK" w:eastAsia="方正仿宋_GBK" w:cs="方正仿宋_GBK"/>
          <w:color w:val="auto"/>
          <w:kern w:val="2"/>
          <w:sz w:val="32"/>
          <w:szCs w:val="24"/>
          <w:lang w:val="en-US"/>
        </w:rPr>
      </w:pPr>
      <w:r>
        <w:rPr>
          <w:rFonts w:hint="eastAsia" w:ascii="方正仿宋_GBK" w:hAnsi="方正仿宋_GBK" w:eastAsia="方正仿宋_GBK" w:cs="方正仿宋_GBK"/>
          <w:color w:val="auto"/>
          <w:kern w:val="2"/>
          <w:sz w:val="32"/>
          <w:szCs w:val="24"/>
          <w:lang w:val="en-US"/>
        </w:rPr>
        <w:t>图3：支出决算结构图</w:t>
      </w:r>
    </w:p>
    <w:p>
      <w:pPr>
        <w:pStyle w:val="3"/>
        <w:bidi w:val="0"/>
        <w:ind w:firstLine="660" w:firstLineChars="200"/>
        <w:jc w:val="both"/>
        <w:rPr>
          <w:rFonts w:hint="eastAsia"/>
          <w:lang w:val="zh-CN"/>
        </w:rPr>
      </w:pPr>
      <w:bookmarkStart w:id="14" w:name="_Toc29820"/>
      <w:r>
        <w:rPr>
          <w:rFonts w:hint="eastAsia"/>
          <w:lang w:val="zh-CN"/>
        </w:rPr>
        <w:t>四、财政拨款收入支出决算总体情况说明</w:t>
      </w:r>
      <w:bookmarkEnd w:id="14"/>
    </w:p>
    <w:p>
      <w:pPr>
        <w:keepNext w:val="0"/>
        <w:keepLines w:val="0"/>
        <w:pageBreakBefore w:val="0"/>
        <w:widowControl w:val="0"/>
        <w:kinsoku/>
        <w:wordWrap/>
        <w:overflowPunct/>
        <w:topLinePunct w:val="0"/>
        <w:bidi w:val="0"/>
        <w:spacing w:beforeLines="0" w:afterLines="0" w:line="576" w:lineRule="exact"/>
        <w:ind w:firstLine="640"/>
        <w:jc w:val="both"/>
        <w:rPr>
          <w:rFonts w:hint="eastAsia"/>
          <w:lang w:val="en-US" w:eastAsia="zh-CN"/>
        </w:rPr>
      </w:pPr>
      <w:r>
        <w:rPr>
          <w:rFonts w:hint="eastAsia" w:ascii="方正仿宋_GBK" w:hAnsi="方正仿宋_GBK" w:eastAsia="方正仿宋_GBK" w:cs="方正仿宋_GBK"/>
          <w:color w:val="000000"/>
          <w:kern w:val="2"/>
          <w:sz w:val="32"/>
          <w:szCs w:val="24"/>
          <w:lang w:val="zh-CN"/>
        </w:rPr>
        <w:t>2022年财政拨款</w:t>
      </w:r>
      <w:r>
        <w:rPr>
          <w:rFonts w:hint="eastAsia" w:ascii="方正仿宋_GBK" w:hAnsi="方正仿宋_GBK" w:eastAsia="方正仿宋_GBK" w:cs="方正仿宋_GBK"/>
          <w:color w:val="000000"/>
          <w:kern w:val="2"/>
          <w:sz w:val="32"/>
          <w:szCs w:val="24"/>
          <w:lang w:val="en-US" w:eastAsia="zh-CN"/>
        </w:rPr>
        <w:t>收入、支出</w:t>
      </w:r>
      <w:r>
        <w:rPr>
          <w:rFonts w:hint="eastAsia" w:ascii="方正仿宋_GBK" w:hAnsi="方正仿宋_GBK" w:eastAsia="方正仿宋_GBK" w:cs="方正仿宋_GBK"/>
          <w:color w:val="000000"/>
          <w:kern w:val="2"/>
          <w:sz w:val="32"/>
          <w:szCs w:val="24"/>
          <w:lang w:val="zh-CN"/>
        </w:rPr>
        <w:t>总计3877.54万元。与2021年相比，收入增加2250.03万元，增长138.25%，支出增加1854.84万元，增长91.70%。主要变动原因是新增广安市应急指挥中心信息化建设项目投入资金1793万元。</w:t>
      </w:r>
    </w:p>
    <w:p>
      <w:pPr>
        <w:keepNext w:val="0"/>
        <w:keepLines w:val="0"/>
        <w:pageBreakBefore w:val="0"/>
        <w:widowControl w:val="0"/>
        <w:kinsoku/>
        <w:wordWrap/>
        <w:overflowPunct/>
        <w:topLinePunct w:val="0"/>
        <w:bidi w:val="0"/>
        <w:spacing w:beforeLines="0" w:afterLines="0" w:line="600" w:lineRule="exact"/>
        <w:ind w:left="0" w:leftChars="0" w:firstLine="0" w:firstLineChars="0"/>
        <w:jc w:val="both"/>
        <w:rPr>
          <w:rFonts w:hint="eastAsia" w:ascii="方正仿宋_GBK" w:hAnsi="方正仿宋_GBK" w:eastAsia="方正仿宋_GBK" w:cs="方正仿宋_GBK"/>
          <w:color w:val="auto"/>
          <w:kern w:val="2"/>
          <w:sz w:val="32"/>
          <w:szCs w:val="24"/>
          <w:lang w:val="en-US"/>
        </w:rPr>
      </w:pPr>
      <w:r>
        <w:rPr>
          <w:rFonts w:hint="eastAsia" w:ascii="方正仿宋_GBK" w:hAnsi="方正仿宋_GBK" w:eastAsia="方正仿宋_GBK" w:cs="方正仿宋_GBK"/>
        </w:rPr>
        <w:drawing>
          <wp:anchor distT="0" distB="0" distL="114300" distR="114300" simplePos="0" relativeHeight="251662336" behindDoc="0" locked="0" layoutInCell="1" allowOverlap="1">
            <wp:simplePos x="0" y="0"/>
            <wp:positionH relativeFrom="column">
              <wp:posOffset>620395</wp:posOffset>
            </wp:positionH>
            <wp:positionV relativeFrom="paragraph">
              <wp:posOffset>213995</wp:posOffset>
            </wp:positionV>
            <wp:extent cx="4572000" cy="2743200"/>
            <wp:effectExtent l="4445" t="4445" r="14605" b="14605"/>
            <wp:wrapSquare wrapText="bothSides"/>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keepNext w:val="0"/>
        <w:keepLines w:val="0"/>
        <w:pageBreakBefore w:val="0"/>
        <w:widowControl w:val="0"/>
        <w:kinsoku/>
        <w:wordWrap/>
        <w:overflowPunct/>
        <w:topLinePunct w:val="0"/>
        <w:bidi w:val="0"/>
        <w:spacing w:beforeLines="0" w:afterLines="0" w:line="600" w:lineRule="exact"/>
        <w:ind w:firstLine="640"/>
        <w:jc w:val="both"/>
        <w:rPr>
          <w:rFonts w:hint="eastAsia" w:ascii="方正仿宋_GBK" w:hAnsi="方正仿宋_GBK" w:eastAsia="方正仿宋_GBK" w:cs="方正仿宋_GBK"/>
          <w:color w:val="auto"/>
          <w:kern w:val="2"/>
          <w:sz w:val="32"/>
          <w:szCs w:val="24"/>
          <w:lang w:val="en-US"/>
        </w:rPr>
      </w:pPr>
    </w:p>
    <w:p>
      <w:pPr>
        <w:keepNext w:val="0"/>
        <w:keepLines w:val="0"/>
        <w:pageBreakBefore w:val="0"/>
        <w:widowControl w:val="0"/>
        <w:kinsoku/>
        <w:wordWrap/>
        <w:overflowPunct/>
        <w:topLinePunct w:val="0"/>
        <w:bidi w:val="0"/>
        <w:spacing w:beforeLines="0" w:afterLines="0" w:line="600" w:lineRule="exact"/>
        <w:ind w:firstLine="640"/>
        <w:jc w:val="both"/>
        <w:rPr>
          <w:rFonts w:hint="eastAsia" w:ascii="方正仿宋_GBK" w:hAnsi="方正仿宋_GBK" w:eastAsia="方正仿宋_GBK" w:cs="方正仿宋_GBK"/>
          <w:color w:val="auto"/>
          <w:kern w:val="2"/>
          <w:sz w:val="32"/>
          <w:szCs w:val="24"/>
          <w:lang w:val="en-US"/>
        </w:rPr>
      </w:pPr>
    </w:p>
    <w:p>
      <w:pPr>
        <w:keepNext w:val="0"/>
        <w:keepLines w:val="0"/>
        <w:pageBreakBefore w:val="0"/>
        <w:widowControl w:val="0"/>
        <w:kinsoku/>
        <w:wordWrap/>
        <w:overflowPunct/>
        <w:topLinePunct w:val="0"/>
        <w:bidi w:val="0"/>
        <w:spacing w:beforeLines="0" w:afterLines="0" w:line="600" w:lineRule="exact"/>
        <w:ind w:firstLine="640"/>
        <w:jc w:val="both"/>
        <w:rPr>
          <w:rFonts w:hint="eastAsia" w:ascii="方正仿宋_GBK" w:hAnsi="方正仿宋_GBK" w:eastAsia="方正仿宋_GBK" w:cs="方正仿宋_GBK"/>
          <w:color w:val="auto"/>
          <w:kern w:val="2"/>
          <w:sz w:val="32"/>
          <w:szCs w:val="24"/>
          <w:lang w:val="en-US"/>
        </w:rPr>
      </w:pPr>
    </w:p>
    <w:p>
      <w:pPr>
        <w:keepNext w:val="0"/>
        <w:keepLines w:val="0"/>
        <w:pageBreakBefore w:val="0"/>
        <w:widowControl w:val="0"/>
        <w:kinsoku/>
        <w:wordWrap/>
        <w:overflowPunct/>
        <w:topLinePunct w:val="0"/>
        <w:bidi w:val="0"/>
        <w:spacing w:beforeLines="0" w:afterLines="0" w:line="600" w:lineRule="exact"/>
        <w:ind w:firstLine="640"/>
        <w:jc w:val="both"/>
        <w:rPr>
          <w:rFonts w:hint="eastAsia" w:ascii="方正仿宋_GBK" w:hAnsi="方正仿宋_GBK" w:eastAsia="方正仿宋_GBK" w:cs="方正仿宋_GBK"/>
          <w:color w:val="auto"/>
          <w:kern w:val="2"/>
          <w:sz w:val="32"/>
          <w:szCs w:val="24"/>
          <w:lang w:val="en-US"/>
        </w:rPr>
      </w:pPr>
    </w:p>
    <w:p>
      <w:pPr>
        <w:keepNext w:val="0"/>
        <w:keepLines w:val="0"/>
        <w:pageBreakBefore w:val="0"/>
        <w:widowControl w:val="0"/>
        <w:kinsoku/>
        <w:wordWrap/>
        <w:overflowPunct/>
        <w:topLinePunct w:val="0"/>
        <w:bidi w:val="0"/>
        <w:spacing w:beforeLines="0" w:afterLines="0" w:line="600" w:lineRule="exact"/>
        <w:ind w:firstLine="640"/>
        <w:jc w:val="both"/>
        <w:rPr>
          <w:rFonts w:hint="eastAsia" w:ascii="方正仿宋_GBK" w:hAnsi="方正仿宋_GBK" w:eastAsia="方正仿宋_GBK" w:cs="方正仿宋_GBK"/>
          <w:color w:val="auto"/>
          <w:kern w:val="2"/>
          <w:sz w:val="32"/>
          <w:szCs w:val="24"/>
          <w:lang w:val="en-US"/>
        </w:rPr>
      </w:pPr>
    </w:p>
    <w:p>
      <w:pPr>
        <w:keepNext w:val="0"/>
        <w:keepLines w:val="0"/>
        <w:pageBreakBefore w:val="0"/>
        <w:widowControl w:val="0"/>
        <w:kinsoku/>
        <w:wordWrap/>
        <w:overflowPunct/>
        <w:topLinePunct w:val="0"/>
        <w:bidi w:val="0"/>
        <w:spacing w:beforeLines="0" w:afterLines="0" w:line="600" w:lineRule="exact"/>
        <w:ind w:firstLine="640"/>
        <w:jc w:val="both"/>
        <w:rPr>
          <w:rFonts w:hint="eastAsia" w:ascii="方正仿宋_GBK" w:hAnsi="方正仿宋_GBK" w:eastAsia="方正仿宋_GBK" w:cs="方正仿宋_GBK"/>
          <w:color w:val="auto"/>
          <w:kern w:val="2"/>
          <w:sz w:val="32"/>
          <w:szCs w:val="24"/>
          <w:lang w:val="en-US"/>
        </w:rPr>
      </w:pPr>
    </w:p>
    <w:p>
      <w:pPr>
        <w:keepNext w:val="0"/>
        <w:keepLines w:val="0"/>
        <w:pageBreakBefore w:val="0"/>
        <w:widowControl w:val="0"/>
        <w:kinsoku/>
        <w:wordWrap/>
        <w:overflowPunct/>
        <w:topLinePunct w:val="0"/>
        <w:bidi w:val="0"/>
        <w:spacing w:beforeLines="0" w:afterLines="0" w:line="600" w:lineRule="exact"/>
        <w:ind w:firstLine="640"/>
        <w:jc w:val="both"/>
        <w:rPr>
          <w:rFonts w:hint="eastAsia" w:ascii="方正仿宋_GBK" w:hAnsi="方正仿宋_GBK" w:eastAsia="方正仿宋_GBK" w:cs="方正仿宋_GBK"/>
          <w:color w:val="auto"/>
          <w:kern w:val="2"/>
          <w:sz w:val="32"/>
          <w:szCs w:val="24"/>
          <w:lang w:val="en-US"/>
        </w:rPr>
      </w:pPr>
    </w:p>
    <w:p>
      <w:pPr>
        <w:keepNext w:val="0"/>
        <w:keepLines w:val="0"/>
        <w:pageBreakBefore w:val="0"/>
        <w:widowControl w:val="0"/>
        <w:kinsoku/>
        <w:wordWrap/>
        <w:overflowPunct/>
        <w:topLinePunct w:val="0"/>
        <w:bidi w:val="0"/>
        <w:spacing w:beforeLines="0" w:afterLines="0" w:line="600" w:lineRule="exact"/>
        <w:ind w:firstLine="640"/>
        <w:jc w:val="center"/>
        <w:rPr>
          <w:rFonts w:hint="eastAsia" w:ascii="方正仿宋_GBK" w:hAnsi="方正仿宋_GBK" w:eastAsia="方正仿宋_GBK" w:cs="方正仿宋_GBK"/>
          <w:color w:val="auto"/>
          <w:kern w:val="2"/>
          <w:sz w:val="32"/>
          <w:szCs w:val="24"/>
          <w:lang w:val="en-US" w:eastAsia="zh-CN"/>
        </w:rPr>
      </w:pPr>
      <w:r>
        <w:rPr>
          <w:rFonts w:hint="eastAsia" w:ascii="方正仿宋_GBK" w:hAnsi="方正仿宋_GBK" w:eastAsia="方正仿宋_GBK" w:cs="方正仿宋_GBK"/>
          <w:color w:val="auto"/>
          <w:kern w:val="2"/>
          <w:sz w:val="32"/>
          <w:szCs w:val="24"/>
          <w:lang w:val="en-US"/>
        </w:rPr>
        <w:t>图4：财政拨款收、支决算总计变动情况</w:t>
      </w:r>
      <w:r>
        <w:rPr>
          <w:rFonts w:hint="eastAsia" w:ascii="方正仿宋_GBK" w:hAnsi="方正仿宋_GBK" w:eastAsia="方正仿宋_GBK" w:cs="方正仿宋_GBK"/>
          <w:color w:val="auto"/>
          <w:kern w:val="2"/>
          <w:sz w:val="32"/>
          <w:szCs w:val="24"/>
          <w:lang w:val="en-US" w:eastAsia="zh-CN"/>
        </w:rPr>
        <w:t>（单位：万元）</w:t>
      </w:r>
    </w:p>
    <w:p>
      <w:pPr>
        <w:pStyle w:val="3"/>
        <w:bidi w:val="0"/>
        <w:jc w:val="both"/>
        <w:rPr>
          <w:rFonts w:hint="eastAsia"/>
          <w:lang w:val="zh-CN"/>
        </w:rPr>
      </w:pPr>
      <w:bookmarkStart w:id="15" w:name="_Toc28845"/>
      <w:r>
        <w:rPr>
          <w:rFonts w:hint="eastAsia"/>
          <w:lang w:val="zh-CN"/>
        </w:rPr>
        <w:t>五、一般公共预算财政拨款支出决算情况说明</w:t>
      </w:r>
      <w:bookmarkEnd w:id="15"/>
    </w:p>
    <w:p>
      <w:pPr>
        <w:pStyle w:val="4"/>
        <w:bidi w:val="0"/>
        <w:ind w:firstLine="663" w:firstLineChars="200"/>
        <w:rPr>
          <w:rFonts w:hint="eastAsia"/>
          <w:lang w:val="zh-CN"/>
        </w:rPr>
      </w:pPr>
      <w:bookmarkStart w:id="16" w:name="_Toc17832"/>
      <w:r>
        <w:rPr>
          <w:rFonts w:hint="eastAsia"/>
          <w:lang w:val="zh-CN"/>
        </w:rPr>
        <w:t>（一）一般公共预算财政拨款支出决算总体情况。</w:t>
      </w:r>
      <w:bookmarkEnd w:id="16"/>
    </w:p>
    <w:p>
      <w:pPr>
        <w:keepNext w:val="0"/>
        <w:keepLines w:val="0"/>
        <w:pageBreakBefore w:val="0"/>
        <w:widowControl w:val="0"/>
        <w:kinsoku/>
        <w:wordWrap/>
        <w:overflowPunct/>
        <w:topLinePunct w:val="0"/>
        <w:bidi w:val="0"/>
        <w:spacing w:beforeLines="0" w:afterLines="0" w:line="576" w:lineRule="exact"/>
        <w:ind w:firstLine="640"/>
        <w:jc w:val="both"/>
        <w:rPr>
          <w:rFonts w:hint="eastAsia" w:ascii="方正仿宋_GBK" w:hAnsi="方正仿宋_GBK" w:eastAsia="方正仿宋_GBK" w:cs="方正仿宋_GBK"/>
          <w:color w:val="000000"/>
          <w:kern w:val="2"/>
          <w:sz w:val="32"/>
          <w:szCs w:val="24"/>
          <w:lang w:val="zh-CN"/>
        </w:rPr>
      </w:pPr>
      <w:r>
        <w:rPr>
          <w:rFonts w:hint="eastAsia" w:ascii="方正仿宋_GBK" w:hAnsi="方正仿宋_GBK" w:eastAsia="方正仿宋_GBK" w:cs="方正仿宋_GBK"/>
          <w:color w:val="000000"/>
          <w:kern w:val="2"/>
          <w:sz w:val="32"/>
          <w:szCs w:val="24"/>
          <w:lang w:val="zh-CN"/>
        </w:rPr>
        <w:t>2022年一般公共预算财政拨款支出3867.54万元，占本年支出合计的99.7</w:t>
      </w:r>
      <w:r>
        <w:rPr>
          <w:rFonts w:hint="eastAsia" w:ascii="方正仿宋_GBK" w:hAnsi="方正仿宋_GBK" w:eastAsia="方正仿宋_GBK" w:cs="方正仿宋_GBK"/>
          <w:color w:val="000000"/>
          <w:kern w:val="2"/>
          <w:sz w:val="32"/>
          <w:szCs w:val="24"/>
          <w:lang w:val="en-US" w:eastAsia="zh-CN"/>
        </w:rPr>
        <w:t>4</w:t>
      </w:r>
      <w:r>
        <w:rPr>
          <w:rFonts w:hint="eastAsia" w:ascii="方正仿宋_GBK" w:hAnsi="方正仿宋_GBK" w:eastAsia="方正仿宋_GBK" w:cs="方正仿宋_GBK"/>
          <w:color w:val="000000"/>
          <w:kern w:val="2"/>
          <w:sz w:val="32"/>
          <w:szCs w:val="24"/>
          <w:lang w:val="zh-CN"/>
        </w:rPr>
        <w:t>%。与2021年相比，一般公共预算财政拨款支出增加</w:t>
      </w:r>
      <w:r>
        <w:rPr>
          <w:rFonts w:hint="eastAsia" w:ascii="方正仿宋_GBK" w:hAnsi="方正仿宋_GBK" w:eastAsia="方正仿宋_GBK" w:cs="方正仿宋_GBK"/>
          <w:color w:val="000000"/>
          <w:kern w:val="2"/>
          <w:sz w:val="32"/>
          <w:szCs w:val="24"/>
          <w:lang w:val="en-US" w:eastAsia="zh-CN"/>
        </w:rPr>
        <w:t>1844.84</w:t>
      </w:r>
      <w:r>
        <w:rPr>
          <w:rFonts w:hint="eastAsia" w:ascii="方正仿宋_GBK" w:hAnsi="方正仿宋_GBK" w:eastAsia="方正仿宋_GBK" w:cs="方正仿宋_GBK"/>
          <w:color w:val="000000"/>
          <w:kern w:val="2"/>
          <w:sz w:val="32"/>
          <w:szCs w:val="24"/>
          <w:lang w:val="zh-CN"/>
        </w:rPr>
        <w:t>万元，增长</w:t>
      </w:r>
      <w:r>
        <w:rPr>
          <w:rFonts w:hint="eastAsia" w:ascii="方正仿宋_GBK" w:hAnsi="方正仿宋_GBK" w:eastAsia="方正仿宋_GBK" w:cs="方正仿宋_GBK"/>
          <w:color w:val="000000"/>
          <w:kern w:val="2"/>
          <w:sz w:val="32"/>
          <w:szCs w:val="24"/>
          <w:lang w:val="en-US" w:eastAsia="zh-CN"/>
        </w:rPr>
        <w:t>91.21</w:t>
      </w:r>
      <w:r>
        <w:rPr>
          <w:rFonts w:hint="eastAsia" w:ascii="方正仿宋_GBK" w:hAnsi="方正仿宋_GBK" w:eastAsia="方正仿宋_GBK" w:cs="方正仿宋_GBK"/>
          <w:color w:val="000000"/>
          <w:kern w:val="2"/>
          <w:sz w:val="32"/>
          <w:szCs w:val="24"/>
          <w:lang w:val="zh-CN"/>
        </w:rPr>
        <w:t>%。主要变动原因是新增广安市应急指挥中心信息化建设项目投入资金1793万元。</w:t>
      </w:r>
    </w:p>
    <w:p>
      <w:pPr>
        <w:pStyle w:val="6"/>
        <w:keepNext w:val="0"/>
        <w:keepLines w:val="0"/>
        <w:pageBreakBefore w:val="0"/>
        <w:widowControl w:val="0"/>
        <w:kinsoku/>
        <w:wordWrap/>
        <w:overflowPunct/>
        <w:topLinePunct w:val="0"/>
        <w:bidi w:val="0"/>
        <w:ind w:left="0" w:leftChars="0" w:firstLine="0" w:firstLineChars="0"/>
        <w:rPr>
          <w:rFonts w:hint="eastAsia" w:ascii="方正仿宋_GBK" w:hAnsi="方正仿宋_GBK" w:eastAsia="方正仿宋_GBK" w:cs="方正仿宋_GBK"/>
          <w:color w:val="000000"/>
          <w:kern w:val="2"/>
          <w:sz w:val="32"/>
          <w:szCs w:val="24"/>
          <w:lang w:val="zh-CN"/>
        </w:rPr>
      </w:pPr>
      <w:r>
        <w:rPr>
          <w:rFonts w:hint="eastAsia" w:ascii="方正仿宋_GBK" w:hAnsi="方正仿宋_GBK" w:eastAsia="方正仿宋_GBK" w:cs="方正仿宋_GBK"/>
        </w:rPr>
        <w:drawing>
          <wp:anchor distT="0" distB="0" distL="114300" distR="114300" simplePos="0" relativeHeight="251663360" behindDoc="0" locked="0" layoutInCell="1" allowOverlap="1">
            <wp:simplePos x="0" y="0"/>
            <wp:positionH relativeFrom="column">
              <wp:posOffset>652145</wp:posOffset>
            </wp:positionH>
            <wp:positionV relativeFrom="paragraph">
              <wp:posOffset>204470</wp:posOffset>
            </wp:positionV>
            <wp:extent cx="4572000" cy="2743200"/>
            <wp:effectExtent l="4445" t="4445" r="14605" b="14605"/>
            <wp:wrapSquare wrapText="bothSides"/>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6"/>
        <w:keepNext w:val="0"/>
        <w:keepLines w:val="0"/>
        <w:pageBreakBefore w:val="0"/>
        <w:widowControl w:val="0"/>
        <w:kinsoku/>
        <w:wordWrap/>
        <w:overflowPunct/>
        <w:topLinePunct w:val="0"/>
        <w:bidi w:val="0"/>
        <w:rPr>
          <w:rFonts w:hint="eastAsia" w:ascii="方正仿宋_GBK" w:hAnsi="方正仿宋_GBK" w:eastAsia="方正仿宋_GBK" w:cs="方正仿宋_GBK"/>
          <w:color w:val="000000"/>
          <w:kern w:val="2"/>
          <w:sz w:val="32"/>
          <w:szCs w:val="24"/>
          <w:lang w:val="zh-CN"/>
        </w:rPr>
      </w:pPr>
    </w:p>
    <w:p>
      <w:pPr>
        <w:pStyle w:val="6"/>
        <w:keepNext w:val="0"/>
        <w:keepLines w:val="0"/>
        <w:pageBreakBefore w:val="0"/>
        <w:widowControl w:val="0"/>
        <w:kinsoku/>
        <w:wordWrap/>
        <w:overflowPunct/>
        <w:topLinePunct w:val="0"/>
        <w:bidi w:val="0"/>
        <w:ind w:left="0" w:leftChars="0" w:firstLine="0" w:firstLineChars="0"/>
        <w:rPr>
          <w:rFonts w:hint="eastAsia" w:ascii="方正仿宋_GBK" w:hAnsi="方正仿宋_GBK" w:eastAsia="方正仿宋_GBK" w:cs="方正仿宋_GBK"/>
          <w:color w:val="000000"/>
          <w:kern w:val="2"/>
          <w:sz w:val="32"/>
          <w:szCs w:val="24"/>
          <w:lang w:val="zh-CN"/>
        </w:rPr>
      </w:pPr>
    </w:p>
    <w:p>
      <w:pPr>
        <w:keepNext w:val="0"/>
        <w:keepLines w:val="0"/>
        <w:pageBreakBefore w:val="0"/>
        <w:widowControl w:val="0"/>
        <w:kinsoku/>
        <w:wordWrap/>
        <w:overflowPunct/>
        <w:topLinePunct w:val="0"/>
        <w:bidi w:val="0"/>
        <w:spacing w:beforeLines="0" w:afterLines="0" w:line="600" w:lineRule="exact"/>
        <w:ind w:firstLine="640"/>
        <w:jc w:val="center"/>
        <w:rPr>
          <w:rFonts w:hint="eastAsia" w:ascii="方正仿宋_GBK" w:hAnsi="方正仿宋_GBK" w:eastAsia="方正仿宋_GBK" w:cs="方正仿宋_GBK"/>
          <w:color w:val="auto"/>
          <w:kern w:val="2"/>
          <w:sz w:val="32"/>
          <w:szCs w:val="24"/>
          <w:lang w:val="en-US"/>
        </w:rPr>
      </w:pPr>
      <w:r>
        <w:rPr>
          <w:rFonts w:hint="eastAsia" w:ascii="方正仿宋_GBK" w:hAnsi="方正仿宋_GBK" w:eastAsia="方正仿宋_GBK" w:cs="方正仿宋_GBK"/>
          <w:color w:val="auto"/>
          <w:kern w:val="2"/>
          <w:sz w:val="32"/>
          <w:szCs w:val="24"/>
          <w:lang w:val="en-US"/>
        </w:rPr>
        <w:t>图5：一般公共预算财政拨款支出决算变动情况</w:t>
      </w:r>
    </w:p>
    <w:p>
      <w:pPr>
        <w:pStyle w:val="4"/>
        <w:bidi w:val="0"/>
        <w:rPr>
          <w:rFonts w:hint="eastAsia"/>
          <w:lang w:val="zh-CN"/>
        </w:rPr>
      </w:pPr>
      <w:bookmarkStart w:id="17" w:name="_Toc2043"/>
      <w:r>
        <w:rPr>
          <w:rFonts w:hint="eastAsia"/>
          <w:lang w:val="zh-CN"/>
        </w:rPr>
        <w:t>（二）一般公共预算财政拨款支出决算结构情况。</w:t>
      </w:r>
      <w:bookmarkEnd w:id="17"/>
    </w:p>
    <w:p>
      <w:pPr>
        <w:keepNext w:val="0"/>
        <w:keepLines w:val="0"/>
        <w:pageBreakBefore w:val="0"/>
        <w:widowControl w:val="0"/>
        <w:kinsoku/>
        <w:wordWrap/>
        <w:overflowPunct/>
        <w:topLinePunct w:val="0"/>
        <w:bidi w:val="0"/>
        <w:spacing w:beforeLines="0" w:afterLines="0" w:line="576" w:lineRule="exact"/>
        <w:ind w:firstLine="640"/>
        <w:jc w:val="both"/>
        <w:rPr>
          <w:rFonts w:hint="eastAsia" w:ascii="方正仿宋_GBK" w:hAnsi="方正仿宋_GBK" w:eastAsia="方正仿宋_GBK" w:cs="方正仿宋_GBK"/>
          <w:color w:val="000000"/>
          <w:kern w:val="2"/>
          <w:sz w:val="32"/>
          <w:szCs w:val="24"/>
          <w:lang w:val="zh-CN"/>
        </w:rPr>
      </w:pPr>
      <w:r>
        <w:rPr>
          <w:rFonts w:hint="eastAsia" w:ascii="方正仿宋_GBK" w:hAnsi="方正仿宋_GBK" w:eastAsia="方正仿宋_GBK" w:cs="方正仿宋_GBK"/>
          <w:color w:val="000000"/>
          <w:kern w:val="2"/>
          <w:sz w:val="32"/>
          <w:szCs w:val="24"/>
          <w:lang w:val="zh-CN"/>
        </w:rPr>
        <w:t>2022年一般公共预算财政拨款支出3867.54万元，主要用于以下方面: 社会保障和就业支出75.7万元，占</w:t>
      </w:r>
      <w:r>
        <w:rPr>
          <w:rFonts w:hint="eastAsia" w:ascii="方正仿宋_GBK" w:hAnsi="方正仿宋_GBK" w:eastAsia="方正仿宋_GBK" w:cs="方正仿宋_GBK"/>
          <w:color w:val="000000"/>
          <w:kern w:val="2"/>
          <w:sz w:val="32"/>
          <w:szCs w:val="24"/>
          <w:lang w:val="en-US" w:eastAsia="zh-CN"/>
        </w:rPr>
        <w:t>1.96</w:t>
      </w:r>
      <w:r>
        <w:rPr>
          <w:rFonts w:hint="eastAsia" w:ascii="方正仿宋_GBK" w:hAnsi="方正仿宋_GBK" w:eastAsia="方正仿宋_GBK" w:cs="方正仿宋_GBK"/>
          <w:color w:val="000000"/>
          <w:kern w:val="2"/>
          <w:sz w:val="32"/>
          <w:szCs w:val="24"/>
          <w:lang w:val="zh-CN"/>
        </w:rPr>
        <w:t>%；卫生健康支出42.2万元，占1.</w:t>
      </w:r>
      <w:r>
        <w:rPr>
          <w:rFonts w:hint="eastAsia" w:ascii="方正仿宋_GBK" w:hAnsi="方正仿宋_GBK" w:eastAsia="方正仿宋_GBK" w:cs="方正仿宋_GBK"/>
          <w:color w:val="000000"/>
          <w:kern w:val="2"/>
          <w:sz w:val="32"/>
          <w:szCs w:val="24"/>
          <w:lang w:val="en-US" w:eastAsia="zh-CN"/>
        </w:rPr>
        <w:t>09</w:t>
      </w:r>
      <w:r>
        <w:rPr>
          <w:rFonts w:hint="eastAsia" w:ascii="方正仿宋_GBK" w:hAnsi="方正仿宋_GBK" w:eastAsia="方正仿宋_GBK" w:cs="方正仿宋_GBK"/>
          <w:color w:val="000000"/>
          <w:kern w:val="2"/>
          <w:sz w:val="32"/>
          <w:szCs w:val="24"/>
          <w:lang w:val="zh-CN"/>
        </w:rPr>
        <w:t>%；灾害防治及应急管理支出3749.64万元，占9</w:t>
      </w:r>
      <w:r>
        <w:rPr>
          <w:rFonts w:hint="eastAsia" w:ascii="方正仿宋_GBK" w:hAnsi="方正仿宋_GBK" w:eastAsia="方正仿宋_GBK" w:cs="方正仿宋_GBK"/>
          <w:color w:val="000000"/>
          <w:kern w:val="2"/>
          <w:sz w:val="32"/>
          <w:szCs w:val="24"/>
          <w:lang w:val="en-US" w:eastAsia="zh-CN"/>
        </w:rPr>
        <w:t>6.95</w:t>
      </w:r>
      <w:r>
        <w:rPr>
          <w:rFonts w:hint="eastAsia" w:ascii="方正仿宋_GBK" w:hAnsi="方正仿宋_GBK" w:eastAsia="方正仿宋_GBK" w:cs="方正仿宋_GBK"/>
          <w:color w:val="000000"/>
          <w:kern w:val="2"/>
          <w:sz w:val="32"/>
          <w:szCs w:val="24"/>
          <w:lang w:val="zh-CN"/>
        </w:rPr>
        <w:t>%。</w:t>
      </w:r>
    </w:p>
    <w:p>
      <w:pPr>
        <w:ind w:left="0" w:leftChars="0" w:firstLine="0" w:firstLineChars="0"/>
        <w:rPr>
          <w:rFonts w:hint="eastAsia" w:ascii="方正仿宋_GBK" w:hAnsi="方正仿宋_GBK" w:eastAsia="方正仿宋_GBK" w:cs="方正仿宋_GBK"/>
          <w:color w:val="000000"/>
          <w:kern w:val="2"/>
          <w:sz w:val="32"/>
          <w:szCs w:val="24"/>
          <w:lang w:val="zh-CN"/>
        </w:rPr>
      </w:pPr>
    </w:p>
    <w:p>
      <w:pPr>
        <w:pStyle w:val="2"/>
        <w:rPr>
          <w:rFonts w:hint="eastAsia"/>
          <w:lang w:val="zh-CN"/>
        </w:rPr>
      </w:pPr>
    </w:p>
    <w:p>
      <w:pPr>
        <w:keepNext w:val="0"/>
        <w:keepLines w:val="0"/>
        <w:pageBreakBefore w:val="0"/>
        <w:widowControl w:val="0"/>
        <w:kinsoku/>
        <w:wordWrap/>
        <w:overflowPunct/>
        <w:topLinePunct w:val="0"/>
        <w:bidi w:val="0"/>
        <w:spacing w:beforeLines="0" w:afterLines="0" w:line="600" w:lineRule="exact"/>
        <w:ind w:firstLine="640"/>
        <w:jc w:val="both"/>
        <w:rPr>
          <w:rFonts w:hint="eastAsia" w:ascii="方正仿宋_GBK" w:hAnsi="方正仿宋_GBK" w:eastAsia="方正仿宋_GBK" w:cs="方正仿宋_GBK"/>
          <w:b/>
          <w:color w:val="auto"/>
          <w:kern w:val="2"/>
          <w:sz w:val="32"/>
          <w:szCs w:val="24"/>
          <w:lang w:val="en-US"/>
        </w:rPr>
      </w:pPr>
    </w:p>
    <w:p>
      <w:pPr>
        <w:ind w:left="0" w:leftChars="0" w:firstLine="0" w:firstLineChars="0"/>
        <w:rPr>
          <w:rFonts w:hint="eastAsia" w:eastAsia="方正仿宋_GBK"/>
          <w:lang w:val="en-US" w:eastAsia="zh-CN"/>
        </w:rPr>
      </w:pPr>
    </w:p>
    <w:p>
      <w:pPr>
        <w:pStyle w:val="2"/>
        <w:rPr>
          <w:rFonts w:hint="eastAsia"/>
          <w:lang w:val="en-US" w:eastAsia="zh-CN"/>
        </w:rPr>
      </w:pPr>
    </w:p>
    <w:p>
      <w:pPr>
        <w:pStyle w:val="6"/>
        <w:keepNext w:val="0"/>
        <w:keepLines w:val="0"/>
        <w:pageBreakBefore w:val="0"/>
        <w:widowControl w:val="0"/>
        <w:kinsoku/>
        <w:wordWrap/>
        <w:overflowPunct/>
        <w:topLinePunct w:val="0"/>
        <w:bidi w:val="0"/>
        <w:rPr>
          <w:rFonts w:hint="eastAsia" w:ascii="方正仿宋_GBK" w:hAnsi="方正仿宋_GBK" w:eastAsia="方正仿宋_GBK" w:cs="方正仿宋_GBK"/>
          <w:b/>
          <w:color w:val="auto"/>
          <w:kern w:val="2"/>
          <w:sz w:val="32"/>
          <w:szCs w:val="24"/>
          <w:lang w:val="en-US"/>
        </w:rPr>
      </w:pPr>
    </w:p>
    <w:p>
      <w:pPr>
        <w:pStyle w:val="6"/>
        <w:keepNext w:val="0"/>
        <w:keepLines w:val="0"/>
        <w:pageBreakBefore w:val="0"/>
        <w:widowControl w:val="0"/>
        <w:kinsoku/>
        <w:wordWrap/>
        <w:overflowPunct/>
        <w:topLinePunct w:val="0"/>
        <w:bidi w:val="0"/>
        <w:rPr>
          <w:rFonts w:hint="eastAsia" w:ascii="方正仿宋_GBK" w:hAnsi="方正仿宋_GBK" w:eastAsia="方正仿宋_GBK" w:cs="方正仿宋_GBK"/>
          <w:b/>
          <w:color w:val="auto"/>
          <w:kern w:val="2"/>
          <w:sz w:val="32"/>
          <w:szCs w:val="24"/>
          <w:lang w:val="en-US"/>
        </w:rPr>
      </w:pPr>
      <w:r>
        <w:rPr>
          <w:rFonts w:hint="eastAsia" w:ascii="方正仿宋_GBK" w:hAnsi="方正仿宋_GBK" w:eastAsia="方正仿宋_GBK" w:cs="方正仿宋_GBK"/>
        </w:rPr>
        <w:drawing>
          <wp:anchor distT="0" distB="0" distL="114300" distR="114300" simplePos="0" relativeHeight="251664384" behindDoc="1" locked="0" layoutInCell="1" allowOverlap="1">
            <wp:simplePos x="0" y="0"/>
            <wp:positionH relativeFrom="column">
              <wp:posOffset>547370</wp:posOffset>
            </wp:positionH>
            <wp:positionV relativeFrom="paragraph">
              <wp:posOffset>-633095</wp:posOffset>
            </wp:positionV>
            <wp:extent cx="4572000" cy="2743200"/>
            <wp:effectExtent l="4445" t="4445" r="14605" b="14605"/>
            <wp:wrapTight wrapText="bothSides">
              <wp:wrapPolygon>
                <wp:start x="-21" y="-35"/>
                <wp:lineTo x="-21" y="21565"/>
                <wp:lineTo x="21579" y="21565"/>
                <wp:lineTo x="21579" y="-35"/>
                <wp:lineTo x="-21" y="-35"/>
              </wp:wrapPolygon>
            </wp:wrapTight>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6"/>
        <w:keepNext w:val="0"/>
        <w:keepLines w:val="0"/>
        <w:pageBreakBefore w:val="0"/>
        <w:widowControl w:val="0"/>
        <w:kinsoku/>
        <w:wordWrap/>
        <w:overflowPunct/>
        <w:topLinePunct w:val="0"/>
        <w:bidi w:val="0"/>
        <w:ind w:left="0" w:leftChars="0" w:firstLine="0" w:firstLineChars="0"/>
        <w:rPr>
          <w:rFonts w:hint="eastAsia" w:ascii="方正仿宋_GBK" w:hAnsi="方正仿宋_GBK" w:eastAsia="方正仿宋_GBK" w:cs="方正仿宋_GBK"/>
          <w:b/>
          <w:color w:val="auto"/>
          <w:kern w:val="2"/>
          <w:sz w:val="32"/>
          <w:szCs w:val="24"/>
          <w:lang w:val="en-US"/>
        </w:rPr>
      </w:pPr>
    </w:p>
    <w:p>
      <w:pPr>
        <w:pStyle w:val="6"/>
        <w:keepNext w:val="0"/>
        <w:keepLines w:val="0"/>
        <w:pageBreakBefore w:val="0"/>
        <w:widowControl w:val="0"/>
        <w:kinsoku/>
        <w:wordWrap/>
        <w:overflowPunct/>
        <w:topLinePunct w:val="0"/>
        <w:bidi w:val="0"/>
        <w:rPr>
          <w:rFonts w:hint="eastAsia" w:ascii="方正仿宋_GBK" w:hAnsi="方正仿宋_GBK" w:eastAsia="方正仿宋_GBK" w:cs="方正仿宋_GBK"/>
          <w:b/>
          <w:color w:val="auto"/>
          <w:kern w:val="2"/>
          <w:sz w:val="32"/>
          <w:szCs w:val="24"/>
          <w:lang w:val="en-US"/>
        </w:rPr>
      </w:pPr>
    </w:p>
    <w:p>
      <w:pPr>
        <w:pStyle w:val="6"/>
        <w:keepNext w:val="0"/>
        <w:keepLines w:val="0"/>
        <w:pageBreakBefore w:val="0"/>
        <w:widowControl w:val="0"/>
        <w:kinsoku/>
        <w:wordWrap/>
        <w:overflowPunct/>
        <w:topLinePunct w:val="0"/>
        <w:bidi w:val="0"/>
        <w:rPr>
          <w:rFonts w:hint="eastAsia" w:ascii="方正仿宋_GBK" w:hAnsi="方正仿宋_GBK" w:eastAsia="方正仿宋_GBK" w:cs="方正仿宋_GBK"/>
          <w:b/>
          <w:color w:val="auto"/>
          <w:kern w:val="2"/>
          <w:sz w:val="32"/>
          <w:szCs w:val="24"/>
          <w:lang w:val="en-US"/>
        </w:rPr>
      </w:pPr>
    </w:p>
    <w:p>
      <w:pPr>
        <w:pStyle w:val="6"/>
        <w:keepNext w:val="0"/>
        <w:keepLines w:val="0"/>
        <w:pageBreakBefore w:val="0"/>
        <w:widowControl w:val="0"/>
        <w:kinsoku/>
        <w:wordWrap/>
        <w:overflowPunct/>
        <w:topLinePunct w:val="0"/>
        <w:bidi w:val="0"/>
        <w:rPr>
          <w:rFonts w:hint="eastAsia" w:ascii="方正仿宋_GBK" w:hAnsi="方正仿宋_GBK" w:eastAsia="方正仿宋_GBK" w:cs="方正仿宋_GBK"/>
          <w:color w:val="auto"/>
          <w:kern w:val="2"/>
          <w:sz w:val="32"/>
          <w:szCs w:val="24"/>
          <w:lang w:val="en-US"/>
        </w:rPr>
      </w:pPr>
    </w:p>
    <w:p>
      <w:pPr>
        <w:keepNext w:val="0"/>
        <w:keepLines w:val="0"/>
        <w:pageBreakBefore w:val="0"/>
        <w:widowControl w:val="0"/>
        <w:kinsoku/>
        <w:wordWrap/>
        <w:overflowPunct/>
        <w:topLinePunct w:val="0"/>
        <w:bidi w:val="0"/>
        <w:spacing w:beforeLines="0" w:afterLines="0" w:line="600" w:lineRule="exact"/>
        <w:ind w:firstLine="640"/>
        <w:jc w:val="center"/>
        <w:rPr>
          <w:rFonts w:hint="eastAsia" w:ascii="方正仿宋_GBK" w:hAnsi="方正仿宋_GBK" w:eastAsia="方正仿宋_GBK" w:cs="方正仿宋_GBK"/>
          <w:color w:val="auto"/>
          <w:kern w:val="2"/>
          <w:sz w:val="32"/>
          <w:szCs w:val="24"/>
          <w:lang w:val="en-US"/>
        </w:rPr>
      </w:pPr>
      <w:r>
        <w:rPr>
          <w:rFonts w:hint="eastAsia" w:ascii="方正仿宋_GBK" w:hAnsi="方正仿宋_GBK" w:eastAsia="方正仿宋_GBK" w:cs="方正仿宋_GBK"/>
          <w:color w:val="auto"/>
          <w:kern w:val="2"/>
          <w:sz w:val="32"/>
          <w:szCs w:val="24"/>
          <w:lang w:val="en-US"/>
        </w:rPr>
        <w:t>图6：一般公共预算财政拨款支出决算结构</w:t>
      </w:r>
    </w:p>
    <w:p>
      <w:pPr>
        <w:pStyle w:val="4"/>
        <w:bidi w:val="0"/>
        <w:rPr>
          <w:rFonts w:hint="eastAsia"/>
          <w:lang w:val="zh-CN"/>
        </w:rPr>
      </w:pPr>
      <w:bookmarkStart w:id="18" w:name="_Toc25448"/>
      <w:r>
        <w:rPr>
          <w:rFonts w:hint="eastAsia"/>
          <w:lang w:val="zh-CN"/>
        </w:rPr>
        <w:t>（三）一般公共预算财政拨款支出决算具体情况。</w:t>
      </w:r>
      <w:bookmarkEnd w:id="18"/>
    </w:p>
    <w:p>
      <w:pPr>
        <w:keepNext w:val="0"/>
        <w:keepLines w:val="0"/>
        <w:pageBreakBefore w:val="0"/>
        <w:widowControl w:val="0"/>
        <w:kinsoku/>
        <w:wordWrap/>
        <w:overflowPunct/>
        <w:topLinePunct w:val="0"/>
        <w:bidi w:val="0"/>
        <w:spacing w:beforeLines="0" w:afterLines="0" w:line="576" w:lineRule="exact"/>
        <w:ind w:firstLine="643"/>
        <w:jc w:val="both"/>
        <w:rPr>
          <w:rFonts w:hint="eastAsia" w:ascii="方正仿宋_GBK" w:hAnsi="方正仿宋_GBK" w:eastAsia="方正仿宋_GBK" w:cs="方正仿宋_GBK"/>
          <w:b/>
          <w:color w:val="000000"/>
          <w:kern w:val="2"/>
          <w:sz w:val="32"/>
          <w:szCs w:val="24"/>
          <w:lang w:val="zh-CN"/>
        </w:rPr>
      </w:pPr>
      <w:r>
        <w:rPr>
          <w:rFonts w:hint="eastAsia" w:ascii="方正仿宋_GBK" w:hAnsi="方正仿宋_GBK" w:eastAsia="方正仿宋_GBK" w:cs="方正仿宋_GBK"/>
          <w:b/>
          <w:color w:val="000000"/>
          <w:kern w:val="2"/>
          <w:sz w:val="32"/>
          <w:szCs w:val="24"/>
          <w:lang w:val="zh-CN"/>
        </w:rPr>
        <w:t>2022年一般公共预算支出决算数为3867.54万元</w:t>
      </w:r>
      <w:r>
        <w:rPr>
          <w:rFonts w:hint="eastAsia" w:ascii="方正仿宋_GBK" w:hAnsi="方正仿宋_GBK" w:eastAsia="方正仿宋_GBK" w:cs="方正仿宋_GBK"/>
          <w:color w:val="000000"/>
          <w:kern w:val="2"/>
          <w:sz w:val="32"/>
          <w:szCs w:val="24"/>
          <w:lang w:val="zh-CN"/>
        </w:rPr>
        <w:t>，</w:t>
      </w:r>
      <w:r>
        <w:rPr>
          <w:rFonts w:hint="eastAsia" w:ascii="方正仿宋_GBK" w:hAnsi="方正仿宋_GBK" w:eastAsia="方正仿宋_GBK" w:cs="方正仿宋_GBK"/>
          <w:b/>
          <w:color w:val="000000"/>
          <w:kern w:val="2"/>
          <w:sz w:val="32"/>
          <w:szCs w:val="24"/>
          <w:lang w:val="zh-CN"/>
        </w:rPr>
        <w:t>完成预算</w:t>
      </w:r>
      <w:r>
        <w:rPr>
          <w:rFonts w:hint="eastAsia" w:ascii="方正仿宋_GBK" w:hAnsi="方正仿宋_GBK" w:eastAsia="方正仿宋_GBK" w:cs="方正仿宋_GBK"/>
          <w:b/>
          <w:color w:val="000000"/>
          <w:kern w:val="2"/>
          <w:sz w:val="32"/>
          <w:szCs w:val="24"/>
          <w:lang w:val="en-US" w:eastAsia="zh-CN"/>
        </w:rPr>
        <w:t>91.95</w:t>
      </w:r>
      <w:r>
        <w:rPr>
          <w:rFonts w:hint="eastAsia" w:ascii="方正仿宋_GBK" w:hAnsi="方正仿宋_GBK" w:eastAsia="方正仿宋_GBK" w:cs="方正仿宋_GBK"/>
          <w:b/>
          <w:color w:val="000000"/>
          <w:kern w:val="2"/>
          <w:sz w:val="32"/>
          <w:szCs w:val="24"/>
          <w:lang w:val="zh-CN"/>
        </w:rPr>
        <w:t>%。其中：</w:t>
      </w:r>
    </w:p>
    <w:p>
      <w:pPr>
        <w:keepNext w:val="0"/>
        <w:keepLines w:val="0"/>
        <w:pageBreakBefore w:val="0"/>
        <w:widowControl w:val="0"/>
        <w:kinsoku/>
        <w:wordWrap/>
        <w:overflowPunct/>
        <w:topLinePunct w:val="0"/>
        <w:bidi w:val="0"/>
        <w:spacing w:line="600" w:lineRule="exact"/>
        <w:ind w:firstLine="643" w:firstLineChars="200"/>
        <w:rPr>
          <w:rStyle w:val="16"/>
          <w:rFonts w:hint="eastAsia" w:ascii="方正仿宋_GBK" w:hAnsi="方正仿宋_GBK" w:eastAsia="方正仿宋_GBK" w:cs="方正仿宋_GBK"/>
          <w:b w:val="0"/>
          <w:bCs/>
          <w:color w:val="000000"/>
          <w:sz w:val="32"/>
          <w:szCs w:val="32"/>
          <w:lang w:val="en-US" w:eastAsia="zh-CN"/>
        </w:rPr>
      </w:pPr>
      <w:r>
        <w:rPr>
          <w:rStyle w:val="16"/>
          <w:rFonts w:hint="eastAsia" w:ascii="方正仿宋_GBK" w:hAnsi="方正仿宋_GBK" w:eastAsia="方正仿宋_GBK" w:cs="方正仿宋_GBK"/>
          <w:b/>
          <w:bCs w:val="0"/>
          <w:color w:val="000000"/>
          <w:sz w:val="32"/>
          <w:szCs w:val="32"/>
          <w:lang w:val="en-US" w:eastAsia="zh-CN"/>
        </w:rPr>
        <w:t>1.一般公共服务（类）组织事务（款）其他组织事务支出（项）:</w:t>
      </w:r>
      <w:r>
        <w:rPr>
          <w:rStyle w:val="16"/>
          <w:rFonts w:hint="eastAsia" w:ascii="方正仿宋_GBK" w:hAnsi="方正仿宋_GBK" w:eastAsia="方正仿宋_GBK" w:cs="方正仿宋_GBK"/>
          <w:b w:val="0"/>
          <w:bCs/>
          <w:color w:val="000000"/>
          <w:sz w:val="32"/>
          <w:szCs w:val="32"/>
          <w:lang w:val="en-US" w:eastAsia="zh-CN"/>
        </w:rPr>
        <w:t xml:space="preserve"> 支出决算为0万元，完成预算0%。决算数小于预算数的主要原因是指标2022年12月28日下达，无法完成支付。</w:t>
      </w:r>
    </w:p>
    <w:p>
      <w:pPr>
        <w:pStyle w:val="5"/>
        <w:keepNext w:val="0"/>
        <w:keepLines w:val="0"/>
        <w:pageBreakBefore w:val="0"/>
        <w:widowControl w:val="0"/>
        <w:kinsoku/>
        <w:wordWrap/>
        <w:overflowPunct/>
        <w:topLinePunct w:val="0"/>
        <w:bidi w:val="0"/>
        <w:rPr>
          <w:rFonts w:hint="eastAsia" w:ascii="方正仿宋_GBK" w:hAnsi="方正仿宋_GBK" w:eastAsia="方正仿宋_GBK" w:cs="方正仿宋_GBK"/>
          <w:lang w:val="en-US" w:eastAsia="zh-CN"/>
        </w:rPr>
      </w:pPr>
      <w:r>
        <w:rPr>
          <w:rStyle w:val="16"/>
          <w:rFonts w:hint="eastAsia" w:ascii="方正仿宋_GBK" w:hAnsi="方正仿宋_GBK" w:eastAsia="方正仿宋_GBK" w:cs="方正仿宋_GBK"/>
          <w:bCs/>
          <w:color w:val="000000"/>
          <w:sz w:val="32"/>
          <w:szCs w:val="32"/>
          <w:lang w:val="en-US" w:eastAsia="zh-CN"/>
        </w:rPr>
        <w:t>2.社</w:t>
      </w:r>
      <w:r>
        <w:rPr>
          <w:rStyle w:val="16"/>
          <w:rFonts w:hint="eastAsia" w:ascii="方正仿宋_GBK" w:hAnsi="方正仿宋_GBK" w:eastAsia="方正仿宋_GBK" w:cs="方正仿宋_GBK"/>
          <w:bCs/>
          <w:color w:val="000000"/>
          <w:sz w:val="32"/>
          <w:szCs w:val="32"/>
        </w:rPr>
        <w:t>会保障和就业（类）</w:t>
      </w:r>
      <w:r>
        <w:rPr>
          <w:rStyle w:val="16"/>
          <w:rFonts w:hint="eastAsia" w:ascii="方正仿宋_GBK" w:hAnsi="方正仿宋_GBK" w:eastAsia="方正仿宋_GBK" w:cs="方正仿宋_GBK"/>
          <w:bCs/>
          <w:color w:val="000000"/>
          <w:sz w:val="32"/>
          <w:szCs w:val="32"/>
          <w:lang w:eastAsia="zh-CN"/>
        </w:rPr>
        <w:t>行政事业单位养老支出</w:t>
      </w:r>
      <w:r>
        <w:rPr>
          <w:rStyle w:val="16"/>
          <w:rFonts w:hint="eastAsia" w:ascii="方正仿宋_GBK" w:hAnsi="方正仿宋_GBK" w:eastAsia="方正仿宋_GBK" w:cs="方正仿宋_GBK"/>
          <w:bCs/>
          <w:color w:val="000000"/>
          <w:sz w:val="32"/>
          <w:szCs w:val="32"/>
        </w:rPr>
        <w:t>（款）</w:t>
      </w:r>
      <w:r>
        <w:rPr>
          <w:rStyle w:val="16"/>
          <w:rFonts w:hint="eastAsia" w:ascii="方正仿宋_GBK" w:hAnsi="方正仿宋_GBK" w:eastAsia="方正仿宋_GBK" w:cs="方正仿宋_GBK"/>
          <w:bCs/>
          <w:color w:val="000000"/>
          <w:sz w:val="32"/>
          <w:szCs w:val="32"/>
          <w:lang w:eastAsia="zh-CN"/>
        </w:rPr>
        <w:t>事业单位离退休</w:t>
      </w:r>
      <w:r>
        <w:rPr>
          <w:rStyle w:val="16"/>
          <w:rFonts w:hint="eastAsia" w:ascii="方正仿宋_GBK" w:hAnsi="方正仿宋_GBK" w:eastAsia="方正仿宋_GBK" w:cs="方正仿宋_GBK"/>
          <w:bCs/>
          <w:color w:val="000000"/>
          <w:sz w:val="32"/>
          <w:szCs w:val="32"/>
        </w:rPr>
        <w:t>（项）:</w:t>
      </w:r>
      <w:r>
        <w:rPr>
          <w:rStyle w:val="16"/>
          <w:rFonts w:hint="eastAsia" w:ascii="方正仿宋_GBK" w:hAnsi="方正仿宋_GBK" w:eastAsia="方正仿宋_GBK" w:cs="方正仿宋_GBK"/>
          <w:b w:val="0"/>
          <w:bCs/>
          <w:color w:val="000000"/>
          <w:sz w:val="32"/>
          <w:szCs w:val="32"/>
        </w:rPr>
        <w:t xml:space="preserve"> 支出决算为</w:t>
      </w:r>
      <w:r>
        <w:rPr>
          <w:rStyle w:val="16"/>
          <w:rFonts w:hint="eastAsia" w:ascii="方正仿宋_GBK" w:hAnsi="方正仿宋_GBK" w:eastAsia="方正仿宋_GBK" w:cs="方正仿宋_GBK"/>
          <w:b w:val="0"/>
          <w:bCs/>
          <w:color w:val="000000"/>
          <w:sz w:val="32"/>
          <w:szCs w:val="32"/>
          <w:lang w:val="en-US" w:eastAsia="zh-CN"/>
        </w:rPr>
        <w:t>0.18</w:t>
      </w:r>
      <w:r>
        <w:rPr>
          <w:rStyle w:val="16"/>
          <w:rFonts w:hint="eastAsia" w:ascii="方正仿宋_GBK" w:hAnsi="方正仿宋_GBK" w:eastAsia="方正仿宋_GBK" w:cs="方正仿宋_GBK"/>
          <w:b w:val="0"/>
          <w:bCs/>
          <w:color w:val="000000"/>
          <w:sz w:val="32"/>
          <w:szCs w:val="32"/>
        </w:rPr>
        <w:t>万元，完成预算</w:t>
      </w:r>
      <w:r>
        <w:rPr>
          <w:rStyle w:val="16"/>
          <w:rFonts w:hint="eastAsia" w:ascii="方正仿宋_GBK" w:hAnsi="方正仿宋_GBK" w:eastAsia="方正仿宋_GBK" w:cs="方正仿宋_GBK"/>
          <w:b w:val="0"/>
          <w:bCs/>
          <w:color w:val="000000"/>
          <w:sz w:val="32"/>
          <w:szCs w:val="32"/>
          <w:lang w:val="en-US" w:eastAsia="zh-CN"/>
        </w:rPr>
        <w:t>100</w:t>
      </w:r>
      <w:r>
        <w:rPr>
          <w:rStyle w:val="16"/>
          <w:rFonts w:hint="eastAsia" w:ascii="方正仿宋_GBK" w:hAnsi="方正仿宋_GBK" w:eastAsia="方正仿宋_GBK" w:cs="方正仿宋_GBK"/>
          <w:b w:val="0"/>
          <w:bCs/>
          <w:color w:val="000000"/>
          <w:sz w:val="32"/>
          <w:szCs w:val="32"/>
        </w:rPr>
        <w:t>%，决算数与预算数持平</w:t>
      </w:r>
    </w:p>
    <w:p>
      <w:pPr>
        <w:keepNext w:val="0"/>
        <w:keepLines w:val="0"/>
        <w:pageBreakBefore w:val="0"/>
        <w:widowControl w:val="0"/>
        <w:kinsoku/>
        <w:wordWrap/>
        <w:overflowPunct/>
        <w:topLinePunct w:val="0"/>
        <w:bidi w:val="0"/>
        <w:spacing w:line="600" w:lineRule="exact"/>
        <w:ind w:firstLine="643" w:firstLineChars="200"/>
        <w:rPr>
          <w:rFonts w:hint="eastAsia" w:ascii="方正仿宋_GBK" w:hAnsi="方正仿宋_GBK" w:eastAsia="方正仿宋_GBK" w:cs="方正仿宋_GBK"/>
          <w:bCs/>
          <w:color w:val="000000"/>
          <w:sz w:val="32"/>
          <w:szCs w:val="32"/>
        </w:rPr>
      </w:pPr>
      <w:r>
        <w:rPr>
          <w:rStyle w:val="16"/>
          <w:rFonts w:hint="eastAsia" w:ascii="方正仿宋_GBK" w:hAnsi="方正仿宋_GBK" w:eastAsia="方正仿宋_GBK" w:cs="方正仿宋_GBK"/>
          <w:b/>
          <w:bCs w:val="0"/>
          <w:color w:val="000000"/>
          <w:sz w:val="32"/>
          <w:szCs w:val="32"/>
          <w:lang w:val="en-US" w:eastAsia="zh-CN"/>
        </w:rPr>
        <w:t>3</w:t>
      </w:r>
      <w:r>
        <w:rPr>
          <w:rStyle w:val="16"/>
          <w:rFonts w:hint="eastAsia" w:ascii="方正仿宋_GBK" w:hAnsi="方正仿宋_GBK" w:eastAsia="方正仿宋_GBK" w:cs="方正仿宋_GBK"/>
          <w:b/>
          <w:bCs w:val="0"/>
          <w:color w:val="000000"/>
          <w:sz w:val="32"/>
          <w:szCs w:val="32"/>
        </w:rPr>
        <w:t>.社会保障和就业（类）行政事业单位养老支出（款）机关事业单位基本养老保险缴费支出（项）</w:t>
      </w:r>
      <w:r>
        <w:rPr>
          <w:rStyle w:val="16"/>
          <w:rFonts w:hint="eastAsia" w:ascii="方正仿宋_GBK" w:hAnsi="方正仿宋_GBK" w:eastAsia="方正仿宋_GBK" w:cs="方正仿宋_GBK"/>
          <w:b w:val="0"/>
          <w:bCs/>
          <w:color w:val="000000"/>
          <w:sz w:val="32"/>
          <w:szCs w:val="32"/>
        </w:rPr>
        <w:t>: 支出决算为</w:t>
      </w:r>
      <w:r>
        <w:rPr>
          <w:rStyle w:val="16"/>
          <w:rFonts w:hint="eastAsia" w:ascii="方正仿宋_GBK" w:hAnsi="方正仿宋_GBK" w:eastAsia="方正仿宋_GBK" w:cs="方正仿宋_GBK"/>
          <w:b w:val="0"/>
          <w:bCs/>
          <w:color w:val="000000"/>
          <w:sz w:val="32"/>
          <w:szCs w:val="32"/>
          <w:lang w:val="en-US" w:eastAsia="zh-CN"/>
        </w:rPr>
        <w:t>75.52</w:t>
      </w:r>
      <w:r>
        <w:rPr>
          <w:rStyle w:val="16"/>
          <w:rFonts w:hint="eastAsia" w:ascii="方正仿宋_GBK" w:hAnsi="方正仿宋_GBK" w:eastAsia="方正仿宋_GBK" w:cs="方正仿宋_GBK"/>
          <w:b w:val="0"/>
          <w:bCs/>
          <w:color w:val="000000"/>
          <w:sz w:val="32"/>
          <w:szCs w:val="32"/>
        </w:rPr>
        <w:t>万元，完成预算</w:t>
      </w:r>
      <w:r>
        <w:rPr>
          <w:rStyle w:val="16"/>
          <w:rFonts w:hint="eastAsia" w:ascii="方正仿宋_GBK" w:hAnsi="方正仿宋_GBK" w:eastAsia="方正仿宋_GBK" w:cs="方正仿宋_GBK"/>
          <w:b w:val="0"/>
          <w:bCs/>
          <w:color w:val="000000"/>
          <w:sz w:val="32"/>
          <w:szCs w:val="32"/>
          <w:lang w:val="en-US" w:eastAsia="zh-CN"/>
        </w:rPr>
        <w:t>88.24</w:t>
      </w:r>
      <w:r>
        <w:rPr>
          <w:rStyle w:val="16"/>
          <w:rFonts w:hint="eastAsia" w:ascii="方正仿宋_GBK" w:hAnsi="方正仿宋_GBK" w:eastAsia="方正仿宋_GBK" w:cs="方正仿宋_GBK"/>
          <w:b w:val="0"/>
          <w:bCs/>
          <w:color w:val="000000"/>
          <w:sz w:val="32"/>
          <w:szCs w:val="32"/>
        </w:rPr>
        <w:t>%</w:t>
      </w:r>
      <w:r>
        <w:rPr>
          <w:rStyle w:val="16"/>
          <w:rFonts w:hint="eastAsia" w:ascii="方正仿宋_GBK" w:hAnsi="方正仿宋_GBK" w:eastAsia="方正仿宋_GBK" w:cs="方正仿宋_GBK"/>
          <w:b w:val="0"/>
          <w:bCs/>
          <w:color w:val="000000"/>
          <w:sz w:val="32"/>
          <w:szCs w:val="32"/>
          <w:lang w:eastAsia="zh-CN"/>
        </w:rPr>
        <w:t>，</w:t>
      </w:r>
      <w:r>
        <w:rPr>
          <w:rStyle w:val="16"/>
          <w:rFonts w:hint="eastAsia" w:ascii="方正仿宋_GBK" w:hAnsi="方正仿宋_GBK" w:eastAsia="方正仿宋_GBK" w:cs="方正仿宋_GBK"/>
          <w:b w:val="0"/>
          <w:bCs/>
          <w:color w:val="000000"/>
          <w:sz w:val="32"/>
          <w:szCs w:val="32"/>
          <w:lang w:val="en-US" w:eastAsia="zh-CN"/>
        </w:rPr>
        <w:t>决算数小于预算数的主要原因是2022年存在新增退休人员，机关事业单位基本养老保险缴费减少</w:t>
      </w:r>
      <w:r>
        <w:rPr>
          <w:rStyle w:val="16"/>
          <w:rFonts w:hint="eastAsia" w:ascii="方正仿宋_GBK" w:hAnsi="方正仿宋_GBK" w:eastAsia="方正仿宋_GBK" w:cs="方正仿宋_GBK"/>
          <w:b w:val="0"/>
          <w:bCs/>
          <w:color w:val="000000"/>
          <w:sz w:val="32"/>
          <w:szCs w:val="32"/>
        </w:rPr>
        <w:t>。</w:t>
      </w:r>
    </w:p>
    <w:p>
      <w:pPr>
        <w:keepNext w:val="0"/>
        <w:keepLines w:val="0"/>
        <w:pageBreakBefore w:val="0"/>
        <w:widowControl w:val="0"/>
        <w:kinsoku/>
        <w:wordWrap/>
        <w:overflowPunct/>
        <w:topLinePunct w:val="0"/>
        <w:bidi w:val="0"/>
        <w:spacing w:line="600" w:lineRule="exact"/>
        <w:ind w:firstLine="643" w:firstLineChars="200"/>
        <w:rPr>
          <w:rStyle w:val="16"/>
          <w:rFonts w:hint="eastAsia" w:ascii="方正仿宋_GBK" w:hAnsi="方正仿宋_GBK" w:eastAsia="方正仿宋_GBK" w:cs="方正仿宋_GBK"/>
          <w:b w:val="0"/>
          <w:bCs/>
          <w:color w:val="000000"/>
          <w:sz w:val="32"/>
          <w:szCs w:val="32"/>
        </w:rPr>
      </w:pPr>
      <w:r>
        <w:rPr>
          <w:rStyle w:val="16"/>
          <w:rFonts w:hint="eastAsia" w:ascii="方正仿宋_GBK" w:hAnsi="方正仿宋_GBK" w:eastAsia="方正仿宋_GBK" w:cs="方正仿宋_GBK"/>
          <w:b/>
          <w:bCs w:val="0"/>
          <w:color w:val="000000"/>
          <w:sz w:val="32"/>
          <w:szCs w:val="32"/>
          <w:lang w:val="en-US" w:eastAsia="zh-CN"/>
        </w:rPr>
        <w:t>4</w:t>
      </w:r>
      <w:r>
        <w:rPr>
          <w:rStyle w:val="16"/>
          <w:rFonts w:hint="eastAsia" w:ascii="方正仿宋_GBK" w:hAnsi="方正仿宋_GBK" w:eastAsia="方正仿宋_GBK" w:cs="方正仿宋_GBK"/>
          <w:b/>
          <w:bCs w:val="0"/>
          <w:color w:val="000000"/>
          <w:sz w:val="32"/>
          <w:szCs w:val="32"/>
        </w:rPr>
        <w:t>.</w:t>
      </w:r>
      <w:r>
        <w:rPr>
          <w:rFonts w:hint="eastAsia" w:ascii="方正仿宋_GBK" w:hAnsi="方正仿宋_GBK" w:eastAsia="方正仿宋_GBK" w:cs="方正仿宋_GBK"/>
          <w:b/>
          <w:bCs w:val="0"/>
          <w:color w:val="000000" w:themeColor="text1"/>
          <w:sz w:val="32"/>
          <w:szCs w:val="32"/>
          <w14:textFill>
            <w14:solidFill>
              <w14:schemeClr w14:val="tx1"/>
            </w14:solidFill>
          </w14:textFill>
        </w:rPr>
        <w:t>卫生健康</w:t>
      </w:r>
      <w:r>
        <w:rPr>
          <w:rStyle w:val="16"/>
          <w:rFonts w:hint="eastAsia" w:ascii="方正仿宋_GBK" w:hAnsi="方正仿宋_GBK" w:eastAsia="方正仿宋_GBK" w:cs="方正仿宋_GBK"/>
          <w:b/>
          <w:bCs w:val="0"/>
          <w:color w:val="000000"/>
          <w:sz w:val="32"/>
          <w:szCs w:val="32"/>
        </w:rPr>
        <w:t>（类）行政事业单位医疗（款）行政单位医疗（项）:</w:t>
      </w:r>
      <w:r>
        <w:rPr>
          <w:rStyle w:val="16"/>
          <w:rFonts w:hint="eastAsia" w:ascii="方正仿宋_GBK" w:hAnsi="方正仿宋_GBK" w:eastAsia="方正仿宋_GBK" w:cs="方正仿宋_GBK"/>
          <w:b w:val="0"/>
          <w:bCs/>
          <w:color w:val="000000"/>
          <w:sz w:val="32"/>
          <w:szCs w:val="32"/>
        </w:rPr>
        <w:t>支出决算为2</w:t>
      </w:r>
      <w:r>
        <w:rPr>
          <w:rStyle w:val="16"/>
          <w:rFonts w:hint="eastAsia" w:ascii="方正仿宋_GBK" w:hAnsi="方正仿宋_GBK" w:eastAsia="方正仿宋_GBK" w:cs="方正仿宋_GBK"/>
          <w:b w:val="0"/>
          <w:bCs/>
          <w:color w:val="000000"/>
          <w:sz w:val="32"/>
          <w:szCs w:val="32"/>
          <w:lang w:val="en-US" w:eastAsia="zh-CN"/>
        </w:rPr>
        <w:t>2.92</w:t>
      </w:r>
      <w:r>
        <w:rPr>
          <w:rStyle w:val="16"/>
          <w:rFonts w:hint="eastAsia" w:ascii="方正仿宋_GBK" w:hAnsi="方正仿宋_GBK" w:eastAsia="方正仿宋_GBK" w:cs="方正仿宋_GBK"/>
          <w:b w:val="0"/>
          <w:bCs/>
          <w:color w:val="000000"/>
          <w:sz w:val="32"/>
          <w:szCs w:val="32"/>
        </w:rPr>
        <w:t>万元，完成预算</w:t>
      </w:r>
      <w:r>
        <w:rPr>
          <w:rStyle w:val="16"/>
          <w:rFonts w:hint="eastAsia" w:ascii="方正仿宋_GBK" w:hAnsi="方正仿宋_GBK" w:eastAsia="方正仿宋_GBK" w:cs="方正仿宋_GBK"/>
          <w:b w:val="0"/>
          <w:bCs/>
          <w:color w:val="000000"/>
          <w:sz w:val="32"/>
          <w:szCs w:val="32"/>
          <w:lang w:val="en-US" w:eastAsia="zh-CN"/>
        </w:rPr>
        <w:t>89.67</w:t>
      </w:r>
      <w:r>
        <w:rPr>
          <w:rStyle w:val="16"/>
          <w:rFonts w:hint="eastAsia" w:ascii="方正仿宋_GBK" w:hAnsi="方正仿宋_GBK" w:eastAsia="方正仿宋_GBK" w:cs="方正仿宋_GBK"/>
          <w:b w:val="0"/>
          <w:bCs/>
          <w:color w:val="000000"/>
          <w:sz w:val="32"/>
          <w:szCs w:val="32"/>
        </w:rPr>
        <w:t>%。</w:t>
      </w:r>
      <w:r>
        <w:rPr>
          <w:rStyle w:val="16"/>
          <w:rFonts w:hint="eastAsia" w:ascii="方正仿宋_GBK" w:hAnsi="方正仿宋_GBK" w:eastAsia="方正仿宋_GBK" w:cs="方正仿宋_GBK"/>
          <w:b w:val="0"/>
          <w:bCs/>
          <w:color w:val="000000"/>
          <w:sz w:val="32"/>
          <w:szCs w:val="32"/>
          <w:lang w:val="en-US" w:eastAsia="zh-CN"/>
        </w:rPr>
        <w:t>决算数小于预算数的主要原因是2022年存在新增退休人员，行政单位医疗缴费减少</w:t>
      </w:r>
      <w:r>
        <w:rPr>
          <w:rStyle w:val="16"/>
          <w:rFonts w:hint="eastAsia" w:ascii="方正仿宋_GBK" w:hAnsi="方正仿宋_GBK" w:eastAsia="方正仿宋_GBK" w:cs="方正仿宋_GBK"/>
          <w:b w:val="0"/>
          <w:bCs/>
          <w:color w:val="000000"/>
          <w:sz w:val="32"/>
          <w:szCs w:val="32"/>
        </w:rPr>
        <w:t>。</w:t>
      </w:r>
    </w:p>
    <w:p>
      <w:pPr>
        <w:keepNext w:val="0"/>
        <w:keepLines w:val="0"/>
        <w:pageBreakBefore w:val="0"/>
        <w:widowControl w:val="0"/>
        <w:kinsoku/>
        <w:wordWrap/>
        <w:overflowPunct/>
        <w:topLinePunct w:val="0"/>
        <w:bidi w:val="0"/>
        <w:spacing w:line="600" w:lineRule="exact"/>
        <w:ind w:firstLine="643" w:firstLineChars="200"/>
        <w:rPr>
          <w:rStyle w:val="16"/>
          <w:rFonts w:hint="eastAsia" w:ascii="方正仿宋_GBK" w:hAnsi="方正仿宋_GBK" w:eastAsia="方正仿宋_GBK" w:cs="方正仿宋_GBK"/>
          <w:b w:val="0"/>
          <w:bCs/>
          <w:color w:val="000000"/>
          <w:sz w:val="32"/>
          <w:szCs w:val="32"/>
          <w:lang w:val="en-US" w:eastAsia="zh-CN"/>
        </w:rPr>
      </w:pPr>
      <w:r>
        <w:rPr>
          <w:rStyle w:val="16"/>
          <w:rFonts w:hint="eastAsia" w:ascii="方正仿宋_GBK" w:hAnsi="方正仿宋_GBK" w:eastAsia="方正仿宋_GBK" w:cs="方正仿宋_GBK"/>
          <w:b/>
          <w:bCs w:val="0"/>
          <w:color w:val="000000"/>
          <w:sz w:val="32"/>
          <w:szCs w:val="32"/>
          <w:lang w:val="en-US" w:eastAsia="zh-CN"/>
        </w:rPr>
        <w:t>5</w:t>
      </w:r>
      <w:r>
        <w:rPr>
          <w:rStyle w:val="16"/>
          <w:rFonts w:hint="eastAsia" w:ascii="方正仿宋_GBK" w:hAnsi="方正仿宋_GBK" w:eastAsia="方正仿宋_GBK" w:cs="方正仿宋_GBK"/>
          <w:b/>
          <w:bCs w:val="0"/>
          <w:color w:val="000000"/>
          <w:sz w:val="32"/>
          <w:szCs w:val="32"/>
        </w:rPr>
        <w:t>.</w:t>
      </w:r>
      <w:r>
        <w:rPr>
          <w:rFonts w:hint="eastAsia" w:ascii="方正仿宋_GBK" w:hAnsi="方正仿宋_GBK" w:eastAsia="方正仿宋_GBK" w:cs="方正仿宋_GBK"/>
          <w:b/>
          <w:bCs w:val="0"/>
          <w:color w:val="000000" w:themeColor="text1"/>
          <w:sz w:val="32"/>
          <w:szCs w:val="32"/>
          <w14:textFill>
            <w14:solidFill>
              <w14:schemeClr w14:val="tx1"/>
            </w14:solidFill>
          </w14:textFill>
        </w:rPr>
        <w:t>卫生健康</w:t>
      </w:r>
      <w:r>
        <w:rPr>
          <w:rStyle w:val="16"/>
          <w:rFonts w:hint="eastAsia" w:ascii="方正仿宋_GBK" w:hAnsi="方正仿宋_GBK" w:eastAsia="方正仿宋_GBK" w:cs="方正仿宋_GBK"/>
          <w:b/>
          <w:bCs w:val="0"/>
          <w:color w:val="000000"/>
          <w:sz w:val="32"/>
          <w:szCs w:val="32"/>
        </w:rPr>
        <w:t>（类）行政事业单位医疗（款）</w:t>
      </w:r>
      <w:r>
        <w:rPr>
          <w:rStyle w:val="16"/>
          <w:rFonts w:hint="eastAsia" w:ascii="方正仿宋_GBK" w:hAnsi="方正仿宋_GBK" w:eastAsia="方正仿宋_GBK" w:cs="方正仿宋_GBK"/>
          <w:b/>
          <w:bCs w:val="0"/>
          <w:color w:val="000000"/>
          <w:sz w:val="32"/>
          <w:szCs w:val="32"/>
          <w:lang w:val="en-US" w:eastAsia="zh-CN"/>
        </w:rPr>
        <w:t>事业</w:t>
      </w:r>
      <w:r>
        <w:rPr>
          <w:rStyle w:val="16"/>
          <w:rFonts w:hint="eastAsia" w:ascii="方正仿宋_GBK" w:hAnsi="方正仿宋_GBK" w:eastAsia="方正仿宋_GBK" w:cs="方正仿宋_GBK"/>
          <w:b/>
          <w:bCs w:val="0"/>
          <w:color w:val="000000"/>
          <w:sz w:val="32"/>
          <w:szCs w:val="32"/>
        </w:rPr>
        <w:t>单位医疗（项）:</w:t>
      </w:r>
      <w:r>
        <w:rPr>
          <w:rStyle w:val="16"/>
          <w:rFonts w:hint="eastAsia" w:ascii="方正仿宋_GBK" w:hAnsi="方正仿宋_GBK" w:eastAsia="方正仿宋_GBK" w:cs="方正仿宋_GBK"/>
          <w:b w:val="0"/>
          <w:bCs/>
          <w:color w:val="000000"/>
          <w:sz w:val="32"/>
          <w:szCs w:val="32"/>
        </w:rPr>
        <w:t>支出决算为</w:t>
      </w:r>
      <w:r>
        <w:rPr>
          <w:rStyle w:val="16"/>
          <w:rFonts w:hint="eastAsia" w:ascii="方正仿宋_GBK" w:hAnsi="方正仿宋_GBK" w:eastAsia="方正仿宋_GBK" w:cs="方正仿宋_GBK"/>
          <w:b w:val="0"/>
          <w:bCs/>
          <w:color w:val="000000"/>
          <w:sz w:val="32"/>
          <w:szCs w:val="32"/>
          <w:lang w:val="en-US" w:eastAsia="zh-CN"/>
        </w:rPr>
        <w:t>9.72</w:t>
      </w:r>
      <w:r>
        <w:rPr>
          <w:rStyle w:val="16"/>
          <w:rFonts w:hint="eastAsia" w:ascii="方正仿宋_GBK" w:hAnsi="方正仿宋_GBK" w:eastAsia="方正仿宋_GBK" w:cs="方正仿宋_GBK"/>
          <w:b w:val="0"/>
          <w:bCs/>
          <w:color w:val="000000"/>
          <w:sz w:val="32"/>
          <w:szCs w:val="32"/>
        </w:rPr>
        <w:t>万元，完成预算</w:t>
      </w:r>
      <w:r>
        <w:rPr>
          <w:rStyle w:val="16"/>
          <w:rFonts w:hint="eastAsia" w:ascii="方正仿宋_GBK" w:hAnsi="方正仿宋_GBK" w:eastAsia="方正仿宋_GBK" w:cs="方正仿宋_GBK"/>
          <w:b w:val="0"/>
          <w:bCs/>
          <w:color w:val="000000"/>
          <w:sz w:val="32"/>
          <w:szCs w:val="32"/>
          <w:lang w:val="en-US" w:eastAsia="zh-CN"/>
        </w:rPr>
        <w:t>90.67</w:t>
      </w:r>
      <w:r>
        <w:rPr>
          <w:rStyle w:val="16"/>
          <w:rFonts w:hint="eastAsia" w:ascii="方正仿宋_GBK" w:hAnsi="方正仿宋_GBK" w:eastAsia="方正仿宋_GBK" w:cs="方正仿宋_GBK"/>
          <w:b w:val="0"/>
          <w:bCs/>
          <w:color w:val="000000"/>
          <w:sz w:val="32"/>
          <w:szCs w:val="32"/>
        </w:rPr>
        <w:t>%。</w:t>
      </w:r>
      <w:r>
        <w:rPr>
          <w:rStyle w:val="16"/>
          <w:rFonts w:hint="eastAsia" w:ascii="方正仿宋_GBK" w:hAnsi="方正仿宋_GBK" w:eastAsia="方正仿宋_GBK" w:cs="方正仿宋_GBK"/>
          <w:b w:val="0"/>
          <w:bCs/>
          <w:color w:val="000000"/>
          <w:sz w:val="32"/>
          <w:szCs w:val="32"/>
          <w:lang w:val="en-US" w:eastAsia="zh-CN"/>
        </w:rPr>
        <w:t>决算数小于预算数的主要原因是2022年有事业人员年初调出，事业单位医疗缴费减少。</w:t>
      </w:r>
    </w:p>
    <w:p>
      <w:pPr>
        <w:keepNext w:val="0"/>
        <w:keepLines w:val="0"/>
        <w:pageBreakBefore w:val="0"/>
        <w:widowControl w:val="0"/>
        <w:kinsoku/>
        <w:wordWrap/>
        <w:overflowPunct/>
        <w:topLinePunct w:val="0"/>
        <w:bidi w:val="0"/>
        <w:spacing w:line="600" w:lineRule="exact"/>
        <w:ind w:firstLine="643" w:firstLineChars="200"/>
        <w:rPr>
          <w:rFonts w:hint="eastAsia" w:ascii="方正仿宋_GBK" w:hAnsi="方正仿宋_GBK" w:eastAsia="方正仿宋_GBK" w:cs="方正仿宋_GBK"/>
        </w:rPr>
      </w:pPr>
      <w:r>
        <w:rPr>
          <w:rStyle w:val="16"/>
          <w:rFonts w:hint="eastAsia" w:ascii="方正仿宋_GBK" w:hAnsi="方正仿宋_GBK" w:eastAsia="方正仿宋_GBK" w:cs="方正仿宋_GBK"/>
          <w:b/>
          <w:bCs w:val="0"/>
          <w:color w:val="000000"/>
          <w:sz w:val="32"/>
          <w:szCs w:val="32"/>
          <w:lang w:val="en-US" w:eastAsia="zh-CN"/>
        </w:rPr>
        <w:t>6</w:t>
      </w:r>
      <w:r>
        <w:rPr>
          <w:rStyle w:val="16"/>
          <w:rFonts w:hint="eastAsia" w:ascii="方正仿宋_GBK" w:hAnsi="方正仿宋_GBK" w:eastAsia="方正仿宋_GBK" w:cs="方正仿宋_GBK"/>
          <w:b/>
          <w:bCs w:val="0"/>
          <w:color w:val="000000"/>
          <w:sz w:val="32"/>
          <w:szCs w:val="32"/>
        </w:rPr>
        <w:t>.</w:t>
      </w:r>
      <w:r>
        <w:rPr>
          <w:rFonts w:hint="eastAsia" w:ascii="方正仿宋_GBK" w:hAnsi="方正仿宋_GBK" w:eastAsia="方正仿宋_GBK" w:cs="方正仿宋_GBK"/>
          <w:b/>
          <w:bCs w:val="0"/>
          <w:color w:val="000000" w:themeColor="text1"/>
          <w:sz w:val="32"/>
          <w:szCs w:val="32"/>
          <w14:textFill>
            <w14:solidFill>
              <w14:schemeClr w14:val="tx1"/>
            </w14:solidFill>
          </w14:textFill>
        </w:rPr>
        <w:t>卫生健康</w:t>
      </w:r>
      <w:r>
        <w:rPr>
          <w:rStyle w:val="16"/>
          <w:rFonts w:hint="eastAsia" w:ascii="方正仿宋_GBK" w:hAnsi="方正仿宋_GBK" w:eastAsia="方正仿宋_GBK" w:cs="方正仿宋_GBK"/>
          <w:b/>
          <w:bCs w:val="0"/>
          <w:color w:val="000000"/>
          <w:sz w:val="32"/>
          <w:szCs w:val="32"/>
        </w:rPr>
        <w:t>（类）行政事业单位医疗（款）</w:t>
      </w:r>
      <w:r>
        <w:rPr>
          <w:rStyle w:val="16"/>
          <w:rFonts w:hint="eastAsia" w:ascii="方正仿宋_GBK" w:hAnsi="方正仿宋_GBK" w:eastAsia="方正仿宋_GBK" w:cs="方正仿宋_GBK"/>
          <w:b/>
          <w:bCs w:val="0"/>
          <w:color w:val="000000"/>
          <w:sz w:val="32"/>
          <w:szCs w:val="32"/>
          <w:lang w:val="en-US" w:eastAsia="zh-CN"/>
        </w:rPr>
        <w:t>公务员</w:t>
      </w:r>
      <w:r>
        <w:rPr>
          <w:rStyle w:val="16"/>
          <w:rFonts w:hint="eastAsia" w:ascii="方正仿宋_GBK" w:hAnsi="方正仿宋_GBK" w:eastAsia="方正仿宋_GBK" w:cs="方正仿宋_GBK"/>
          <w:b/>
          <w:bCs w:val="0"/>
          <w:color w:val="000000"/>
          <w:sz w:val="32"/>
          <w:szCs w:val="32"/>
        </w:rPr>
        <w:t>医疗（项）:</w:t>
      </w:r>
      <w:r>
        <w:rPr>
          <w:rStyle w:val="16"/>
          <w:rFonts w:hint="eastAsia" w:ascii="方正仿宋_GBK" w:hAnsi="方正仿宋_GBK" w:eastAsia="方正仿宋_GBK" w:cs="方正仿宋_GBK"/>
          <w:b w:val="0"/>
          <w:bCs/>
          <w:color w:val="000000"/>
          <w:sz w:val="32"/>
          <w:szCs w:val="32"/>
        </w:rPr>
        <w:t>支出决算为</w:t>
      </w:r>
      <w:r>
        <w:rPr>
          <w:rStyle w:val="16"/>
          <w:rFonts w:hint="eastAsia" w:ascii="方正仿宋_GBK" w:hAnsi="方正仿宋_GBK" w:eastAsia="方正仿宋_GBK" w:cs="方正仿宋_GBK"/>
          <w:b w:val="0"/>
          <w:bCs/>
          <w:color w:val="000000"/>
          <w:sz w:val="32"/>
          <w:szCs w:val="32"/>
          <w:lang w:val="en-US" w:eastAsia="zh-CN"/>
        </w:rPr>
        <w:t>9.56</w:t>
      </w:r>
      <w:r>
        <w:rPr>
          <w:rStyle w:val="16"/>
          <w:rFonts w:hint="eastAsia" w:ascii="方正仿宋_GBK" w:hAnsi="方正仿宋_GBK" w:eastAsia="方正仿宋_GBK" w:cs="方正仿宋_GBK"/>
          <w:b w:val="0"/>
          <w:bCs/>
          <w:color w:val="000000"/>
          <w:sz w:val="32"/>
          <w:szCs w:val="32"/>
        </w:rPr>
        <w:t>万元，完成预算</w:t>
      </w:r>
      <w:r>
        <w:rPr>
          <w:rStyle w:val="16"/>
          <w:rFonts w:hint="eastAsia" w:ascii="方正仿宋_GBK" w:hAnsi="方正仿宋_GBK" w:eastAsia="方正仿宋_GBK" w:cs="方正仿宋_GBK"/>
          <w:b w:val="0"/>
          <w:bCs/>
          <w:color w:val="000000"/>
          <w:sz w:val="32"/>
          <w:szCs w:val="32"/>
          <w:lang w:val="en-US" w:eastAsia="zh-CN"/>
        </w:rPr>
        <w:t>92.01</w:t>
      </w:r>
      <w:r>
        <w:rPr>
          <w:rStyle w:val="16"/>
          <w:rFonts w:hint="eastAsia" w:ascii="方正仿宋_GBK" w:hAnsi="方正仿宋_GBK" w:eastAsia="方正仿宋_GBK" w:cs="方正仿宋_GBK"/>
          <w:b w:val="0"/>
          <w:bCs/>
          <w:color w:val="000000"/>
          <w:sz w:val="32"/>
          <w:szCs w:val="32"/>
        </w:rPr>
        <w:t>%。</w:t>
      </w:r>
      <w:r>
        <w:rPr>
          <w:rStyle w:val="16"/>
          <w:rFonts w:hint="eastAsia" w:ascii="方正仿宋_GBK" w:hAnsi="方正仿宋_GBK" w:eastAsia="方正仿宋_GBK" w:cs="方正仿宋_GBK"/>
          <w:b w:val="0"/>
          <w:bCs/>
          <w:color w:val="000000"/>
          <w:sz w:val="32"/>
          <w:szCs w:val="32"/>
          <w:lang w:val="en-US" w:eastAsia="zh-CN"/>
        </w:rPr>
        <w:t>决算数小于预算数的主要原因是2022年存在新增退休人员，公务员医疗缴费减少</w:t>
      </w:r>
      <w:r>
        <w:rPr>
          <w:rStyle w:val="16"/>
          <w:rFonts w:hint="eastAsia" w:ascii="方正仿宋_GBK" w:hAnsi="方正仿宋_GBK" w:eastAsia="方正仿宋_GBK" w:cs="方正仿宋_GBK"/>
          <w:b w:val="0"/>
          <w:bCs/>
          <w:color w:val="000000"/>
          <w:sz w:val="32"/>
          <w:szCs w:val="32"/>
        </w:rPr>
        <w:t>。</w:t>
      </w:r>
    </w:p>
    <w:p>
      <w:pPr>
        <w:keepNext w:val="0"/>
        <w:keepLines w:val="0"/>
        <w:pageBreakBefore w:val="0"/>
        <w:widowControl w:val="0"/>
        <w:kinsoku/>
        <w:wordWrap/>
        <w:overflowPunct/>
        <w:topLinePunct w:val="0"/>
        <w:bidi w:val="0"/>
        <w:spacing w:line="600" w:lineRule="exact"/>
        <w:ind w:firstLine="643" w:firstLineChars="200"/>
        <w:rPr>
          <w:rFonts w:hint="eastAsia" w:ascii="方正仿宋_GBK" w:hAnsi="方正仿宋_GBK" w:eastAsia="方正仿宋_GBK" w:cs="方正仿宋_GBK"/>
        </w:rPr>
      </w:pPr>
      <w:r>
        <w:rPr>
          <w:rFonts w:hint="eastAsia" w:ascii="方正仿宋_GBK" w:hAnsi="方正仿宋_GBK" w:eastAsia="方正仿宋_GBK" w:cs="方正仿宋_GBK"/>
          <w:b/>
          <w:bCs w:val="0"/>
          <w:color w:val="000000"/>
          <w:sz w:val="32"/>
          <w:szCs w:val="32"/>
          <w:lang w:val="en-US" w:eastAsia="zh-CN"/>
        </w:rPr>
        <w:t>7</w:t>
      </w:r>
      <w:r>
        <w:rPr>
          <w:rFonts w:hint="eastAsia" w:ascii="方正仿宋_GBK" w:hAnsi="方正仿宋_GBK" w:eastAsia="方正仿宋_GBK" w:cs="方正仿宋_GBK"/>
          <w:b/>
          <w:bCs w:val="0"/>
          <w:color w:val="000000"/>
          <w:sz w:val="32"/>
          <w:szCs w:val="32"/>
        </w:rPr>
        <w:t>.灾害防治及应急管理支出（类）应急管理事务（款）行政运行（项）:</w:t>
      </w:r>
      <w:r>
        <w:rPr>
          <w:rFonts w:hint="eastAsia" w:ascii="方正仿宋_GBK" w:hAnsi="方正仿宋_GBK" w:eastAsia="方正仿宋_GBK" w:cs="方正仿宋_GBK"/>
          <w:bCs/>
          <w:color w:val="000000"/>
          <w:sz w:val="32"/>
          <w:szCs w:val="32"/>
        </w:rPr>
        <w:t>支出决算为</w:t>
      </w:r>
      <w:r>
        <w:rPr>
          <w:rFonts w:hint="eastAsia" w:ascii="方正仿宋_GBK" w:hAnsi="方正仿宋_GBK" w:eastAsia="方正仿宋_GBK" w:cs="方正仿宋_GBK"/>
          <w:bCs/>
          <w:color w:val="000000"/>
          <w:sz w:val="32"/>
          <w:szCs w:val="32"/>
          <w:lang w:val="en-US" w:eastAsia="zh-CN"/>
        </w:rPr>
        <w:t>934.40</w:t>
      </w:r>
      <w:r>
        <w:rPr>
          <w:rFonts w:hint="eastAsia" w:ascii="方正仿宋_GBK" w:hAnsi="方正仿宋_GBK" w:eastAsia="方正仿宋_GBK" w:cs="方正仿宋_GBK"/>
          <w:bCs/>
          <w:color w:val="000000"/>
          <w:sz w:val="32"/>
          <w:szCs w:val="32"/>
        </w:rPr>
        <w:t>万元，完成预算</w:t>
      </w:r>
      <w:r>
        <w:rPr>
          <w:rFonts w:hint="eastAsia" w:ascii="方正仿宋_GBK" w:hAnsi="方正仿宋_GBK" w:eastAsia="方正仿宋_GBK" w:cs="方正仿宋_GBK"/>
          <w:bCs/>
          <w:color w:val="000000"/>
          <w:sz w:val="32"/>
          <w:szCs w:val="32"/>
          <w:lang w:val="en-US" w:eastAsia="zh-CN"/>
        </w:rPr>
        <w:t>95.90</w:t>
      </w:r>
      <w:r>
        <w:rPr>
          <w:rFonts w:hint="eastAsia" w:ascii="方正仿宋_GBK" w:hAnsi="方正仿宋_GBK" w:eastAsia="方正仿宋_GBK" w:cs="方正仿宋_GBK"/>
          <w:bCs/>
          <w:color w:val="000000"/>
          <w:sz w:val="32"/>
          <w:szCs w:val="32"/>
        </w:rPr>
        <w:t>%</w:t>
      </w:r>
      <w:r>
        <w:rPr>
          <w:rFonts w:hint="eastAsia" w:ascii="方正仿宋_GBK" w:hAnsi="方正仿宋_GBK" w:eastAsia="方正仿宋_GBK" w:cs="方正仿宋_GBK"/>
          <w:bCs/>
          <w:color w:val="000000"/>
          <w:sz w:val="32"/>
          <w:szCs w:val="32"/>
          <w:lang w:eastAsia="zh-CN"/>
        </w:rPr>
        <w:t>。</w:t>
      </w:r>
      <w:r>
        <w:rPr>
          <w:rStyle w:val="16"/>
          <w:rFonts w:hint="eastAsia" w:ascii="方正仿宋_GBK" w:hAnsi="方正仿宋_GBK" w:eastAsia="方正仿宋_GBK" w:cs="方正仿宋_GBK"/>
          <w:b w:val="0"/>
          <w:bCs/>
          <w:color w:val="000000"/>
          <w:sz w:val="32"/>
          <w:szCs w:val="32"/>
          <w:lang w:val="en-US" w:eastAsia="zh-CN"/>
        </w:rPr>
        <w:t>决算数小于预算数的主要原因是2022年存在新增退休人员，行政运行费用减少</w:t>
      </w:r>
      <w:r>
        <w:rPr>
          <w:rFonts w:hint="eastAsia" w:ascii="方正仿宋_GBK" w:hAnsi="方正仿宋_GBK" w:eastAsia="方正仿宋_GBK" w:cs="方正仿宋_GBK"/>
          <w:bCs/>
          <w:color w:val="000000"/>
          <w:sz w:val="32"/>
          <w:szCs w:val="32"/>
        </w:rPr>
        <w:t>。</w:t>
      </w:r>
    </w:p>
    <w:p>
      <w:pPr>
        <w:keepNext w:val="0"/>
        <w:keepLines w:val="0"/>
        <w:pageBreakBefore w:val="0"/>
        <w:widowControl w:val="0"/>
        <w:kinsoku/>
        <w:wordWrap/>
        <w:overflowPunct/>
        <w:topLinePunct w:val="0"/>
        <w:bidi w:val="0"/>
        <w:spacing w:line="600" w:lineRule="exact"/>
        <w:ind w:firstLine="643" w:firstLineChars="200"/>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
          <w:bCs w:val="0"/>
          <w:color w:val="000000"/>
          <w:sz w:val="32"/>
          <w:szCs w:val="32"/>
          <w:lang w:val="en-US" w:eastAsia="zh-CN"/>
        </w:rPr>
        <w:t>8</w:t>
      </w:r>
      <w:r>
        <w:rPr>
          <w:rFonts w:hint="eastAsia" w:ascii="方正仿宋_GBK" w:hAnsi="方正仿宋_GBK" w:eastAsia="方正仿宋_GBK" w:cs="方正仿宋_GBK"/>
          <w:b/>
          <w:bCs w:val="0"/>
          <w:color w:val="000000"/>
          <w:sz w:val="32"/>
          <w:szCs w:val="32"/>
        </w:rPr>
        <w:t>.灾害防治及应急管理支出（类）应急管理事务（款）安全监管（项）:</w:t>
      </w:r>
      <w:r>
        <w:rPr>
          <w:rFonts w:hint="eastAsia" w:ascii="方正仿宋_GBK" w:hAnsi="方正仿宋_GBK" w:eastAsia="方正仿宋_GBK" w:cs="方正仿宋_GBK"/>
          <w:bCs/>
          <w:color w:val="000000"/>
          <w:sz w:val="32"/>
          <w:szCs w:val="32"/>
        </w:rPr>
        <w:t>支出决算为</w:t>
      </w:r>
      <w:r>
        <w:rPr>
          <w:rFonts w:hint="eastAsia" w:ascii="方正仿宋_GBK" w:hAnsi="方正仿宋_GBK" w:eastAsia="方正仿宋_GBK" w:cs="方正仿宋_GBK"/>
          <w:bCs/>
          <w:color w:val="000000"/>
          <w:sz w:val="32"/>
          <w:szCs w:val="32"/>
          <w:lang w:val="en-US" w:eastAsia="zh-CN"/>
        </w:rPr>
        <w:t>325.49</w:t>
      </w:r>
      <w:r>
        <w:rPr>
          <w:rFonts w:hint="eastAsia" w:ascii="方正仿宋_GBK" w:hAnsi="方正仿宋_GBK" w:eastAsia="方正仿宋_GBK" w:cs="方正仿宋_GBK"/>
          <w:bCs/>
          <w:color w:val="000000"/>
          <w:sz w:val="32"/>
          <w:szCs w:val="32"/>
        </w:rPr>
        <w:t>万元，完成预算</w:t>
      </w:r>
      <w:r>
        <w:rPr>
          <w:rFonts w:hint="eastAsia" w:ascii="方正仿宋_GBK" w:hAnsi="方正仿宋_GBK" w:eastAsia="方正仿宋_GBK" w:cs="方正仿宋_GBK"/>
          <w:bCs/>
          <w:color w:val="000000"/>
          <w:sz w:val="32"/>
          <w:szCs w:val="32"/>
          <w:lang w:val="en-US" w:eastAsia="zh-CN"/>
        </w:rPr>
        <w:t>97.66</w:t>
      </w:r>
      <w:r>
        <w:rPr>
          <w:rFonts w:hint="eastAsia" w:ascii="方正仿宋_GBK" w:hAnsi="方正仿宋_GBK" w:eastAsia="方正仿宋_GBK" w:cs="方正仿宋_GBK"/>
          <w:bCs/>
          <w:color w:val="000000"/>
          <w:sz w:val="32"/>
          <w:szCs w:val="32"/>
        </w:rPr>
        <w:t>%。</w:t>
      </w:r>
      <w:r>
        <w:rPr>
          <w:rStyle w:val="16"/>
          <w:rFonts w:hint="eastAsia" w:ascii="方正仿宋_GBK" w:hAnsi="方正仿宋_GBK" w:eastAsia="方正仿宋_GBK" w:cs="方正仿宋_GBK"/>
          <w:b w:val="0"/>
          <w:bCs/>
          <w:color w:val="000000"/>
          <w:sz w:val="32"/>
          <w:szCs w:val="32"/>
          <w:lang w:val="en-US" w:eastAsia="zh-CN"/>
        </w:rPr>
        <w:t>决算数小于预算数的主要原因是2022年度工作中坚持厉行节约，在节约资金同时较好地完成项目</w:t>
      </w:r>
      <w:r>
        <w:rPr>
          <w:rFonts w:hint="eastAsia" w:ascii="方正仿宋_GBK" w:hAnsi="方正仿宋_GBK" w:eastAsia="方正仿宋_GBK" w:cs="方正仿宋_GBK"/>
          <w:bCs/>
          <w:color w:val="000000"/>
          <w:sz w:val="32"/>
          <w:szCs w:val="32"/>
        </w:rPr>
        <w:t>。</w:t>
      </w:r>
    </w:p>
    <w:p>
      <w:pPr>
        <w:keepNext w:val="0"/>
        <w:keepLines w:val="0"/>
        <w:pageBreakBefore w:val="0"/>
        <w:widowControl w:val="0"/>
        <w:kinsoku/>
        <w:wordWrap/>
        <w:overflowPunct/>
        <w:topLinePunct w:val="0"/>
        <w:bidi w:val="0"/>
        <w:spacing w:line="600" w:lineRule="exact"/>
        <w:ind w:firstLine="643" w:firstLineChars="200"/>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
          <w:bCs w:val="0"/>
          <w:color w:val="000000"/>
          <w:sz w:val="32"/>
          <w:szCs w:val="32"/>
          <w:lang w:val="en-US" w:eastAsia="zh-CN"/>
        </w:rPr>
        <w:t>9</w:t>
      </w:r>
      <w:r>
        <w:rPr>
          <w:rFonts w:hint="eastAsia" w:ascii="方正仿宋_GBK" w:hAnsi="方正仿宋_GBK" w:eastAsia="方正仿宋_GBK" w:cs="方正仿宋_GBK"/>
          <w:b/>
          <w:bCs w:val="0"/>
          <w:color w:val="000000"/>
          <w:sz w:val="32"/>
          <w:szCs w:val="32"/>
        </w:rPr>
        <w:t>.灾害防治及应急管理支出（类）应急管理事务（款）</w:t>
      </w:r>
      <w:r>
        <w:rPr>
          <w:rFonts w:hint="eastAsia" w:ascii="方正仿宋_GBK" w:hAnsi="方正仿宋_GBK" w:eastAsia="方正仿宋_GBK" w:cs="方正仿宋_GBK"/>
          <w:b/>
          <w:bCs w:val="0"/>
          <w:color w:val="000000"/>
          <w:sz w:val="32"/>
          <w:szCs w:val="32"/>
          <w:lang w:val="en-US" w:eastAsia="zh-CN"/>
        </w:rPr>
        <w:t>应急救援</w:t>
      </w:r>
      <w:r>
        <w:rPr>
          <w:rFonts w:hint="eastAsia" w:ascii="方正仿宋_GBK" w:hAnsi="方正仿宋_GBK" w:eastAsia="方正仿宋_GBK" w:cs="方正仿宋_GBK"/>
          <w:b/>
          <w:bCs w:val="0"/>
          <w:color w:val="000000"/>
          <w:sz w:val="32"/>
          <w:szCs w:val="32"/>
        </w:rPr>
        <w:t>（项）:</w:t>
      </w:r>
      <w:r>
        <w:rPr>
          <w:rFonts w:hint="eastAsia" w:ascii="方正仿宋_GBK" w:hAnsi="方正仿宋_GBK" w:eastAsia="方正仿宋_GBK" w:cs="方正仿宋_GBK"/>
          <w:bCs/>
          <w:color w:val="000000"/>
          <w:sz w:val="32"/>
          <w:szCs w:val="32"/>
        </w:rPr>
        <w:t>支出决算为</w:t>
      </w:r>
      <w:r>
        <w:rPr>
          <w:rFonts w:hint="eastAsia" w:ascii="方正仿宋_GBK" w:hAnsi="方正仿宋_GBK" w:eastAsia="方正仿宋_GBK" w:cs="方正仿宋_GBK"/>
          <w:bCs/>
          <w:color w:val="000000"/>
          <w:sz w:val="32"/>
          <w:szCs w:val="32"/>
          <w:lang w:val="en-US" w:eastAsia="zh-CN"/>
        </w:rPr>
        <w:t>249.87</w:t>
      </w:r>
      <w:r>
        <w:rPr>
          <w:rFonts w:hint="eastAsia" w:ascii="方正仿宋_GBK" w:hAnsi="方正仿宋_GBK" w:eastAsia="方正仿宋_GBK" w:cs="方正仿宋_GBK"/>
          <w:bCs/>
          <w:color w:val="000000"/>
          <w:sz w:val="32"/>
          <w:szCs w:val="32"/>
        </w:rPr>
        <w:t>万元，完成预算</w:t>
      </w:r>
      <w:r>
        <w:rPr>
          <w:rFonts w:hint="eastAsia" w:ascii="方正仿宋_GBK" w:hAnsi="方正仿宋_GBK" w:eastAsia="方正仿宋_GBK" w:cs="方正仿宋_GBK"/>
          <w:bCs/>
          <w:color w:val="000000"/>
          <w:sz w:val="32"/>
          <w:szCs w:val="32"/>
          <w:lang w:val="en-US" w:eastAsia="zh-CN"/>
        </w:rPr>
        <w:t>41.45</w:t>
      </w:r>
      <w:r>
        <w:rPr>
          <w:rFonts w:hint="eastAsia" w:ascii="方正仿宋_GBK" w:hAnsi="方正仿宋_GBK" w:eastAsia="方正仿宋_GBK" w:cs="方正仿宋_GBK"/>
          <w:bCs/>
          <w:color w:val="000000"/>
          <w:sz w:val="32"/>
          <w:szCs w:val="32"/>
        </w:rPr>
        <w:t>%。决算数小于预算数的主要原因是</w:t>
      </w:r>
      <w:r>
        <w:rPr>
          <w:rFonts w:hint="eastAsia" w:ascii="方正仿宋_GBK" w:hAnsi="方正仿宋_GBK" w:eastAsia="方正仿宋_GBK" w:cs="方正仿宋_GBK"/>
          <w:bCs/>
          <w:color w:val="000000"/>
          <w:sz w:val="32"/>
          <w:szCs w:val="32"/>
          <w:lang w:val="en-US" w:eastAsia="zh-CN"/>
        </w:rPr>
        <w:t>部分</w:t>
      </w:r>
      <w:r>
        <w:rPr>
          <w:rFonts w:hint="eastAsia" w:ascii="方正仿宋_GBK" w:hAnsi="方正仿宋_GBK" w:eastAsia="方正仿宋_GBK" w:cs="方正仿宋_GBK"/>
          <w:bCs/>
          <w:color w:val="000000"/>
          <w:sz w:val="32"/>
          <w:szCs w:val="32"/>
        </w:rPr>
        <w:t>指标下达</w:t>
      </w:r>
      <w:r>
        <w:rPr>
          <w:rFonts w:hint="eastAsia" w:ascii="方正仿宋_GBK" w:hAnsi="方正仿宋_GBK" w:eastAsia="方正仿宋_GBK" w:cs="方正仿宋_GBK"/>
          <w:bCs/>
          <w:color w:val="000000"/>
          <w:sz w:val="32"/>
          <w:szCs w:val="32"/>
          <w:lang w:val="en-US" w:eastAsia="zh-CN"/>
        </w:rPr>
        <w:t>较晚</w:t>
      </w:r>
      <w:r>
        <w:rPr>
          <w:rFonts w:hint="eastAsia" w:ascii="方正仿宋_GBK" w:hAnsi="方正仿宋_GBK" w:eastAsia="方正仿宋_GBK" w:cs="方正仿宋_GBK"/>
          <w:bCs/>
          <w:color w:val="000000"/>
          <w:sz w:val="32"/>
          <w:szCs w:val="32"/>
        </w:rPr>
        <w:t>，无法完成支付。</w:t>
      </w:r>
    </w:p>
    <w:p>
      <w:pPr>
        <w:keepNext w:val="0"/>
        <w:keepLines w:val="0"/>
        <w:pageBreakBefore w:val="0"/>
        <w:widowControl w:val="0"/>
        <w:kinsoku/>
        <w:wordWrap/>
        <w:overflowPunct/>
        <w:topLinePunct w:val="0"/>
        <w:bidi w:val="0"/>
        <w:spacing w:line="600" w:lineRule="exact"/>
        <w:ind w:firstLine="643" w:firstLineChars="20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bCs/>
          <w:lang w:val="en-US" w:eastAsia="zh-CN"/>
        </w:rPr>
        <w:t>10.</w:t>
      </w:r>
      <w:r>
        <w:rPr>
          <w:rStyle w:val="16"/>
          <w:rFonts w:hint="eastAsia" w:ascii="方正仿宋_GBK" w:hAnsi="方正仿宋_GBK" w:eastAsia="方正仿宋_GBK" w:cs="方正仿宋_GBK"/>
          <w:bCs/>
          <w:color w:val="000000"/>
          <w:sz w:val="32"/>
          <w:szCs w:val="32"/>
        </w:rPr>
        <w:t>灾害防治及应急管理支出（类）应急管理事务（款）事业运行（项）:</w:t>
      </w:r>
      <w:r>
        <w:rPr>
          <w:rStyle w:val="16"/>
          <w:rFonts w:hint="eastAsia" w:ascii="方正仿宋_GBK" w:hAnsi="方正仿宋_GBK" w:eastAsia="方正仿宋_GBK" w:cs="方正仿宋_GBK"/>
          <w:b w:val="0"/>
          <w:bCs/>
          <w:color w:val="000000"/>
          <w:sz w:val="32"/>
          <w:szCs w:val="32"/>
        </w:rPr>
        <w:t>支出决算为</w:t>
      </w:r>
      <w:r>
        <w:rPr>
          <w:rStyle w:val="16"/>
          <w:rFonts w:hint="eastAsia" w:ascii="方正仿宋_GBK" w:hAnsi="方正仿宋_GBK" w:eastAsia="方正仿宋_GBK" w:cs="方正仿宋_GBK"/>
          <w:b w:val="0"/>
          <w:bCs/>
          <w:color w:val="000000"/>
          <w:sz w:val="32"/>
          <w:szCs w:val="32"/>
          <w:lang w:val="en-US" w:eastAsia="zh-CN"/>
        </w:rPr>
        <w:t>113.36</w:t>
      </w:r>
      <w:r>
        <w:rPr>
          <w:rStyle w:val="16"/>
          <w:rFonts w:hint="eastAsia" w:ascii="方正仿宋_GBK" w:hAnsi="方正仿宋_GBK" w:eastAsia="方正仿宋_GBK" w:cs="方正仿宋_GBK"/>
          <w:b w:val="0"/>
          <w:bCs/>
          <w:color w:val="000000"/>
          <w:sz w:val="32"/>
          <w:szCs w:val="32"/>
        </w:rPr>
        <w:t>万元，完成预算</w:t>
      </w:r>
      <w:r>
        <w:rPr>
          <w:rStyle w:val="16"/>
          <w:rFonts w:hint="eastAsia" w:ascii="方正仿宋_GBK" w:hAnsi="方正仿宋_GBK" w:eastAsia="方正仿宋_GBK" w:cs="方正仿宋_GBK"/>
          <w:b w:val="0"/>
          <w:bCs/>
          <w:color w:val="000000"/>
          <w:sz w:val="32"/>
          <w:szCs w:val="32"/>
          <w:lang w:val="en-US" w:eastAsia="zh-CN"/>
        </w:rPr>
        <w:t>95.30</w:t>
      </w:r>
      <w:r>
        <w:rPr>
          <w:rStyle w:val="16"/>
          <w:rFonts w:hint="eastAsia" w:ascii="方正仿宋_GBK" w:hAnsi="方正仿宋_GBK" w:eastAsia="方正仿宋_GBK" w:cs="方正仿宋_GBK"/>
          <w:b w:val="0"/>
          <w:bCs/>
          <w:color w:val="000000"/>
          <w:sz w:val="32"/>
          <w:szCs w:val="32"/>
        </w:rPr>
        <w:t>%，决算数</w:t>
      </w:r>
      <w:r>
        <w:rPr>
          <w:rStyle w:val="16"/>
          <w:rFonts w:hint="eastAsia" w:ascii="方正仿宋_GBK" w:hAnsi="方正仿宋_GBK" w:eastAsia="方正仿宋_GBK" w:cs="方正仿宋_GBK"/>
          <w:b w:val="0"/>
          <w:bCs/>
          <w:color w:val="000000"/>
          <w:sz w:val="32"/>
          <w:szCs w:val="32"/>
          <w:lang w:eastAsia="zh-CN"/>
        </w:rPr>
        <w:t>小于</w:t>
      </w:r>
      <w:r>
        <w:rPr>
          <w:rStyle w:val="16"/>
          <w:rFonts w:hint="eastAsia" w:ascii="方正仿宋_GBK" w:hAnsi="方正仿宋_GBK" w:eastAsia="方正仿宋_GBK" w:cs="方正仿宋_GBK"/>
          <w:b w:val="0"/>
          <w:bCs/>
          <w:color w:val="000000"/>
          <w:sz w:val="32"/>
          <w:szCs w:val="32"/>
        </w:rPr>
        <w:t>预算数</w:t>
      </w:r>
      <w:r>
        <w:rPr>
          <w:rStyle w:val="16"/>
          <w:rFonts w:hint="eastAsia" w:ascii="方正仿宋_GBK" w:hAnsi="方正仿宋_GBK" w:eastAsia="方正仿宋_GBK" w:cs="方正仿宋_GBK"/>
          <w:b w:val="0"/>
          <w:bCs/>
          <w:color w:val="000000"/>
          <w:sz w:val="32"/>
          <w:szCs w:val="32"/>
          <w:lang w:eastAsia="zh-CN"/>
        </w:rPr>
        <w:t>的主要原因是受</w:t>
      </w:r>
      <w:r>
        <w:rPr>
          <w:rStyle w:val="16"/>
          <w:rFonts w:hint="eastAsia" w:ascii="方正仿宋_GBK" w:hAnsi="方正仿宋_GBK" w:eastAsia="方正仿宋_GBK" w:cs="方正仿宋_GBK"/>
          <w:b w:val="0"/>
          <w:bCs/>
          <w:color w:val="000000"/>
          <w:sz w:val="32"/>
          <w:szCs w:val="32"/>
          <w:lang w:val="en-US" w:eastAsia="zh-CN"/>
        </w:rPr>
        <w:t>疫情影响，部分培训工作未开展</w:t>
      </w:r>
      <w:r>
        <w:rPr>
          <w:rStyle w:val="16"/>
          <w:rFonts w:hint="eastAsia" w:ascii="方正仿宋_GBK" w:hAnsi="方正仿宋_GBK" w:eastAsia="方正仿宋_GBK" w:cs="方正仿宋_GBK"/>
          <w:b w:val="0"/>
          <w:bCs/>
          <w:color w:val="000000"/>
          <w:sz w:val="32"/>
          <w:szCs w:val="32"/>
        </w:rPr>
        <w:t>。</w:t>
      </w:r>
    </w:p>
    <w:p>
      <w:pPr>
        <w:keepNext w:val="0"/>
        <w:keepLines w:val="0"/>
        <w:pageBreakBefore w:val="0"/>
        <w:widowControl w:val="0"/>
        <w:kinsoku/>
        <w:wordWrap/>
        <w:overflowPunct/>
        <w:topLinePunct w:val="0"/>
        <w:bidi w:val="0"/>
        <w:spacing w:line="600" w:lineRule="exact"/>
        <w:ind w:firstLine="643" w:firstLineChars="200"/>
        <w:rPr>
          <w:rFonts w:hint="eastAsia" w:ascii="方正仿宋_GBK" w:hAnsi="方正仿宋_GBK" w:eastAsia="方正仿宋_GBK" w:cs="方正仿宋_GBK"/>
          <w:bCs/>
          <w:color w:val="000000"/>
          <w:sz w:val="32"/>
          <w:szCs w:val="32"/>
          <w:lang w:val="en-US" w:eastAsia="zh-CN"/>
        </w:rPr>
      </w:pPr>
      <w:r>
        <w:rPr>
          <w:rFonts w:hint="eastAsia" w:ascii="方正仿宋_GBK" w:hAnsi="方正仿宋_GBK" w:eastAsia="方正仿宋_GBK" w:cs="方正仿宋_GBK"/>
          <w:b/>
          <w:bCs w:val="0"/>
          <w:color w:val="000000"/>
          <w:sz w:val="32"/>
          <w:szCs w:val="32"/>
          <w:lang w:val="en-US" w:eastAsia="zh-CN"/>
        </w:rPr>
        <w:t>11</w:t>
      </w:r>
      <w:r>
        <w:rPr>
          <w:rFonts w:hint="eastAsia" w:ascii="方正仿宋_GBK" w:hAnsi="方正仿宋_GBK" w:eastAsia="方正仿宋_GBK" w:cs="方正仿宋_GBK"/>
          <w:b/>
          <w:bCs w:val="0"/>
          <w:color w:val="000000"/>
          <w:sz w:val="32"/>
          <w:szCs w:val="32"/>
        </w:rPr>
        <w:t>.灾害防治及应急管理支出（类）应急管理事务（款）其他应急管理支出（项）:</w:t>
      </w:r>
      <w:r>
        <w:rPr>
          <w:rFonts w:hint="eastAsia" w:ascii="方正仿宋_GBK" w:hAnsi="方正仿宋_GBK" w:eastAsia="方正仿宋_GBK" w:cs="方正仿宋_GBK"/>
          <w:bCs/>
          <w:color w:val="000000"/>
          <w:sz w:val="32"/>
          <w:szCs w:val="32"/>
        </w:rPr>
        <w:t>支出决算为</w:t>
      </w:r>
      <w:r>
        <w:rPr>
          <w:rFonts w:hint="eastAsia" w:ascii="方正仿宋_GBK" w:hAnsi="方正仿宋_GBK" w:eastAsia="方正仿宋_GBK" w:cs="方正仿宋_GBK"/>
          <w:bCs/>
          <w:color w:val="000000"/>
          <w:sz w:val="32"/>
          <w:szCs w:val="32"/>
          <w:lang w:val="en-US" w:eastAsia="zh-CN"/>
        </w:rPr>
        <w:t>2044.86</w:t>
      </w:r>
      <w:r>
        <w:rPr>
          <w:rFonts w:hint="eastAsia" w:ascii="方正仿宋_GBK" w:hAnsi="方正仿宋_GBK" w:eastAsia="方正仿宋_GBK" w:cs="方正仿宋_GBK"/>
          <w:bCs/>
          <w:color w:val="000000"/>
          <w:sz w:val="32"/>
          <w:szCs w:val="32"/>
        </w:rPr>
        <w:t>万元，完成预算</w:t>
      </w:r>
      <w:r>
        <w:rPr>
          <w:rFonts w:hint="eastAsia" w:ascii="方正仿宋_GBK" w:hAnsi="方正仿宋_GBK" w:eastAsia="方正仿宋_GBK" w:cs="方正仿宋_GBK"/>
          <w:bCs/>
          <w:color w:val="000000"/>
          <w:sz w:val="32"/>
          <w:szCs w:val="32"/>
          <w:lang w:val="en-US" w:eastAsia="zh-CN"/>
        </w:rPr>
        <w:t>84.58</w:t>
      </w:r>
      <w:r>
        <w:rPr>
          <w:rFonts w:hint="eastAsia" w:ascii="方正仿宋_GBK" w:hAnsi="方正仿宋_GBK" w:eastAsia="方正仿宋_GBK" w:cs="方正仿宋_GBK"/>
          <w:bCs/>
          <w:color w:val="000000"/>
          <w:sz w:val="32"/>
          <w:szCs w:val="32"/>
        </w:rPr>
        <w:t>%。决算数小于预算数的主要原因</w:t>
      </w:r>
      <w:r>
        <w:rPr>
          <w:rFonts w:hint="eastAsia" w:ascii="方正仿宋_GBK" w:hAnsi="方正仿宋_GBK" w:eastAsia="方正仿宋_GBK" w:cs="方正仿宋_GBK"/>
          <w:bCs/>
          <w:color w:val="000000"/>
          <w:sz w:val="32"/>
          <w:szCs w:val="32"/>
          <w:lang w:eastAsia="zh-CN"/>
        </w:rPr>
        <w:t>：</w:t>
      </w:r>
      <w:r>
        <w:rPr>
          <w:rFonts w:hint="eastAsia" w:ascii="方正仿宋_GBK" w:hAnsi="方正仿宋_GBK" w:eastAsia="方正仿宋_GBK" w:cs="方正仿宋_GBK"/>
          <w:bCs/>
          <w:color w:val="000000"/>
          <w:sz w:val="32"/>
          <w:szCs w:val="32"/>
          <w:lang w:val="en-US" w:eastAsia="zh-CN"/>
        </w:rPr>
        <w:t>一是部分</w:t>
      </w:r>
      <w:r>
        <w:rPr>
          <w:rFonts w:hint="eastAsia" w:ascii="方正仿宋_GBK" w:hAnsi="方正仿宋_GBK" w:eastAsia="方正仿宋_GBK" w:cs="方正仿宋_GBK"/>
          <w:bCs/>
          <w:color w:val="000000"/>
          <w:sz w:val="32"/>
          <w:szCs w:val="32"/>
        </w:rPr>
        <w:t>指标下达</w:t>
      </w:r>
      <w:r>
        <w:rPr>
          <w:rFonts w:hint="eastAsia" w:ascii="方正仿宋_GBK" w:hAnsi="方正仿宋_GBK" w:eastAsia="方正仿宋_GBK" w:cs="方正仿宋_GBK"/>
          <w:bCs/>
          <w:color w:val="000000"/>
          <w:sz w:val="32"/>
          <w:szCs w:val="32"/>
          <w:lang w:val="en-US" w:eastAsia="zh-CN"/>
        </w:rPr>
        <w:t>较晚</w:t>
      </w:r>
      <w:r>
        <w:rPr>
          <w:rFonts w:hint="eastAsia" w:ascii="方正仿宋_GBK" w:hAnsi="方正仿宋_GBK" w:eastAsia="方正仿宋_GBK" w:cs="方正仿宋_GBK"/>
          <w:bCs/>
          <w:color w:val="000000"/>
          <w:sz w:val="32"/>
          <w:szCs w:val="32"/>
        </w:rPr>
        <w:t>，无法完成支付</w:t>
      </w:r>
      <w:r>
        <w:rPr>
          <w:rFonts w:hint="eastAsia" w:ascii="方正仿宋_GBK" w:hAnsi="方正仿宋_GBK" w:eastAsia="方正仿宋_GBK" w:cs="方正仿宋_GBK"/>
          <w:bCs/>
          <w:color w:val="000000"/>
          <w:sz w:val="32"/>
          <w:szCs w:val="32"/>
          <w:lang w:eastAsia="zh-CN"/>
        </w:rPr>
        <w:t>；</w:t>
      </w:r>
      <w:r>
        <w:rPr>
          <w:rFonts w:hint="eastAsia" w:ascii="方正仿宋_GBK" w:hAnsi="方正仿宋_GBK" w:eastAsia="方正仿宋_GBK" w:cs="方正仿宋_GBK"/>
          <w:bCs/>
          <w:color w:val="000000"/>
          <w:sz w:val="32"/>
          <w:szCs w:val="32"/>
          <w:lang w:val="en-US" w:eastAsia="zh-CN"/>
        </w:rPr>
        <w:t>二是部分项目推进遇到困难，项目进行缓慢。</w:t>
      </w:r>
    </w:p>
    <w:p>
      <w:pPr>
        <w:keepNext w:val="0"/>
        <w:keepLines w:val="0"/>
        <w:pageBreakBefore w:val="0"/>
        <w:widowControl w:val="0"/>
        <w:kinsoku/>
        <w:wordWrap/>
        <w:overflowPunct/>
        <w:topLinePunct w:val="0"/>
        <w:bidi w:val="0"/>
        <w:spacing w:line="600" w:lineRule="exact"/>
        <w:ind w:firstLine="643" w:firstLineChars="200"/>
        <w:rPr>
          <w:rFonts w:hint="eastAsia" w:ascii="方正仿宋_GBK" w:hAnsi="方正仿宋_GBK" w:eastAsia="方正仿宋_GBK" w:cs="方正仿宋_GBK"/>
          <w:bCs/>
          <w:color w:val="000000"/>
          <w:sz w:val="32"/>
          <w:szCs w:val="32"/>
          <w:lang w:val="en-US" w:eastAsia="zh-CN"/>
        </w:rPr>
      </w:pPr>
      <w:r>
        <w:rPr>
          <w:rFonts w:hint="eastAsia" w:ascii="方正仿宋_GBK" w:hAnsi="方正仿宋_GBK" w:eastAsia="方正仿宋_GBK" w:cs="方正仿宋_GBK"/>
          <w:b/>
          <w:bCs w:val="0"/>
          <w:color w:val="000000"/>
          <w:sz w:val="32"/>
          <w:szCs w:val="32"/>
          <w:lang w:val="en-US" w:eastAsia="zh-CN"/>
        </w:rPr>
        <w:t>12.</w:t>
      </w:r>
      <w:r>
        <w:rPr>
          <w:rStyle w:val="16"/>
          <w:rFonts w:hint="eastAsia" w:ascii="方正仿宋_GBK" w:hAnsi="方正仿宋_GBK" w:eastAsia="方正仿宋_GBK" w:cs="方正仿宋_GBK"/>
          <w:bCs/>
          <w:color w:val="000000"/>
          <w:sz w:val="32"/>
          <w:szCs w:val="32"/>
        </w:rPr>
        <w:t>灾害防治及应急管理支出（类）</w:t>
      </w:r>
      <w:r>
        <w:rPr>
          <w:rStyle w:val="16"/>
          <w:rFonts w:hint="eastAsia" w:ascii="方正仿宋_GBK" w:hAnsi="方正仿宋_GBK" w:eastAsia="方正仿宋_GBK" w:cs="方正仿宋_GBK"/>
          <w:bCs/>
          <w:color w:val="000000"/>
          <w:sz w:val="32"/>
          <w:szCs w:val="32"/>
          <w:lang w:eastAsia="zh-CN"/>
        </w:rPr>
        <w:t>矿山安全</w:t>
      </w:r>
      <w:r>
        <w:rPr>
          <w:rStyle w:val="16"/>
          <w:rFonts w:hint="eastAsia" w:ascii="方正仿宋_GBK" w:hAnsi="方正仿宋_GBK" w:eastAsia="方正仿宋_GBK" w:cs="方正仿宋_GBK"/>
          <w:bCs/>
          <w:color w:val="000000"/>
          <w:sz w:val="32"/>
          <w:szCs w:val="32"/>
        </w:rPr>
        <w:t>（款）</w:t>
      </w:r>
      <w:r>
        <w:rPr>
          <w:rStyle w:val="16"/>
          <w:rFonts w:hint="eastAsia" w:ascii="方正仿宋_GBK" w:hAnsi="方正仿宋_GBK" w:eastAsia="方正仿宋_GBK" w:cs="方正仿宋_GBK"/>
          <w:bCs/>
          <w:color w:val="000000"/>
          <w:sz w:val="32"/>
          <w:szCs w:val="32"/>
          <w:lang w:eastAsia="zh-CN"/>
        </w:rPr>
        <w:t>行政运行</w:t>
      </w:r>
      <w:r>
        <w:rPr>
          <w:rStyle w:val="16"/>
          <w:rFonts w:hint="eastAsia" w:ascii="方正仿宋_GBK" w:hAnsi="方正仿宋_GBK" w:eastAsia="方正仿宋_GBK" w:cs="方正仿宋_GBK"/>
          <w:bCs/>
          <w:color w:val="000000"/>
          <w:sz w:val="32"/>
          <w:szCs w:val="32"/>
        </w:rPr>
        <w:t>（项）:</w:t>
      </w:r>
      <w:r>
        <w:rPr>
          <w:rStyle w:val="16"/>
          <w:rFonts w:hint="eastAsia" w:ascii="方正仿宋_GBK" w:hAnsi="方正仿宋_GBK" w:eastAsia="方正仿宋_GBK" w:cs="方正仿宋_GBK"/>
          <w:b w:val="0"/>
          <w:bCs/>
          <w:color w:val="000000"/>
          <w:sz w:val="32"/>
          <w:szCs w:val="32"/>
        </w:rPr>
        <w:t>支出决算为</w:t>
      </w:r>
      <w:r>
        <w:rPr>
          <w:rStyle w:val="16"/>
          <w:rFonts w:hint="eastAsia" w:ascii="方正仿宋_GBK" w:hAnsi="方正仿宋_GBK" w:eastAsia="方正仿宋_GBK" w:cs="方正仿宋_GBK"/>
          <w:b w:val="0"/>
          <w:bCs/>
          <w:color w:val="000000"/>
          <w:sz w:val="32"/>
          <w:szCs w:val="32"/>
          <w:lang w:val="en-US" w:eastAsia="zh-CN"/>
        </w:rPr>
        <w:t>28.27</w:t>
      </w:r>
      <w:r>
        <w:rPr>
          <w:rStyle w:val="16"/>
          <w:rFonts w:hint="eastAsia" w:ascii="方正仿宋_GBK" w:hAnsi="方正仿宋_GBK" w:eastAsia="方正仿宋_GBK" w:cs="方正仿宋_GBK"/>
          <w:b w:val="0"/>
          <w:bCs/>
          <w:color w:val="000000"/>
          <w:sz w:val="32"/>
          <w:szCs w:val="32"/>
        </w:rPr>
        <w:t>万元，完成预算100%，决算数与预算数持平。</w:t>
      </w:r>
    </w:p>
    <w:p>
      <w:pPr>
        <w:keepNext w:val="0"/>
        <w:keepLines w:val="0"/>
        <w:pageBreakBefore w:val="0"/>
        <w:widowControl w:val="0"/>
        <w:kinsoku/>
        <w:wordWrap/>
        <w:overflowPunct/>
        <w:topLinePunct w:val="0"/>
        <w:bidi w:val="0"/>
        <w:spacing w:beforeLines="0" w:afterLines="0" w:line="600" w:lineRule="exact"/>
        <w:ind w:firstLine="643"/>
        <w:jc w:val="both"/>
        <w:rPr>
          <w:rFonts w:hint="eastAsia" w:ascii="方正仿宋_GBK" w:hAnsi="方正仿宋_GBK" w:eastAsia="方正仿宋_GBK" w:cs="方正仿宋_GBK"/>
          <w:b/>
          <w:color w:val="auto"/>
          <w:kern w:val="2"/>
          <w:sz w:val="32"/>
          <w:szCs w:val="24"/>
          <w:lang w:val="en-US"/>
        </w:rPr>
      </w:pPr>
      <w:r>
        <w:rPr>
          <w:rFonts w:hint="eastAsia" w:ascii="方正仿宋_GBK" w:hAnsi="方正仿宋_GBK" w:eastAsia="方正仿宋_GBK" w:cs="方正仿宋_GBK"/>
          <w:b/>
          <w:bCs w:val="0"/>
          <w:color w:val="000000"/>
          <w:sz w:val="32"/>
          <w:szCs w:val="32"/>
          <w:lang w:val="en-US" w:eastAsia="zh-CN"/>
        </w:rPr>
        <w:t>13</w:t>
      </w:r>
      <w:r>
        <w:rPr>
          <w:rFonts w:hint="eastAsia" w:ascii="方正仿宋_GBK" w:hAnsi="方正仿宋_GBK" w:eastAsia="方正仿宋_GBK" w:cs="方正仿宋_GBK"/>
          <w:b/>
          <w:bCs w:val="0"/>
          <w:color w:val="000000"/>
          <w:sz w:val="32"/>
          <w:szCs w:val="32"/>
        </w:rPr>
        <w:t>.灾害防治及应急管理支出（类）</w:t>
      </w:r>
      <w:r>
        <w:rPr>
          <w:rFonts w:hint="eastAsia" w:ascii="方正仿宋_GBK" w:hAnsi="方正仿宋_GBK" w:eastAsia="方正仿宋_GBK" w:cs="方正仿宋_GBK"/>
          <w:b/>
          <w:bCs w:val="0"/>
          <w:color w:val="000000"/>
          <w:sz w:val="32"/>
          <w:szCs w:val="32"/>
          <w:lang w:val="en-US" w:eastAsia="zh-CN"/>
        </w:rPr>
        <w:t>自然灾害救灾及恢复重建支出</w:t>
      </w:r>
      <w:r>
        <w:rPr>
          <w:rFonts w:hint="eastAsia" w:ascii="方正仿宋_GBK" w:hAnsi="方正仿宋_GBK" w:eastAsia="方正仿宋_GBK" w:cs="方正仿宋_GBK"/>
          <w:b/>
          <w:bCs w:val="0"/>
          <w:color w:val="000000"/>
          <w:sz w:val="32"/>
          <w:szCs w:val="32"/>
        </w:rPr>
        <w:t>（款）</w:t>
      </w:r>
      <w:r>
        <w:rPr>
          <w:rFonts w:hint="eastAsia" w:ascii="方正仿宋_GBK" w:hAnsi="方正仿宋_GBK" w:eastAsia="方正仿宋_GBK" w:cs="方正仿宋_GBK"/>
          <w:b/>
          <w:bCs w:val="0"/>
          <w:color w:val="000000"/>
          <w:sz w:val="32"/>
          <w:szCs w:val="32"/>
          <w:lang w:val="en-US" w:eastAsia="zh-CN"/>
        </w:rPr>
        <w:t>自然灾害救灾补助</w:t>
      </w:r>
      <w:r>
        <w:rPr>
          <w:rFonts w:hint="eastAsia" w:ascii="方正仿宋_GBK" w:hAnsi="方正仿宋_GBK" w:eastAsia="方正仿宋_GBK" w:cs="方正仿宋_GBK"/>
          <w:b/>
          <w:bCs w:val="0"/>
          <w:color w:val="000000"/>
          <w:sz w:val="32"/>
          <w:szCs w:val="32"/>
        </w:rPr>
        <w:t>（项）:</w:t>
      </w:r>
      <w:r>
        <w:rPr>
          <w:rFonts w:hint="eastAsia" w:ascii="方正仿宋_GBK" w:hAnsi="方正仿宋_GBK" w:eastAsia="方正仿宋_GBK" w:cs="方正仿宋_GBK"/>
          <w:bCs/>
          <w:color w:val="000000"/>
          <w:sz w:val="32"/>
          <w:szCs w:val="32"/>
        </w:rPr>
        <w:t>支出决算为</w:t>
      </w:r>
      <w:r>
        <w:rPr>
          <w:rFonts w:hint="eastAsia" w:ascii="方正仿宋_GBK" w:hAnsi="方正仿宋_GBK" w:eastAsia="方正仿宋_GBK" w:cs="方正仿宋_GBK"/>
          <w:bCs/>
          <w:color w:val="000000"/>
          <w:sz w:val="32"/>
          <w:szCs w:val="32"/>
          <w:lang w:val="en-US" w:eastAsia="zh-CN"/>
        </w:rPr>
        <w:t>53.39</w:t>
      </w:r>
      <w:r>
        <w:rPr>
          <w:rFonts w:hint="eastAsia" w:ascii="方正仿宋_GBK" w:hAnsi="方正仿宋_GBK" w:eastAsia="方正仿宋_GBK" w:cs="方正仿宋_GBK"/>
          <w:bCs/>
          <w:color w:val="000000"/>
          <w:sz w:val="32"/>
          <w:szCs w:val="32"/>
        </w:rPr>
        <w:t>万元，完成预算</w:t>
      </w:r>
      <w:r>
        <w:rPr>
          <w:rFonts w:hint="eastAsia" w:ascii="方正仿宋_GBK" w:hAnsi="方正仿宋_GBK" w:eastAsia="方正仿宋_GBK" w:cs="方正仿宋_GBK"/>
          <w:bCs/>
          <w:color w:val="000000"/>
          <w:sz w:val="32"/>
          <w:szCs w:val="32"/>
          <w:lang w:val="en-US" w:eastAsia="zh-CN"/>
        </w:rPr>
        <w:t>66.74</w:t>
      </w:r>
      <w:r>
        <w:rPr>
          <w:rFonts w:hint="eastAsia" w:ascii="方正仿宋_GBK" w:hAnsi="方正仿宋_GBK" w:eastAsia="方正仿宋_GBK" w:cs="方正仿宋_GBK"/>
          <w:bCs/>
          <w:color w:val="000000"/>
          <w:sz w:val="32"/>
          <w:szCs w:val="32"/>
        </w:rPr>
        <w:t>%。决算数小于预算数的主要原因是</w:t>
      </w:r>
      <w:r>
        <w:rPr>
          <w:rFonts w:hint="eastAsia" w:ascii="方正仿宋_GBK" w:hAnsi="方正仿宋_GBK" w:eastAsia="方正仿宋_GBK" w:cs="方正仿宋_GBK"/>
          <w:bCs/>
          <w:color w:val="000000"/>
          <w:sz w:val="32"/>
          <w:szCs w:val="32"/>
          <w:lang w:val="en-US" w:eastAsia="zh-CN"/>
        </w:rPr>
        <w:t>低价中标，剩余款项仍保持原用途进行采购，后续支付暂未实施完成</w:t>
      </w:r>
      <w:r>
        <w:rPr>
          <w:rFonts w:hint="eastAsia" w:ascii="方正仿宋_GBK" w:hAnsi="方正仿宋_GBK" w:eastAsia="方正仿宋_GBK" w:cs="方正仿宋_GBK"/>
          <w:bCs/>
          <w:color w:val="000000"/>
          <w:sz w:val="32"/>
          <w:szCs w:val="32"/>
        </w:rPr>
        <w:t>。</w:t>
      </w:r>
    </w:p>
    <w:p>
      <w:pPr>
        <w:keepNext w:val="0"/>
        <w:keepLines w:val="0"/>
        <w:pageBreakBefore w:val="0"/>
        <w:widowControl w:val="0"/>
        <w:tabs>
          <w:tab w:val="right" w:pos="8306"/>
        </w:tabs>
        <w:kinsoku/>
        <w:wordWrap/>
        <w:overflowPunct/>
        <w:topLinePunct w:val="0"/>
        <w:bidi w:val="0"/>
        <w:spacing w:beforeLines="0" w:afterLines="0" w:line="576" w:lineRule="exact"/>
        <w:ind w:firstLine="640"/>
        <w:jc w:val="both"/>
        <w:outlineLvl w:val="1"/>
        <w:rPr>
          <w:rFonts w:hint="eastAsia" w:ascii="方正仿宋_GBK" w:hAnsi="方正仿宋_GBK" w:eastAsia="方正仿宋_GBK" w:cs="方正仿宋_GBK"/>
          <w:b/>
          <w:color w:val="auto"/>
          <w:kern w:val="2"/>
          <w:sz w:val="32"/>
          <w:szCs w:val="24"/>
          <w:lang w:val="zh-CN"/>
        </w:rPr>
      </w:pPr>
      <w:bookmarkStart w:id="19" w:name="_Toc30564"/>
      <w:r>
        <w:rPr>
          <w:rStyle w:val="22"/>
          <w:rFonts w:hint="eastAsia"/>
          <w:lang w:val="zh-CN"/>
        </w:rPr>
        <w:t>六、一般公共预算财政拨款基本支出决算情况说明</w:t>
      </w:r>
      <w:bookmarkEnd w:id="19"/>
      <w:r>
        <w:rPr>
          <w:rFonts w:hint="eastAsia" w:ascii="方正仿宋_GBK" w:hAnsi="方正仿宋_GBK" w:eastAsia="方正仿宋_GBK" w:cs="方正仿宋_GBK"/>
          <w:color w:val="auto"/>
          <w:kern w:val="2"/>
          <w:sz w:val="32"/>
          <w:szCs w:val="24"/>
          <w:lang w:val="zh-CN"/>
        </w:rPr>
        <w:tab/>
      </w:r>
    </w:p>
    <w:p>
      <w:pPr>
        <w:keepNext w:val="0"/>
        <w:keepLines w:val="0"/>
        <w:pageBreakBefore w:val="0"/>
        <w:widowControl w:val="0"/>
        <w:kinsoku/>
        <w:wordWrap/>
        <w:overflowPunct/>
        <w:topLinePunct w:val="0"/>
        <w:bidi w:val="0"/>
        <w:spacing w:beforeLines="0" w:afterLines="0" w:line="576" w:lineRule="exact"/>
        <w:ind w:firstLine="640"/>
        <w:jc w:val="both"/>
        <w:rPr>
          <w:rFonts w:hint="eastAsia" w:ascii="方正仿宋_GBK" w:hAnsi="方正仿宋_GBK" w:eastAsia="方正仿宋_GBK" w:cs="方正仿宋_GBK"/>
          <w:color w:val="000000"/>
          <w:kern w:val="2"/>
          <w:sz w:val="32"/>
          <w:szCs w:val="24"/>
          <w:lang w:val="zh-CN"/>
        </w:rPr>
      </w:pPr>
      <w:r>
        <w:rPr>
          <w:rFonts w:hint="eastAsia" w:ascii="方正仿宋_GBK" w:hAnsi="方正仿宋_GBK" w:eastAsia="方正仿宋_GBK" w:cs="方正仿宋_GBK"/>
          <w:color w:val="000000"/>
          <w:kern w:val="2"/>
          <w:sz w:val="32"/>
          <w:szCs w:val="24"/>
          <w:lang w:val="zh-CN"/>
        </w:rPr>
        <w:t>2022年一般公共预算财政拨款基本支出1194.82万元，其中：</w:t>
      </w:r>
    </w:p>
    <w:p>
      <w:pPr>
        <w:keepNext w:val="0"/>
        <w:keepLines w:val="0"/>
        <w:pageBreakBefore w:val="0"/>
        <w:widowControl w:val="0"/>
        <w:kinsoku/>
        <w:wordWrap/>
        <w:overflowPunct/>
        <w:topLinePunct w:val="0"/>
        <w:bidi w:val="0"/>
        <w:spacing w:beforeLines="0" w:afterLines="0" w:line="576" w:lineRule="exact"/>
        <w:ind w:firstLine="643"/>
        <w:jc w:val="both"/>
        <w:rPr>
          <w:rFonts w:hint="eastAsia" w:ascii="方正仿宋_GBK" w:hAnsi="方正仿宋_GBK" w:eastAsia="方正仿宋_GBK" w:cs="方正仿宋_GBK"/>
          <w:color w:val="000000"/>
          <w:kern w:val="2"/>
          <w:sz w:val="32"/>
          <w:szCs w:val="24"/>
          <w:lang w:val="zh-CN"/>
        </w:rPr>
      </w:pPr>
      <w:r>
        <w:rPr>
          <w:rFonts w:hint="eastAsia" w:ascii="方正仿宋_GBK" w:hAnsi="方正仿宋_GBK" w:eastAsia="方正仿宋_GBK" w:cs="方正仿宋_GBK"/>
          <w:b/>
          <w:color w:val="000000"/>
          <w:kern w:val="2"/>
          <w:sz w:val="32"/>
          <w:szCs w:val="24"/>
          <w:lang w:val="zh-CN"/>
        </w:rPr>
        <w:t>人员经费</w:t>
      </w:r>
      <w:r>
        <w:rPr>
          <w:rFonts w:hint="eastAsia" w:ascii="方正仿宋_GBK" w:hAnsi="方正仿宋_GBK" w:eastAsia="方正仿宋_GBK" w:cs="方正仿宋_GBK"/>
          <w:color w:val="000000"/>
          <w:kern w:val="2"/>
          <w:sz w:val="32"/>
          <w:szCs w:val="24"/>
          <w:lang w:val="zh-CN"/>
        </w:rPr>
        <w:t>874.37万元，主要包括：</w:t>
      </w:r>
      <w:r>
        <w:rPr>
          <w:rFonts w:hint="eastAsia" w:ascii="方正仿宋_GBK" w:hAnsi="方正仿宋_GBK" w:eastAsia="方正仿宋_GBK" w:cs="方正仿宋_GBK"/>
          <w:color w:val="auto"/>
          <w:kern w:val="2"/>
          <w:sz w:val="32"/>
          <w:szCs w:val="24"/>
          <w:lang w:val="en-US"/>
        </w:rPr>
        <w:t>基本工资、津贴补贴、奖金、机关事业单位基本养老保险缴费、职工基本医疗保险缴费、公务员医疗补助缴费、其他社会保障缴费、其他工资福利支出、生活补助、其他对个人和家庭的补助支出</w:t>
      </w:r>
      <w:r>
        <w:rPr>
          <w:rFonts w:hint="eastAsia" w:ascii="方正仿宋_GBK" w:hAnsi="方正仿宋_GBK" w:eastAsia="方正仿宋_GBK" w:cs="方正仿宋_GBK"/>
          <w:color w:val="auto"/>
          <w:kern w:val="2"/>
          <w:sz w:val="32"/>
          <w:szCs w:val="24"/>
          <w:lang w:val="en-US" w:eastAsia="zh-CN"/>
        </w:rPr>
        <w:t>等</w:t>
      </w:r>
      <w:r>
        <w:rPr>
          <w:rFonts w:hint="eastAsia" w:ascii="方正仿宋_GBK" w:hAnsi="方正仿宋_GBK" w:eastAsia="方正仿宋_GBK" w:cs="方正仿宋_GBK"/>
          <w:color w:val="000000"/>
          <w:kern w:val="2"/>
          <w:sz w:val="32"/>
          <w:szCs w:val="24"/>
          <w:lang w:val="zh-CN"/>
        </w:rPr>
        <w:t>。</w:t>
      </w:r>
    </w:p>
    <w:p>
      <w:pPr>
        <w:keepNext w:val="0"/>
        <w:keepLines w:val="0"/>
        <w:pageBreakBefore w:val="0"/>
        <w:widowControl w:val="0"/>
        <w:kinsoku/>
        <w:wordWrap/>
        <w:overflowPunct/>
        <w:topLinePunct w:val="0"/>
        <w:bidi w:val="0"/>
        <w:spacing w:beforeLines="0" w:afterLines="0" w:line="576" w:lineRule="exact"/>
        <w:ind w:firstLine="643"/>
        <w:jc w:val="both"/>
        <w:rPr>
          <w:rFonts w:hint="eastAsia" w:ascii="方正仿宋_GBK" w:hAnsi="方正仿宋_GBK" w:eastAsia="方正仿宋_GBK" w:cs="方正仿宋_GBK"/>
          <w:color w:val="000000"/>
          <w:kern w:val="2"/>
          <w:sz w:val="32"/>
          <w:szCs w:val="24"/>
          <w:lang w:val="zh-CN"/>
        </w:rPr>
      </w:pPr>
      <w:r>
        <w:rPr>
          <w:rFonts w:hint="eastAsia" w:ascii="方正仿宋_GBK" w:hAnsi="方正仿宋_GBK" w:eastAsia="方正仿宋_GBK" w:cs="方正仿宋_GBK"/>
          <w:b/>
          <w:color w:val="000000"/>
          <w:kern w:val="2"/>
          <w:sz w:val="32"/>
          <w:szCs w:val="24"/>
          <w:lang w:val="zh-CN"/>
        </w:rPr>
        <w:t>公用经费</w:t>
      </w:r>
      <w:r>
        <w:rPr>
          <w:rFonts w:hint="eastAsia" w:ascii="方正仿宋_GBK" w:hAnsi="方正仿宋_GBK" w:eastAsia="方正仿宋_GBK" w:cs="方正仿宋_GBK"/>
          <w:color w:val="000000"/>
          <w:kern w:val="2"/>
          <w:sz w:val="32"/>
          <w:szCs w:val="24"/>
          <w:lang w:val="zh-CN"/>
        </w:rPr>
        <w:t>320.45万元，主要包括：</w:t>
      </w:r>
      <w:r>
        <w:rPr>
          <w:rFonts w:hint="eastAsia" w:ascii="方正仿宋_GBK" w:hAnsi="方正仿宋_GBK" w:eastAsia="方正仿宋_GBK" w:cs="方正仿宋_GBK"/>
          <w:color w:val="auto"/>
          <w:kern w:val="2"/>
          <w:sz w:val="32"/>
          <w:szCs w:val="24"/>
          <w:lang w:val="en-US"/>
        </w:rPr>
        <w:t>办公费、印刷费、电费、邮电费、物业管理费、差旅费、维修（护）费、租赁费、会议费、培训费、公务接待费、劳务费、工会经费、福利费、公务用车运行维护费、其他交通费</w:t>
      </w:r>
      <w:r>
        <w:rPr>
          <w:rFonts w:hint="eastAsia" w:ascii="方正仿宋_GBK" w:hAnsi="方正仿宋_GBK" w:eastAsia="方正仿宋_GBK" w:cs="方正仿宋_GBK"/>
          <w:color w:val="auto"/>
          <w:kern w:val="2"/>
          <w:sz w:val="32"/>
          <w:szCs w:val="24"/>
          <w:lang w:val="en-US" w:eastAsia="zh-CN"/>
        </w:rPr>
        <w:t>用</w:t>
      </w:r>
      <w:r>
        <w:rPr>
          <w:rFonts w:hint="eastAsia" w:ascii="方正仿宋_GBK" w:hAnsi="方正仿宋_GBK" w:eastAsia="方正仿宋_GBK" w:cs="方正仿宋_GBK"/>
          <w:color w:val="auto"/>
          <w:kern w:val="2"/>
          <w:sz w:val="32"/>
          <w:szCs w:val="24"/>
          <w:lang w:val="en-US"/>
        </w:rPr>
        <w:t>、其他商品和服务支出等</w:t>
      </w:r>
      <w:r>
        <w:rPr>
          <w:rFonts w:hint="eastAsia" w:ascii="方正仿宋_GBK" w:hAnsi="方正仿宋_GBK" w:eastAsia="方正仿宋_GBK" w:cs="方正仿宋_GBK"/>
          <w:color w:val="000000"/>
          <w:kern w:val="2"/>
          <w:sz w:val="32"/>
          <w:szCs w:val="24"/>
          <w:lang w:val="zh-CN"/>
        </w:rPr>
        <w:t>。</w:t>
      </w:r>
    </w:p>
    <w:p>
      <w:pPr>
        <w:keepNext w:val="0"/>
        <w:keepLines w:val="0"/>
        <w:pageBreakBefore w:val="0"/>
        <w:widowControl w:val="0"/>
        <w:tabs>
          <w:tab w:val="right" w:pos="8306"/>
        </w:tabs>
        <w:kinsoku/>
        <w:wordWrap/>
        <w:overflowPunct/>
        <w:topLinePunct w:val="0"/>
        <w:bidi w:val="0"/>
        <w:spacing w:beforeLines="0" w:afterLines="0" w:line="576" w:lineRule="exact"/>
        <w:ind w:firstLine="640"/>
        <w:jc w:val="both"/>
        <w:outlineLvl w:val="1"/>
        <w:rPr>
          <w:rStyle w:val="22"/>
          <w:rFonts w:hint="eastAsia"/>
          <w:lang w:val="zh-CN"/>
        </w:rPr>
      </w:pPr>
      <w:bookmarkStart w:id="20" w:name="_Toc24663"/>
      <w:r>
        <w:rPr>
          <w:rStyle w:val="22"/>
          <w:rFonts w:hint="eastAsia"/>
          <w:lang w:val="en-US" w:eastAsia="zh-CN"/>
        </w:rPr>
        <w:t>七、</w:t>
      </w:r>
      <w:r>
        <w:rPr>
          <w:rStyle w:val="22"/>
          <w:rFonts w:hint="eastAsia"/>
          <w:lang w:val="zh-CN"/>
        </w:rPr>
        <w:t>一般公共预算财政拨款项目支出决算情况说明</w:t>
      </w:r>
      <w:bookmarkEnd w:id="20"/>
    </w:p>
    <w:p>
      <w:pPr>
        <w:keepNext w:val="0"/>
        <w:keepLines w:val="0"/>
        <w:pageBreakBefore w:val="0"/>
        <w:widowControl w:val="0"/>
        <w:kinsoku/>
        <w:wordWrap/>
        <w:overflowPunct/>
        <w:topLinePunct w:val="0"/>
        <w:bidi w:val="0"/>
        <w:spacing w:line="590" w:lineRule="exact"/>
        <w:ind w:firstLine="645"/>
        <w:rPr>
          <w:rFonts w:hint="eastAsia"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2022年一般公共预算财政拨款项目支出</w:t>
      </w:r>
      <w:r>
        <w:rPr>
          <w:rFonts w:hint="eastAsia" w:ascii="方正仿宋_GBK" w:hAnsi="方正仿宋_GBK" w:eastAsia="方正仿宋_GBK" w:cs="方正仿宋_GBK"/>
          <w:color w:val="000000"/>
          <w:sz w:val="33"/>
          <w:szCs w:val="33"/>
          <w:lang w:val="en-US" w:eastAsia="zh-CN"/>
        </w:rPr>
        <w:t>2672.72</w:t>
      </w:r>
      <w:r>
        <w:rPr>
          <w:rFonts w:hint="eastAsia" w:ascii="方正仿宋_GBK" w:hAnsi="方正仿宋_GBK" w:eastAsia="方正仿宋_GBK" w:cs="方正仿宋_GBK"/>
          <w:color w:val="000000"/>
          <w:sz w:val="33"/>
          <w:szCs w:val="33"/>
        </w:rPr>
        <w:t>万元，其中：</w:t>
      </w:r>
    </w:p>
    <w:p>
      <w:pPr>
        <w:pStyle w:val="5"/>
        <w:keepNext w:val="0"/>
        <w:keepLines w:val="0"/>
        <w:pageBreakBefore w:val="0"/>
        <w:widowControl w:val="0"/>
        <w:kinsoku/>
        <w:wordWrap/>
        <w:overflowPunct/>
        <w:topLinePunct w:val="0"/>
        <w:bidi w:val="0"/>
        <w:spacing w:line="590" w:lineRule="exact"/>
        <w:ind w:firstLine="66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“安全生产综合监管平台运行维护专项经费”支出15万元，主要用于：邮电费、维修</w:t>
      </w:r>
      <w:r>
        <w:rPr>
          <w:rFonts w:hint="eastAsia" w:ascii="方正仿宋_GBK" w:hAnsi="方正仿宋_GBK" w:eastAsia="方正仿宋_GBK" w:cs="方正仿宋_GBK"/>
          <w:color w:val="auto"/>
          <w:kern w:val="2"/>
          <w:sz w:val="32"/>
          <w:szCs w:val="24"/>
          <w:lang w:val="en-US"/>
        </w:rPr>
        <w:t>（护）</w:t>
      </w:r>
      <w:r>
        <w:rPr>
          <w:rFonts w:hint="eastAsia" w:ascii="方正仿宋_GBK" w:hAnsi="方正仿宋_GBK" w:eastAsia="方正仿宋_GBK" w:cs="方正仿宋_GBK"/>
          <w:sz w:val="33"/>
          <w:szCs w:val="33"/>
        </w:rPr>
        <w:t>费。</w:t>
      </w:r>
    </w:p>
    <w:p>
      <w:pPr>
        <w:pStyle w:val="5"/>
        <w:keepNext w:val="0"/>
        <w:keepLines w:val="0"/>
        <w:pageBreakBefore w:val="0"/>
        <w:widowControl w:val="0"/>
        <w:kinsoku/>
        <w:wordWrap/>
        <w:overflowPunct/>
        <w:topLinePunct w:val="0"/>
        <w:bidi w:val="0"/>
        <w:spacing w:line="590" w:lineRule="exact"/>
        <w:ind w:firstLine="660"/>
        <w:rPr>
          <w:rFonts w:hint="eastAsia"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w:t>
      </w:r>
      <w:r>
        <w:rPr>
          <w:rFonts w:hint="eastAsia" w:ascii="方正仿宋_GBK" w:hAnsi="方正仿宋_GBK" w:eastAsia="方正仿宋_GBK" w:cs="方正仿宋_GBK"/>
          <w:color w:val="000000"/>
          <w:sz w:val="33"/>
          <w:szCs w:val="33"/>
          <w:lang w:val="en-US" w:eastAsia="zh-CN"/>
        </w:rPr>
        <w:t>风险普查</w:t>
      </w:r>
      <w:r>
        <w:rPr>
          <w:rFonts w:hint="eastAsia" w:ascii="方正仿宋_GBK" w:hAnsi="方正仿宋_GBK" w:eastAsia="方正仿宋_GBK" w:cs="方正仿宋_GBK"/>
          <w:color w:val="000000"/>
          <w:sz w:val="33"/>
          <w:szCs w:val="33"/>
        </w:rPr>
        <w:t>”支出</w:t>
      </w:r>
      <w:r>
        <w:rPr>
          <w:rFonts w:hint="eastAsia" w:ascii="方正仿宋_GBK" w:hAnsi="方正仿宋_GBK" w:eastAsia="方正仿宋_GBK" w:cs="方正仿宋_GBK"/>
          <w:color w:val="000000"/>
          <w:sz w:val="33"/>
          <w:szCs w:val="33"/>
          <w:lang w:val="en-US" w:eastAsia="zh-CN"/>
        </w:rPr>
        <w:t>4.89</w:t>
      </w:r>
      <w:r>
        <w:rPr>
          <w:rFonts w:hint="eastAsia" w:ascii="方正仿宋_GBK" w:hAnsi="方正仿宋_GBK" w:eastAsia="方正仿宋_GBK" w:cs="方正仿宋_GBK"/>
          <w:color w:val="000000"/>
          <w:sz w:val="33"/>
          <w:szCs w:val="33"/>
        </w:rPr>
        <w:t>万元，主要用于：办公费</w:t>
      </w:r>
      <w:r>
        <w:rPr>
          <w:rFonts w:hint="eastAsia" w:ascii="方正仿宋_GBK" w:hAnsi="方正仿宋_GBK" w:eastAsia="方正仿宋_GBK" w:cs="方正仿宋_GBK"/>
          <w:color w:val="000000"/>
          <w:sz w:val="33"/>
          <w:szCs w:val="33"/>
          <w:lang w:eastAsia="zh-CN"/>
        </w:rPr>
        <w:t>、</w:t>
      </w:r>
      <w:r>
        <w:rPr>
          <w:rFonts w:hint="eastAsia" w:ascii="方正仿宋_GBK" w:hAnsi="方正仿宋_GBK" w:eastAsia="方正仿宋_GBK" w:cs="方正仿宋_GBK"/>
          <w:color w:val="000000"/>
          <w:sz w:val="33"/>
          <w:szCs w:val="33"/>
          <w:lang w:val="en-US" w:eastAsia="zh-CN"/>
        </w:rPr>
        <w:t>差旅费</w:t>
      </w:r>
      <w:r>
        <w:rPr>
          <w:rFonts w:hint="eastAsia" w:ascii="方正仿宋_GBK" w:hAnsi="方正仿宋_GBK" w:eastAsia="方正仿宋_GBK" w:cs="方正仿宋_GBK"/>
          <w:color w:val="000000"/>
          <w:sz w:val="33"/>
          <w:szCs w:val="33"/>
        </w:rPr>
        <w:t>。</w:t>
      </w:r>
    </w:p>
    <w:p>
      <w:pPr>
        <w:pStyle w:val="5"/>
        <w:keepNext w:val="0"/>
        <w:keepLines w:val="0"/>
        <w:pageBreakBefore w:val="0"/>
        <w:widowControl w:val="0"/>
        <w:kinsoku/>
        <w:wordWrap/>
        <w:overflowPunct/>
        <w:topLinePunct w:val="0"/>
        <w:bidi w:val="0"/>
        <w:spacing w:line="590" w:lineRule="exact"/>
        <w:ind w:firstLine="660"/>
        <w:rPr>
          <w:rFonts w:hint="eastAsia"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“执法专项行动”支出</w:t>
      </w:r>
      <w:r>
        <w:rPr>
          <w:rFonts w:hint="eastAsia" w:ascii="方正仿宋_GBK" w:hAnsi="方正仿宋_GBK" w:eastAsia="方正仿宋_GBK" w:cs="方正仿宋_GBK"/>
          <w:color w:val="000000"/>
          <w:sz w:val="33"/>
          <w:szCs w:val="33"/>
          <w:lang w:val="en-US" w:eastAsia="zh-CN"/>
        </w:rPr>
        <w:t>69.98</w:t>
      </w:r>
      <w:r>
        <w:rPr>
          <w:rFonts w:hint="eastAsia" w:ascii="方正仿宋_GBK" w:hAnsi="方正仿宋_GBK" w:eastAsia="方正仿宋_GBK" w:cs="方正仿宋_GBK"/>
          <w:color w:val="000000"/>
          <w:sz w:val="33"/>
          <w:szCs w:val="33"/>
        </w:rPr>
        <w:t>万元，主要用于：办公费、</w:t>
      </w:r>
      <w:r>
        <w:rPr>
          <w:rFonts w:hint="eastAsia" w:ascii="方正仿宋_GBK" w:hAnsi="方正仿宋_GBK" w:eastAsia="方正仿宋_GBK" w:cs="方正仿宋_GBK"/>
          <w:color w:val="000000"/>
          <w:sz w:val="33"/>
          <w:szCs w:val="33"/>
          <w:lang w:val="en-US" w:eastAsia="zh-CN"/>
        </w:rPr>
        <w:t>差旅费</w:t>
      </w:r>
      <w:r>
        <w:rPr>
          <w:rFonts w:hint="eastAsia" w:ascii="方正仿宋_GBK" w:hAnsi="方正仿宋_GBK" w:eastAsia="方正仿宋_GBK" w:cs="方正仿宋_GBK"/>
          <w:color w:val="000000"/>
          <w:sz w:val="33"/>
          <w:szCs w:val="33"/>
        </w:rPr>
        <w:t>、其他交通费用、其他商品和服务支出。</w:t>
      </w:r>
    </w:p>
    <w:p>
      <w:pPr>
        <w:pStyle w:val="5"/>
        <w:keepNext w:val="0"/>
        <w:keepLines w:val="0"/>
        <w:pageBreakBefore w:val="0"/>
        <w:widowControl w:val="0"/>
        <w:kinsoku/>
        <w:wordWrap/>
        <w:overflowPunct/>
        <w:topLinePunct w:val="0"/>
        <w:bidi w:val="0"/>
        <w:spacing w:line="590" w:lineRule="exact"/>
        <w:ind w:firstLine="660"/>
        <w:rPr>
          <w:rFonts w:hint="eastAsia"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“灾害信息员培训”</w:t>
      </w:r>
      <w:r>
        <w:rPr>
          <w:rFonts w:hint="eastAsia" w:ascii="方正仿宋_GBK" w:hAnsi="方正仿宋_GBK" w:eastAsia="方正仿宋_GBK" w:cs="方正仿宋_GBK"/>
          <w:color w:val="000000"/>
          <w:sz w:val="33"/>
          <w:szCs w:val="33"/>
          <w:lang w:val="en-US" w:eastAsia="zh-CN"/>
        </w:rPr>
        <w:t>支出4.25</w:t>
      </w:r>
      <w:r>
        <w:rPr>
          <w:rFonts w:hint="eastAsia" w:ascii="方正仿宋_GBK" w:hAnsi="方正仿宋_GBK" w:eastAsia="方正仿宋_GBK" w:cs="方正仿宋_GBK"/>
          <w:color w:val="000000"/>
          <w:sz w:val="33"/>
          <w:szCs w:val="33"/>
        </w:rPr>
        <w:t>万元，主要用于：</w:t>
      </w:r>
      <w:r>
        <w:rPr>
          <w:rFonts w:hint="eastAsia" w:ascii="方正仿宋_GBK" w:hAnsi="方正仿宋_GBK" w:eastAsia="方正仿宋_GBK" w:cs="方正仿宋_GBK"/>
          <w:color w:val="000000"/>
          <w:sz w:val="33"/>
          <w:szCs w:val="33"/>
          <w:lang w:val="en-US" w:eastAsia="zh-CN"/>
        </w:rPr>
        <w:t>印刷费、差旅费、培训费、</w:t>
      </w:r>
      <w:r>
        <w:rPr>
          <w:rFonts w:hint="eastAsia" w:ascii="方正仿宋_GBK" w:hAnsi="方正仿宋_GBK" w:eastAsia="方正仿宋_GBK" w:cs="方正仿宋_GBK"/>
          <w:color w:val="000000"/>
          <w:sz w:val="33"/>
          <w:szCs w:val="33"/>
        </w:rPr>
        <w:t>其他商品和服务支出。</w:t>
      </w:r>
    </w:p>
    <w:p>
      <w:pPr>
        <w:pStyle w:val="5"/>
        <w:keepNext w:val="0"/>
        <w:keepLines w:val="0"/>
        <w:pageBreakBefore w:val="0"/>
        <w:widowControl w:val="0"/>
        <w:kinsoku/>
        <w:wordWrap/>
        <w:overflowPunct/>
        <w:topLinePunct w:val="0"/>
        <w:bidi w:val="0"/>
        <w:spacing w:line="590" w:lineRule="exact"/>
        <w:ind w:firstLine="660"/>
        <w:rPr>
          <w:rFonts w:hint="eastAsia"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“森林防灭火专项经费”支出</w:t>
      </w:r>
      <w:r>
        <w:rPr>
          <w:rFonts w:hint="eastAsia" w:ascii="方正仿宋_GBK" w:hAnsi="方正仿宋_GBK" w:eastAsia="方正仿宋_GBK" w:cs="方正仿宋_GBK"/>
          <w:color w:val="000000"/>
          <w:sz w:val="33"/>
          <w:szCs w:val="33"/>
          <w:lang w:val="en-US" w:eastAsia="zh-CN"/>
        </w:rPr>
        <w:t>9.34</w:t>
      </w:r>
      <w:r>
        <w:rPr>
          <w:rFonts w:hint="eastAsia" w:ascii="方正仿宋_GBK" w:hAnsi="方正仿宋_GBK" w:eastAsia="方正仿宋_GBK" w:cs="方正仿宋_GBK"/>
          <w:color w:val="000000"/>
          <w:sz w:val="33"/>
          <w:szCs w:val="33"/>
        </w:rPr>
        <w:t>万元，主要用于：</w:t>
      </w:r>
      <w:r>
        <w:rPr>
          <w:rFonts w:hint="eastAsia" w:ascii="方正仿宋_GBK" w:hAnsi="方正仿宋_GBK" w:eastAsia="方正仿宋_GBK" w:cs="方正仿宋_GBK"/>
          <w:color w:val="000000"/>
          <w:sz w:val="33"/>
          <w:szCs w:val="33"/>
          <w:lang w:val="en-US" w:eastAsia="zh-CN"/>
        </w:rPr>
        <w:t>印刷费、差旅费、培训费、</w:t>
      </w:r>
      <w:r>
        <w:rPr>
          <w:rFonts w:hint="eastAsia" w:ascii="方正仿宋_GBK" w:hAnsi="方正仿宋_GBK" w:eastAsia="方正仿宋_GBK" w:cs="方正仿宋_GBK"/>
          <w:color w:val="000000"/>
          <w:sz w:val="33"/>
          <w:szCs w:val="33"/>
        </w:rPr>
        <w:t>其他交通费用。</w:t>
      </w:r>
    </w:p>
    <w:p>
      <w:pPr>
        <w:pStyle w:val="5"/>
        <w:keepNext w:val="0"/>
        <w:keepLines w:val="0"/>
        <w:pageBreakBefore w:val="0"/>
        <w:widowControl w:val="0"/>
        <w:kinsoku/>
        <w:wordWrap/>
        <w:overflowPunct/>
        <w:topLinePunct w:val="0"/>
        <w:bidi w:val="0"/>
        <w:spacing w:line="590" w:lineRule="exact"/>
        <w:ind w:firstLine="660"/>
        <w:rPr>
          <w:rFonts w:hint="eastAsia"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“安全生产月活动经费”支出</w:t>
      </w:r>
      <w:r>
        <w:rPr>
          <w:rFonts w:hint="eastAsia" w:ascii="方正仿宋_GBK" w:hAnsi="方正仿宋_GBK" w:eastAsia="方正仿宋_GBK" w:cs="方正仿宋_GBK"/>
          <w:color w:val="000000"/>
          <w:sz w:val="33"/>
          <w:szCs w:val="33"/>
          <w:lang w:val="en-US" w:eastAsia="zh-CN"/>
        </w:rPr>
        <w:t>5</w:t>
      </w:r>
      <w:r>
        <w:rPr>
          <w:rFonts w:hint="eastAsia" w:ascii="方正仿宋_GBK" w:hAnsi="方正仿宋_GBK" w:eastAsia="方正仿宋_GBK" w:cs="方正仿宋_GBK"/>
          <w:color w:val="000000"/>
          <w:sz w:val="33"/>
          <w:szCs w:val="33"/>
        </w:rPr>
        <w:t>万元，主要用于：</w:t>
      </w:r>
      <w:r>
        <w:rPr>
          <w:rFonts w:hint="eastAsia" w:ascii="方正仿宋_GBK" w:hAnsi="方正仿宋_GBK" w:eastAsia="方正仿宋_GBK" w:cs="方正仿宋_GBK"/>
          <w:color w:val="000000"/>
          <w:sz w:val="33"/>
          <w:szCs w:val="33"/>
          <w:lang w:val="en-US" w:eastAsia="zh-CN"/>
        </w:rPr>
        <w:t>印刷费、</w:t>
      </w:r>
      <w:r>
        <w:rPr>
          <w:rFonts w:hint="eastAsia" w:ascii="方正仿宋_GBK" w:hAnsi="方正仿宋_GBK" w:eastAsia="方正仿宋_GBK" w:cs="方正仿宋_GBK"/>
          <w:color w:val="000000"/>
          <w:sz w:val="33"/>
          <w:szCs w:val="33"/>
        </w:rPr>
        <w:t>其他商品和服务支出。</w:t>
      </w:r>
    </w:p>
    <w:p>
      <w:pPr>
        <w:pStyle w:val="5"/>
        <w:keepNext w:val="0"/>
        <w:keepLines w:val="0"/>
        <w:pageBreakBefore w:val="0"/>
        <w:widowControl w:val="0"/>
        <w:kinsoku/>
        <w:wordWrap/>
        <w:overflowPunct/>
        <w:topLinePunct w:val="0"/>
        <w:bidi w:val="0"/>
        <w:spacing w:line="590" w:lineRule="exact"/>
        <w:ind w:firstLine="660"/>
        <w:rPr>
          <w:rFonts w:hint="eastAsia"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“防汛抗旱指挥部办公室工作经费”支出</w:t>
      </w:r>
      <w:r>
        <w:rPr>
          <w:rFonts w:hint="eastAsia" w:ascii="方正仿宋_GBK" w:hAnsi="方正仿宋_GBK" w:eastAsia="方正仿宋_GBK" w:cs="方正仿宋_GBK"/>
          <w:color w:val="000000"/>
          <w:sz w:val="33"/>
          <w:szCs w:val="33"/>
          <w:lang w:val="en-US" w:eastAsia="zh-CN"/>
        </w:rPr>
        <w:t>25.27</w:t>
      </w:r>
      <w:r>
        <w:rPr>
          <w:rFonts w:hint="eastAsia" w:ascii="方正仿宋_GBK" w:hAnsi="方正仿宋_GBK" w:eastAsia="方正仿宋_GBK" w:cs="方正仿宋_GBK"/>
          <w:color w:val="000000"/>
          <w:sz w:val="33"/>
          <w:szCs w:val="33"/>
        </w:rPr>
        <w:t>万元，主要用于:</w:t>
      </w:r>
      <w:r>
        <w:rPr>
          <w:rFonts w:hint="eastAsia" w:ascii="方正仿宋_GBK" w:hAnsi="方正仿宋_GBK" w:eastAsia="方正仿宋_GBK" w:cs="方正仿宋_GBK"/>
          <w:color w:val="000000"/>
          <w:sz w:val="33"/>
          <w:szCs w:val="33"/>
          <w:lang w:val="en-US" w:eastAsia="zh-CN"/>
        </w:rPr>
        <w:t>办公费、印刷费、差旅费、培训费、</w:t>
      </w:r>
      <w:r>
        <w:rPr>
          <w:rFonts w:hint="eastAsia" w:ascii="方正仿宋_GBK" w:hAnsi="方正仿宋_GBK" w:eastAsia="方正仿宋_GBK" w:cs="方正仿宋_GBK"/>
          <w:color w:val="000000"/>
          <w:sz w:val="33"/>
          <w:szCs w:val="33"/>
        </w:rPr>
        <w:t>其他商品和服务支出。</w:t>
      </w:r>
    </w:p>
    <w:p>
      <w:pPr>
        <w:keepNext w:val="0"/>
        <w:keepLines w:val="0"/>
        <w:pageBreakBefore w:val="0"/>
        <w:widowControl w:val="0"/>
        <w:kinsoku/>
        <w:wordWrap/>
        <w:overflowPunct/>
        <w:topLinePunct w:val="0"/>
        <w:bidi w:val="0"/>
        <w:spacing w:line="590" w:lineRule="exact"/>
        <w:ind w:firstLine="640"/>
        <w:outlineLvl w:val="2"/>
        <w:rPr>
          <w:rFonts w:hint="eastAsia" w:ascii="方正仿宋_GBK" w:hAnsi="方正仿宋_GBK" w:eastAsia="方正仿宋_GBK" w:cs="方正仿宋_GBK"/>
          <w:color w:val="000000"/>
          <w:sz w:val="33"/>
          <w:szCs w:val="33"/>
        </w:rPr>
      </w:pPr>
      <w:bookmarkStart w:id="21" w:name="_Toc12210"/>
      <w:r>
        <w:rPr>
          <w:rFonts w:hint="eastAsia" w:ascii="方正仿宋_GBK" w:hAnsi="方正仿宋_GBK" w:eastAsia="方正仿宋_GBK" w:cs="方正仿宋_GBK"/>
          <w:sz w:val="33"/>
          <w:szCs w:val="33"/>
        </w:rPr>
        <w:t>“专家费”支出</w:t>
      </w:r>
      <w:r>
        <w:rPr>
          <w:rFonts w:hint="eastAsia" w:ascii="方正仿宋_GBK" w:hAnsi="方正仿宋_GBK" w:eastAsia="方正仿宋_GBK" w:cs="方正仿宋_GBK"/>
          <w:sz w:val="33"/>
          <w:szCs w:val="33"/>
          <w:lang w:val="en-US" w:eastAsia="zh-CN"/>
        </w:rPr>
        <w:t>55.07</w:t>
      </w:r>
      <w:r>
        <w:rPr>
          <w:rFonts w:hint="eastAsia" w:ascii="方正仿宋_GBK" w:hAnsi="方正仿宋_GBK" w:eastAsia="方正仿宋_GBK" w:cs="方正仿宋_GBK"/>
          <w:color w:val="000000"/>
          <w:sz w:val="33"/>
          <w:szCs w:val="33"/>
        </w:rPr>
        <w:t>万元，主要用于：</w:t>
      </w:r>
      <w:r>
        <w:rPr>
          <w:rFonts w:hint="eastAsia" w:ascii="方正仿宋_GBK" w:hAnsi="方正仿宋_GBK" w:eastAsia="方正仿宋_GBK" w:cs="方正仿宋_GBK"/>
          <w:color w:val="000000"/>
          <w:sz w:val="33"/>
          <w:szCs w:val="33"/>
          <w:lang w:val="en-US" w:eastAsia="zh-CN"/>
        </w:rPr>
        <w:t>劳务费</w:t>
      </w:r>
      <w:r>
        <w:rPr>
          <w:rFonts w:hint="eastAsia" w:ascii="方正仿宋_GBK" w:hAnsi="方正仿宋_GBK" w:eastAsia="方正仿宋_GBK" w:cs="方正仿宋_GBK"/>
          <w:color w:val="000000"/>
          <w:sz w:val="33"/>
          <w:szCs w:val="33"/>
        </w:rPr>
        <w:t>。</w:t>
      </w:r>
      <w:bookmarkEnd w:id="21"/>
    </w:p>
    <w:p>
      <w:pPr>
        <w:pStyle w:val="5"/>
        <w:keepNext w:val="0"/>
        <w:keepLines w:val="0"/>
        <w:pageBreakBefore w:val="0"/>
        <w:widowControl w:val="0"/>
        <w:kinsoku/>
        <w:wordWrap/>
        <w:overflowPunct/>
        <w:topLinePunct w:val="0"/>
        <w:bidi w:val="0"/>
        <w:spacing w:line="590" w:lineRule="exact"/>
        <w:ind w:firstLine="660"/>
        <w:rPr>
          <w:rFonts w:hint="eastAsia"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“委托业务费”支出</w:t>
      </w:r>
      <w:r>
        <w:rPr>
          <w:rFonts w:hint="eastAsia" w:ascii="方正仿宋_GBK" w:hAnsi="方正仿宋_GBK" w:eastAsia="方正仿宋_GBK" w:cs="方正仿宋_GBK"/>
          <w:color w:val="000000"/>
          <w:sz w:val="33"/>
          <w:szCs w:val="33"/>
          <w:lang w:val="en-US" w:eastAsia="zh-CN"/>
        </w:rPr>
        <w:t>95.86</w:t>
      </w:r>
      <w:r>
        <w:rPr>
          <w:rFonts w:hint="eastAsia" w:ascii="方正仿宋_GBK" w:hAnsi="方正仿宋_GBK" w:eastAsia="方正仿宋_GBK" w:cs="方正仿宋_GBK"/>
          <w:color w:val="000000"/>
          <w:sz w:val="33"/>
          <w:szCs w:val="33"/>
        </w:rPr>
        <w:t>万元，主要用于：</w:t>
      </w:r>
      <w:r>
        <w:rPr>
          <w:rFonts w:hint="eastAsia" w:ascii="方正仿宋_GBK" w:hAnsi="方正仿宋_GBK" w:eastAsia="方正仿宋_GBK" w:cs="方正仿宋_GBK"/>
          <w:color w:val="000000"/>
          <w:sz w:val="33"/>
          <w:szCs w:val="33"/>
          <w:lang w:val="en-US" w:eastAsia="zh-CN"/>
        </w:rPr>
        <w:t>委托业务费</w:t>
      </w:r>
      <w:r>
        <w:rPr>
          <w:rFonts w:hint="eastAsia" w:ascii="方正仿宋_GBK" w:hAnsi="方正仿宋_GBK" w:eastAsia="方正仿宋_GBK" w:cs="方正仿宋_GBK"/>
          <w:color w:val="000000"/>
          <w:sz w:val="33"/>
          <w:szCs w:val="33"/>
        </w:rPr>
        <w:t>。</w:t>
      </w:r>
    </w:p>
    <w:p>
      <w:pPr>
        <w:pStyle w:val="5"/>
        <w:keepNext w:val="0"/>
        <w:keepLines w:val="0"/>
        <w:pageBreakBefore w:val="0"/>
        <w:widowControl w:val="0"/>
        <w:kinsoku/>
        <w:wordWrap/>
        <w:overflowPunct/>
        <w:topLinePunct w:val="0"/>
        <w:bidi w:val="0"/>
        <w:spacing w:line="590" w:lineRule="exact"/>
        <w:ind w:firstLine="660"/>
        <w:rPr>
          <w:rFonts w:hint="eastAsia"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“综合行政执法制式服装及标志经费”支出2</w:t>
      </w:r>
      <w:r>
        <w:rPr>
          <w:rFonts w:hint="eastAsia" w:ascii="方正仿宋_GBK" w:hAnsi="方正仿宋_GBK" w:eastAsia="方正仿宋_GBK" w:cs="方正仿宋_GBK"/>
          <w:color w:val="000000"/>
          <w:sz w:val="33"/>
          <w:szCs w:val="33"/>
          <w:lang w:val="en-US" w:eastAsia="zh-CN"/>
        </w:rPr>
        <w:t>0.09</w:t>
      </w:r>
      <w:r>
        <w:rPr>
          <w:rFonts w:hint="eastAsia" w:ascii="方正仿宋_GBK" w:hAnsi="方正仿宋_GBK" w:eastAsia="方正仿宋_GBK" w:cs="方正仿宋_GBK"/>
          <w:color w:val="000000"/>
          <w:sz w:val="33"/>
          <w:szCs w:val="33"/>
        </w:rPr>
        <w:t>万元，主要用于：</w:t>
      </w:r>
      <w:r>
        <w:rPr>
          <w:rFonts w:hint="eastAsia" w:ascii="方正仿宋_GBK" w:hAnsi="方正仿宋_GBK" w:eastAsia="方正仿宋_GBK" w:cs="方正仿宋_GBK"/>
          <w:color w:val="000000"/>
          <w:sz w:val="33"/>
          <w:szCs w:val="33"/>
          <w:lang w:val="en-US" w:eastAsia="zh-CN"/>
        </w:rPr>
        <w:t>被装购置费</w:t>
      </w:r>
      <w:r>
        <w:rPr>
          <w:rFonts w:hint="eastAsia" w:ascii="方正仿宋_GBK" w:hAnsi="方正仿宋_GBK" w:eastAsia="方正仿宋_GBK" w:cs="方正仿宋_GBK"/>
          <w:color w:val="000000"/>
          <w:sz w:val="33"/>
          <w:szCs w:val="33"/>
        </w:rPr>
        <w:t>。</w:t>
      </w:r>
    </w:p>
    <w:p>
      <w:pPr>
        <w:pStyle w:val="5"/>
        <w:keepNext w:val="0"/>
        <w:keepLines w:val="0"/>
        <w:pageBreakBefore w:val="0"/>
        <w:widowControl w:val="0"/>
        <w:kinsoku/>
        <w:wordWrap/>
        <w:overflowPunct/>
        <w:topLinePunct w:val="0"/>
        <w:bidi w:val="0"/>
        <w:spacing w:line="590" w:lineRule="exact"/>
        <w:ind w:firstLine="660"/>
        <w:rPr>
          <w:rFonts w:hint="eastAsia"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“安委会巡查专项工作经费”</w:t>
      </w:r>
      <w:r>
        <w:rPr>
          <w:rFonts w:hint="eastAsia" w:ascii="方正仿宋_GBK" w:hAnsi="方正仿宋_GBK" w:eastAsia="方正仿宋_GBK" w:cs="方正仿宋_GBK"/>
          <w:color w:val="000000"/>
          <w:sz w:val="33"/>
          <w:szCs w:val="33"/>
          <w:lang w:val="en-US" w:eastAsia="zh-CN"/>
        </w:rPr>
        <w:t>9.82</w:t>
      </w:r>
      <w:r>
        <w:rPr>
          <w:rFonts w:hint="eastAsia" w:ascii="方正仿宋_GBK" w:hAnsi="方正仿宋_GBK" w:eastAsia="方正仿宋_GBK" w:cs="方正仿宋_GBK"/>
          <w:color w:val="000000"/>
          <w:sz w:val="33"/>
          <w:szCs w:val="33"/>
        </w:rPr>
        <w:t>万元，主要用于：办公费、</w:t>
      </w:r>
      <w:r>
        <w:rPr>
          <w:rFonts w:hint="eastAsia" w:ascii="方正仿宋_GBK" w:hAnsi="方正仿宋_GBK" w:eastAsia="方正仿宋_GBK" w:cs="方正仿宋_GBK"/>
          <w:color w:val="000000"/>
          <w:sz w:val="33"/>
          <w:szCs w:val="33"/>
          <w:lang w:val="en-US" w:eastAsia="zh-CN"/>
        </w:rPr>
        <w:t>租赁费</w:t>
      </w:r>
      <w:r>
        <w:rPr>
          <w:rFonts w:hint="eastAsia" w:ascii="方正仿宋_GBK" w:hAnsi="方正仿宋_GBK" w:eastAsia="方正仿宋_GBK" w:cs="方正仿宋_GBK"/>
          <w:color w:val="000000"/>
          <w:sz w:val="33"/>
          <w:szCs w:val="33"/>
        </w:rPr>
        <w:t>。</w:t>
      </w:r>
    </w:p>
    <w:p>
      <w:pPr>
        <w:pStyle w:val="5"/>
        <w:keepNext w:val="0"/>
        <w:keepLines w:val="0"/>
        <w:pageBreakBefore w:val="0"/>
        <w:widowControl w:val="0"/>
        <w:kinsoku/>
        <w:wordWrap/>
        <w:overflowPunct/>
        <w:topLinePunct w:val="0"/>
        <w:bidi w:val="0"/>
        <w:spacing w:line="590" w:lineRule="exact"/>
        <w:ind w:firstLine="660"/>
        <w:rPr>
          <w:rFonts w:hint="eastAsia"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“安全生产举报奖励资金”支出</w:t>
      </w:r>
      <w:r>
        <w:rPr>
          <w:rFonts w:hint="eastAsia" w:ascii="方正仿宋_GBK" w:hAnsi="方正仿宋_GBK" w:eastAsia="方正仿宋_GBK" w:cs="方正仿宋_GBK"/>
          <w:color w:val="000000"/>
          <w:sz w:val="33"/>
          <w:szCs w:val="33"/>
          <w:lang w:val="en-US" w:eastAsia="zh-CN"/>
        </w:rPr>
        <w:t>0.20</w:t>
      </w:r>
      <w:r>
        <w:rPr>
          <w:rFonts w:hint="eastAsia" w:ascii="方正仿宋_GBK" w:hAnsi="方正仿宋_GBK" w:eastAsia="方正仿宋_GBK" w:cs="方正仿宋_GBK"/>
          <w:color w:val="000000"/>
          <w:sz w:val="33"/>
          <w:szCs w:val="33"/>
        </w:rPr>
        <w:t>万元，主要用于：其他对个人和家庭的补助。</w:t>
      </w:r>
    </w:p>
    <w:p>
      <w:pPr>
        <w:pStyle w:val="5"/>
        <w:keepNext w:val="0"/>
        <w:keepLines w:val="0"/>
        <w:pageBreakBefore w:val="0"/>
        <w:widowControl w:val="0"/>
        <w:kinsoku/>
        <w:wordWrap/>
        <w:overflowPunct/>
        <w:topLinePunct w:val="0"/>
        <w:bidi w:val="0"/>
        <w:spacing w:line="590" w:lineRule="exact"/>
        <w:ind w:firstLine="660"/>
        <w:rPr>
          <w:rFonts w:hint="eastAsia"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“市应急指挥中心建设项目”支出</w:t>
      </w:r>
      <w:r>
        <w:rPr>
          <w:rFonts w:hint="eastAsia" w:ascii="方正仿宋_GBK" w:hAnsi="方正仿宋_GBK" w:eastAsia="方正仿宋_GBK" w:cs="方正仿宋_GBK"/>
          <w:color w:val="000000"/>
          <w:sz w:val="33"/>
          <w:szCs w:val="33"/>
          <w:lang w:val="en-US" w:eastAsia="zh-CN"/>
        </w:rPr>
        <w:t>1793</w:t>
      </w:r>
      <w:r>
        <w:rPr>
          <w:rFonts w:hint="eastAsia" w:ascii="方正仿宋_GBK" w:hAnsi="方正仿宋_GBK" w:eastAsia="方正仿宋_GBK" w:cs="方正仿宋_GBK"/>
          <w:color w:val="000000"/>
          <w:sz w:val="33"/>
          <w:szCs w:val="33"/>
        </w:rPr>
        <w:t>万元，主要用于：信息网络及软件购置更新。</w:t>
      </w:r>
    </w:p>
    <w:p>
      <w:pPr>
        <w:pStyle w:val="5"/>
        <w:keepNext w:val="0"/>
        <w:keepLines w:val="0"/>
        <w:pageBreakBefore w:val="0"/>
        <w:widowControl w:val="0"/>
        <w:kinsoku/>
        <w:wordWrap/>
        <w:overflowPunct/>
        <w:topLinePunct w:val="0"/>
        <w:bidi w:val="0"/>
        <w:spacing w:line="590" w:lineRule="exact"/>
        <w:ind w:firstLine="660"/>
        <w:rPr>
          <w:rFonts w:hint="eastAsia"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“专家费”支出</w:t>
      </w:r>
      <w:r>
        <w:rPr>
          <w:rFonts w:hint="eastAsia" w:ascii="方正仿宋_GBK" w:hAnsi="方正仿宋_GBK" w:eastAsia="方正仿宋_GBK" w:cs="方正仿宋_GBK"/>
          <w:color w:val="000000"/>
          <w:sz w:val="33"/>
          <w:szCs w:val="33"/>
          <w:lang w:val="en-US" w:eastAsia="zh-CN"/>
        </w:rPr>
        <w:t>95.86</w:t>
      </w:r>
      <w:r>
        <w:rPr>
          <w:rFonts w:hint="eastAsia" w:ascii="方正仿宋_GBK" w:hAnsi="方正仿宋_GBK" w:eastAsia="方正仿宋_GBK" w:cs="方正仿宋_GBK"/>
          <w:color w:val="000000"/>
          <w:sz w:val="33"/>
          <w:szCs w:val="33"/>
        </w:rPr>
        <w:t>万元，主要用于:</w:t>
      </w:r>
      <w:r>
        <w:rPr>
          <w:rFonts w:hint="eastAsia" w:ascii="方正仿宋_GBK" w:hAnsi="方正仿宋_GBK" w:eastAsia="方正仿宋_GBK" w:cs="方正仿宋_GBK"/>
          <w:color w:val="000000"/>
          <w:sz w:val="33"/>
          <w:szCs w:val="33"/>
          <w:lang w:val="en-US" w:eastAsia="zh-CN"/>
        </w:rPr>
        <w:t>委托业务费</w:t>
      </w:r>
      <w:r>
        <w:rPr>
          <w:rFonts w:hint="eastAsia" w:ascii="方正仿宋_GBK" w:hAnsi="方正仿宋_GBK" w:eastAsia="方正仿宋_GBK" w:cs="方正仿宋_GBK"/>
          <w:color w:val="000000"/>
          <w:sz w:val="33"/>
          <w:szCs w:val="33"/>
        </w:rPr>
        <w:t>。</w:t>
      </w:r>
    </w:p>
    <w:p>
      <w:pPr>
        <w:pStyle w:val="5"/>
        <w:keepNext w:val="0"/>
        <w:keepLines w:val="0"/>
        <w:pageBreakBefore w:val="0"/>
        <w:widowControl w:val="0"/>
        <w:kinsoku/>
        <w:wordWrap/>
        <w:overflowPunct/>
        <w:topLinePunct w:val="0"/>
        <w:bidi w:val="0"/>
        <w:spacing w:line="590" w:lineRule="exact"/>
        <w:ind w:firstLine="660"/>
        <w:rPr>
          <w:rFonts w:hint="eastAsia"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“辅助安全人员执法经费”支出</w:t>
      </w:r>
      <w:r>
        <w:rPr>
          <w:rFonts w:hint="eastAsia" w:ascii="方正仿宋_GBK" w:hAnsi="方正仿宋_GBK" w:eastAsia="方正仿宋_GBK" w:cs="方正仿宋_GBK"/>
          <w:color w:val="000000"/>
          <w:sz w:val="33"/>
          <w:szCs w:val="33"/>
          <w:lang w:val="en-US" w:eastAsia="zh-CN"/>
        </w:rPr>
        <w:t>136</w:t>
      </w:r>
      <w:r>
        <w:rPr>
          <w:rFonts w:hint="eastAsia" w:ascii="方正仿宋_GBK" w:hAnsi="方正仿宋_GBK" w:eastAsia="方正仿宋_GBK" w:cs="方正仿宋_GBK"/>
          <w:color w:val="000000"/>
          <w:sz w:val="33"/>
          <w:szCs w:val="33"/>
        </w:rPr>
        <w:t>万元，主要用于：其他工资福利支出。</w:t>
      </w:r>
    </w:p>
    <w:p>
      <w:pPr>
        <w:pStyle w:val="5"/>
        <w:keepNext w:val="0"/>
        <w:keepLines w:val="0"/>
        <w:pageBreakBefore w:val="0"/>
        <w:widowControl w:val="0"/>
        <w:kinsoku/>
        <w:wordWrap/>
        <w:overflowPunct/>
        <w:topLinePunct w:val="0"/>
        <w:bidi w:val="0"/>
        <w:spacing w:line="590" w:lineRule="exact"/>
        <w:ind w:firstLine="660"/>
        <w:rPr>
          <w:rFonts w:hint="eastAsia"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“安全生产专项资金”支出</w:t>
      </w:r>
      <w:r>
        <w:rPr>
          <w:rFonts w:hint="eastAsia" w:ascii="方正仿宋_GBK" w:hAnsi="方正仿宋_GBK" w:eastAsia="方正仿宋_GBK" w:cs="方正仿宋_GBK"/>
          <w:color w:val="000000"/>
          <w:sz w:val="33"/>
          <w:szCs w:val="33"/>
          <w:lang w:val="en-US" w:eastAsia="zh-CN"/>
        </w:rPr>
        <w:t>10</w:t>
      </w:r>
      <w:r>
        <w:rPr>
          <w:rFonts w:hint="eastAsia" w:ascii="方正仿宋_GBK" w:hAnsi="方正仿宋_GBK" w:eastAsia="方正仿宋_GBK" w:cs="方正仿宋_GBK"/>
          <w:color w:val="000000"/>
          <w:sz w:val="33"/>
          <w:szCs w:val="33"/>
        </w:rPr>
        <w:t>万元，主要用于：</w:t>
      </w:r>
      <w:r>
        <w:rPr>
          <w:rFonts w:hint="eastAsia" w:ascii="方正仿宋_GBK" w:hAnsi="方正仿宋_GBK" w:eastAsia="方正仿宋_GBK" w:cs="方正仿宋_GBK"/>
          <w:color w:val="000000"/>
          <w:sz w:val="33"/>
          <w:szCs w:val="33"/>
          <w:lang w:val="en-US" w:eastAsia="zh-CN"/>
        </w:rPr>
        <w:t>办公费</w:t>
      </w:r>
      <w:r>
        <w:rPr>
          <w:rFonts w:hint="eastAsia" w:ascii="方正仿宋_GBK" w:hAnsi="方正仿宋_GBK" w:eastAsia="方正仿宋_GBK" w:cs="方正仿宋_GBK"/>
          <w:color w:val="000000"/>
          <w:sz w:val="33"/>
          <w:szCs w:val="33"/>
        </w:rPr>
        <w:t>。</w:t>
      </w:r>
    </w:p>
    <w:p>
      <w:pPr>
        <w:pStyle w:val="5"/>
        <w:keepNext w:val="0"/>
        <w:keepLines w:val="0"/>
        <w:pageBreakBefore w:val="0"/>
        <w:widowControl w:val="0"/>
        <w:kinsoku/>
        <w:wordWrap/>
        <w:overflowPunct/>
        <w:topLinePunct w:val="0"/>
        <w:bidi w:val="0"/>
        <w:spacing w:line="590" w:lineRule="exact"/>
        <w:ind w:firstLine="660"/>
        <w:rPr>
          <w:rFonts w:hint="eastAsia"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“安全生产目标管理奖励资金”支出</w:t>
      </w:r>
      <w:r>
        <w:rPr>
          <w:rFonts w:hint="eastAsia" w:ascii="方正仿宋_GBK" w:hAnsi="方正仿宋_GBK" w:eastAsia="方正仿宋_GBK" w:cs="方正仿宋_GBK"/>
          <w:color w:val="000000"/>
          <w:sz w:val="33"/>
          <w:szCs w:val="33"/>
          <w:lang w:val="en-US" w:eastAsia="zh-CN"/>
        </w:rPr>
        <w:t>10</w:t>
      </w:r>
      <w:r>
        <w:rPr>
          <w:rFonts w:hint="eastAsia" w:ascii="方正仿宋_GBK" w:hAnsi="方正仿宋_GBK" w:eastAsia="方正仿宋_GBK" w:cs="方正仿宋_GBK"/>
          <w:color w:val="000000"/>
          <w:sz w:val="33"/>
          <w:szCs w:val="33"/>
        </w:rPr>
        <w:t>万元，主要用于：其他商品和服务支出。</w:t>
      </w:r>
    </w:p>
    <w:p>
      <w:pPr>
        <w:pStyle w:val="5"/>
        <w:keepNext w:val="0"/>
        <w:keepLines w:val="0"/>
        <w:pageBreakBefore w:val="0"/>
        <w:widowControl w:val="0"/>
        <w:kinsoku/>
        <w:wordWrap/>
        <w:overflowPunct/>
        <w:topLinePunct w:val="0"/>
        <w:bidi w:val="0"/>
        <w:spacing w:line="590" w:lineRule="exact"/>
        <w:ind w:firstLine="660"/>
        <w:rPr>
          <w:rFonts w:hint="eastAsia" w:ascii="方正仿宋_GBK" w:hAnsi="方正仿宋_GBK" w:eastAsia="方正仿宋_GBK" w:cs="方正仿宋_GBK"/>
          <w:color w:val="000000"/>
          <w:sz w:val="33"/>
          <w:szCs w:val="33"/>
        </w:rPr>
      </w:pPr>
      <w:r>
        <w:rPr>
          <w:rFonts w:hint="eastAsia" w:ascii="方正仿宋_GBK" w:hAnsi="方正仿宋_GBK" w:eastAsia="方正仿宋_GBK" w:cs="方正仿宋_GBK"/>
          <w:color w:val="000000"/>
          <w:sz w:val="33"/>
          <w:szCs w:val="33"/>
        </w:rPr>
        <w:t>“中省抗洪抢险资金”支出</w:t>
      </w:r>
      <w:r>
        <w:rPr>
          <w:rFonts w:hint="eastAsia" w:ascii="方正仿宋_GBK" w:hAnsi="方正仿宋_GBK" w:eastAsia="方正仿宋_GBK" w:cs="方正仿宋_GBK"/>
          <w:color w:val="000000"/>
          <w:sz w:val="33"/>
          <w:szCs w:val="33"/>
          <w:lang w:val="en-US" w:eastAsia="zh-CN"/>
        </w:rPr>
        <w:t>53.39</w:t>
      </w:r>
      <w:r>
        <w:rPr>
          <w:rFonts w:hint="eastAsia" w:ascii="方正仿宋_GBK" w:hAnsi="方正仿宋_GBK" w:eastAsia="方正仿宋_GBK" w:cs="方正仿宋_GBK"/>
          <w:color w:val="000000"/>
          <w:sz w:val="33"/>
          <w:szCs w:val="33"/>
        </w:rPr>
        <w:t>万元，主要用于：</w:t>
      </w:r>
      <w:r>
        <w:rPr>
          <w:rFonts w:hint="eastAsia" w:ascii="方正仿宋_GBK" w:hAnsi="方正仿宋_GBK" w:eastAsia="方正仿宋_GBK" w:cs="方正仿宋_GBK"/>
          <w:color w:val="000000"/>
          <w:sz w:val="33"/>
          <w:szCs w:val="33"/>
          <w:lang w:val="en-US" w:eastAsia="zh-CN"/>
        </w:rPr>
        <w:t>其他商品和服务支出</w:t>
      </w:r>
      <w:r>
        <w:rPr>
          <w:rFonts w:hint="eastAsia" w:ascii="方正仿宋_GBK" w:hAnsi="方正仿宋_GBK" w:eastAsia="方正仿宋_GBK" w:cs="方正仿宋_GBK"/>
          <w:color w:val="000000"/>
          <w:sz w:val="33"/>
          <w:szCs w:val="33"/>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sz w:val="32"/>
          <w:szCs w:val="32"/>
          <w:lang w:eastAsia="zh-CN"/>
        </w:rPr>
        <w:t>训练场地改造</w:t>
      </w:r>
      <w:r>
        <w:rPr>
          <w:rFonts w:hint="eastAsia" w:ascii="方正仿宋_GBK" w:hAnsi="方正仿宋_GBK" w:eastAsia="方正仿宋_GBK" w:cs="方正仿宋_GBK"/>
          <w:sz w:val="32"/>
          <w:szCs w:val="32"/>
        </w:rPr>
        <w:t>项目</w:t>
      </w:r>
      <w:r>
        <w:rPr>
          <w:rFonts w:hint="eastAsia" w:ascii="方正仿宋_GBK" w:hAnsi="方正仿宋_GBK" w:eastAsia="方正仿宋_GBK" w:cs="方正仿宋_GBK"/>
          <w:sz w:val="32"/>
          <w:szCs w:val="32"/>
          <w:lang w:eastAsia="zh-CN"/>
        </w:rPr>
        <w:t>支出</w:t>
      </w:r>
      <w:r>
        <w:rPr>
          <w:rFonts w:hint="eastAsia" w:ascii="方正仿宋_GBK" w:hAnsi="方正仿宋_GBK" w:eastAsia="方正仿宋_GBK" w:cs="方正仿宋_GBK"/>
          <w:color w:val="000000"/>
          <w:sz w:val="32"/>
          <w:szCs w:val="32"/>
          <w:lang w:val="en-US" w:eastAsia="zh-CN"/>
        </w:rPr>
        <w:t>10.71</w:t>
      </w:r>
      <w:r>
        <w:rPr>
          <w:rFonts w:hint="eastAsia" w:ascii="方正仿宋_GBK" w:hAnsi="方正仿宋_GBK" w:eastAsia="方正仿宋_GBK" w:cs="方正仿宋_GBK"/>
          <w:color w:val="000000"/>
          <w:sz w:val="32"/>
          <w:szCs w:val="32"/>
        </w:rPr>
        <w:t>万元</w:t>
      </w:r>
      <w:r>
        <w:rPr>
          <w:rFonts w:hint="eastAsia" w:ascii="方正仿宋_GBK" w:hAnsi="方正仿宋_GBK" w:eastAsia="方正仿宋_GBK" w:cs="方正仿宋_GBK"/>
          <w:color w:val="000000"/>
          <w:sz w:val="32"/>
          <w:szCs w:val="32"/>
          <w:lang w:eastAsia="zh-CN"/>
        </w:rPr>
        <w:t>，主要用于：项目经费支出，包括</w:t>
      </w:r>
      <w:r>
        <w:rPr>
          <w:rFonts w:hint="eastAsia" w:ascii="方正仿宋_GBK" w:hAnsi="方正仿宋_GBK" w:eastAsia="方正仿宋_GBK" w:cs="方正仿宋_GBK"/>
          <w:color w:val="000000"/>
          <w:sz w:val="32"/>
          <w:szCs w:val="32"/>
        </w:rPr>
        <w:t>其他资本性支出</w:t>
      </w:r>
      <w:r>
        <w:rPr>
          <w:rFonts w:hint="eastAsia" w:ascii="方正仿宋_GBK" w:hAnsi="方正仿宋_GBK" w:eastAsia="方正仿宋_GBK" w:cs="方正仿宋_GBK"/>
          <w:color w:val="000000"/>
          <w:sz w:val="32"/>
          <w:szCs w:val="32"/>
          <w:lang w:eastAsia="zh-CN"/>
        </w:rPr>
        <w:t>，此项目</w:t>
      </w:r>
      <w:r>
        <w:rPr>
          <w:rFonts w:hint="eastAsia" w:ascii="方正仿宋_GBK" w:hAnsi="方正仿宋_GBK" w:eastAsia="方正仿宋_GBK" w:cs="方正仿宋_GBK"/>
          <w:color w:val="000000"/>
          <w:sz w:val="32"/>
          <w:szCs w:val="32"/>
          <w:lang w:val="en-US" w:eastAsia="zh-CN"/>
        </w:rPr>
        <w:t>2018年开始施工，2022年完成验收工作并支付款项</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000000"/>
          <w:sz w:val="33"/>
          <w:szCs w:val="33"/>
          <w:lang w:val="zh-CN"/>
        </w:rPr>
      </w:pPr>
      <w:r>
        <w:rPr>
          <w:rFonts w:hint="eastAsia" w:ascii="方正仿宋_GBK" w:hAnsi="方正仿宋_GBK" w:eastAsia="方正仿宋_GBK" w:cs="方正仿宋_GBK"/>
          <w:color w:val="000000"/>
          <w:sz w:val="32"/>
          <w:szCs w:val="32"/>
          <w:lang w:eastAsia="zh-CN"/>
        </w:rPr>
        <w:t>市矿山救护大队定额补助项目支出</w:t>
      </w:r>
      <w:r>
        <w:rPr>
          <w:rFonts w:hint="eastAsia" w:ascii="方正仿宋_GBK" w:hAnsi="方正仿宋_GBK" w:eastAsia="方正仿宋_GBK" w:cs="方正仿宋_GBK"/>
          <w:color w:val="000000"/>
          <w:sz w:val="32"/>
          <w:szCs w:val="32"/>
          <w:lang w:val="en-US" w:eastAsia="zh-CN"/>
        </w:rPr>
        <w:t>248.98万元，主要用于：广安市矿山救护大队临聘人员工资、公用经费，包括其他工资福利支出、其他商品和服务支出。</w:t>
      </w:r>
    </w:p>
    <w:p>
      <w:pPr>
        <w:pStyle w:val="3"/>
        <w:bidi w:val="0"/>
        <w:jc w:val="both"/>
        <w:rPr>
          <w:rFonts w:hint="eastAsia"/>
          <w:lang w:val="zh-CN"/>
        </w:rPr>
      </w:pPr>
      <w:bookmarkStart w:id="22" w:name="_Toc30776"/>
      <w:r>
        <w:rPr>
          <w:rFonts w:hint="eastAsia"/>
          <w:lang w:val="en-US" w:eastAsia="zh-CN"/>
        </w:rPr>
        <w:t>八</w:t>
      </w:r>
      <w:r>
        <w:rPr>
          <w:rFonts w:hint="eastAsia"/>
          <w:lang w:val="zh-CN"/>
        </w:rPr>
        <w:t>、“三公”经费财政拨款支出决算情况说明</w:t>
      </w:r>
      <w:bookmarkEnd w:id="22"/>
    </w:p>
    <w:p>
      <w:pPr>
        <w:pStyle w:val="4"/>
        <w:bidi w:val="0"/>
        <w:rPr>
          <w:rFonts w:hint="eastAsia"/>
          <w:lang w:val="zh-CN"/>
        </w:rPr>
      </w:pPr>
      <w:bookmarkStart w:id="23" w:name="_Toc15191"/>
      <w:r>
        <w:rPr>
          <w:rFonts w:hint="eastAsia"/>
          <w:lang w:val="zh-CN"/>
        </w:rPr>
        <w:t>（一）“三公”经费财政拨款支出决算总体情况说明</w:t>
      </w:r>
      <w:bookmarkEnd w:id="23"/>
    </w:p>
    <w:p>
      <w:pPr>
        <w:keepNext w:val="0"/>
        <w:keepLines w:val="0"/>
        <w:pageBreakBefore w:val="0"/>
        <w:widowControl w:val="0"/>
        <w:kinsoku/>
        <w:wordWrap/>
        <w:overflowPunct/>
        <w:topLinePunct w:val="0"/>
        <w:bidi w:val="0"/>
        <w:spacing w:beforeLines="0" w:afterLines="0" w:line="576" w:lineRule="exact"/>
        <w:ind w:firstLine="640"/>
        <w:jc w:val="both"/>
        <w:rPr>
          <w:rFonts w:hint="eastAsia" w:ascii="方正仿宋_GBK" w:hAnsi="方正仿宋_GBK" w:eastAsia="方正仿宋_GBK" w:cs="方正仿宋_GBK"/>
          <w:color w:val="000000"/>
          <w:kern w:val="2"/>
          <w:sz w:val="32"/>
          <w:szCs w:val="24"/>
          <w:lang w:val="zh-CN"/>
        </w:rPr>
      </w:pPr>
      <w:r>
        <w:rPr>
          <w:rFonts w:hint="eastAsia" w:ascii="方正仿宋_GBK" w:hAnsi="方正仿宋_GBK" w:eastAsia="方正仿宋_GBK" w:cs="方正仿宋_GBK"/>
          <w:color w:val="000000"/>
          <w:kern w:val="2"/>
          <w:sz w:val="32"/>
          <w:szCs w:val="24"/>
          <w:lang w:val="zh-CN"/>
        </w:rPr>
        <w:t>2022年“三公”经费财政拨款支出决算为19.33万元，完成预算100%；</w:t>
      </w:r>
      <w:r>
        <w:rPr>
          <w:rFonts w:hint="eastAsia" w:ascii="方正仿宋_GBK" w:hAnsi="方正仿宋_GBK" w:eastAsia="方正仿宋_GBK" w:cs="方正仿宋_GBK"/>
          <w:color w:val="000000"/>
          <w:kern w:val="2"/>
          <w:sz w:val="32"/>
          <w:szCs w:val="24"/>
          <w:lang w:val="en-US" w:eastAsia="zh-CN"/>
        </w:rPr>
        <w:t>比2021年</w:t>
      </w:r>
      <w:r>
        <w:rPr>
          <w:rFonts w:hint="eastAsia" w:ascii="方正仿宋_GBK" w:hAnsi="方正仿宋_GBK" w:eastAsia="方正仿宋_GBK" w:cs="方正仿宋_GBK"/>
          <w:color w:val="000000"/>
          <w:kern w:val="2"/>
          <w:sz w:val="32"/>
          <w:szCs w:val="24"/>
          <w:lang w:val="zh-CN"/>
        </w:rPr>
        <w:t>减少</w:t>
      </w:r>
      <w:r>
        <w:rPr>
          <w:rFonts w:hint="eastAsia" w:ascii="方正仿宋_GBK" w:hAnsi="方正仿宋_GBK" w:eastAsia="方正仿宋_GBK" w:cs="方正仿宋_GBK"/>
          <w:color w:val="000000"/>
          <w:kern w:val="2"/>
          <w:sz w:val="32"/>
          <w:szCs w:val="24"/>
          <w:lang w:val="en-US" w:eastAsia="zh-CN"/>
        </w:rPr>
        <w:t>1</w:t>
      </w:r>
      <w:r>
        <w:rPr>
          <w:rFonts w:hint="eastAsia" w:ascii="方正仿宋_GBK" w:hAnsi="方正仿宋_GBK" w:eastAsia="方正仿宋_GBK" w:cs="方正仿宋_GBK"/>
          <w:color w:val="000000"/>
          <w:kern w:val="2"/>
          <w:sz w:val="32"/>
          <w:szCs w:val="24"/>
          <w:lang w:val="zh-CN"/>
        </w:rPr>
        <w:t>万元，下降</w:t>
      </w:r>
      <w:r>
        <w:rPr>
          <w:rFonts w:hint="eastAsia" w:ascii="方正仿宋_GBK" w:hAnsi="方正仿宋_GBK" w:eastAsia="方正仿宋_GBK" w:cs="方正仿宋_GBK"/>
          <w:color w:val="000000"/>
          <w:kern w:val="2"/>
          <w:sz w:val="32"/>
          <w:szCs w:val="24"/>
          <w:lang w:val="en-US" w:eastAsia="zh-CN"/>
        </w:rPr>
        <w:t>4.92</w:t>
      </w:r>
      <w:r>
        <w:rPr>
          <w:rFonts w:hint="eastAsia" w:ascii="方正仿宋_GBK" w:hAnsi="方正仿宋_GBK" w:eastAsia="方正仿宋_GBK" w:cs="方正仿宋_GBK"/>
          <w:color w:val="000000"/>
          <w:kern w:val="2"/>
          <w:sz w:val="32"/>
          <w:szCs w:val="24"/>
          <w:lang w:val="zh-CN"/>
        </w:rPr>
        <w:t>%。主要原因是认真贯彻落实“党政机关要坚持过紧日子” 的要求，厉行节约，从严控制“三公”经费开支。</w:t>
      </w:r>
    </w:p>
    <w:p>
      <w:pPr>
        <w:pStyle w:val="4"/>
        <w:bidi w:val="0"/>
        <w:rPr>
          <w:rFonts w:hint="eastAsia"/>
          <w:lang w:val="zh-CN"/>
        </w:rPr>
      </w:pPr>
      <w:bookmarkStart w:id="24" w:name="_Toc6810"/>
      <w:r>
        <w:rPr>
          <w:rFonts w:hint="eastAsia"/>
          <w:lang w:val="zh-CN"/>
        </w:rPr>
        <w:t>（二）“三公”经费财政拨款支出决算具体情况说明</w:t>
      </w:r>
      <w:bookmarkEnd w:id="24"/>
    </w:p>
    <w:p>
      <w:pPr>
        <w:keepNext w:val="0"/>
        <w:keepLines w:val="0"/>
        <w:pageBreakBefore w:val="0"/>
        <w:widowControl w:val="0"/>
        <w:kinsoku/>
        <w:wordWrap/>
        <w:overflowPunct/>
        <w:topLinePunct w:val="0"/>
        <w:bidi w:val="0"/>
        <w:spacing w:beforeLines="0" w:afterLines="0" w:line="576" w:lineRule="exact"/>
        <w:ind w:firstLine="640"/>
        <w:jc w:val="both"/>
        <w:rPr>
          <w:rFonts w:hint="eastAsia" w:ascii="方正仿宋_GBK" w:hAnsi="方正仿宋_GBK" w:eastAsia="方正仿宋_GBK" w:cs="方正仿宋_GBK"/>
          <w:color w:val="000000"/>
          <w:kern w:val="2"/>
          <w:sz w:val="32"/>
          <w:szCs w:val="24"/>
          <w:lang w:val="zh-CN"/>
        </w:rPr>
      </w:pPr>
      <w:r>
        <w:rPr>
          <w:rFonts w:hint="eastAsia" w:ascii="方正仿宋_GBK" w:hAnsi="方正仿宋_GBK" w:eastAsia="方正仿宋_GBK" w:cs="方正仿宋_GBK"/>
          <w:color w:val="000000"/>
          <w:kern w:val="2"/>
          <w:sz w:val="32"/>
          <w:szCs w:val="24"/>
          <w:lang w:val="zh-CN"/>
        </w:rPr>
        <w:t>2022年“三公”经费财政拨款支出决算为19.33万元，完成预算100%；</w:t>
      </w:r>
      <w:r>
        <w:rPr>
          <w:rFonts w:hint="eastAsia" w:ascii="方正仿宋_GBK" w:hAnsi="方正仿宋_GBK" w:eastAsia="方正仿宋_GBK" w:cs="方正仿宋_GBK"/>
          <w:color w:val="000000"/>
          <w:kern w:val="2"/>
          <w:sz w:val="32"/>
          <w:szCs w:val="24"/>
          <w:lang w:val="en-US" w:eastAsia="zh-CN"/>
        </w:rPr>
        <w:t>比2021年</w:t>
      </w:r>
      <w:r>
        <w:rPr>
          <w:rFonts w:hint="eastAsia" w:ascii="方正仿宋_GBK" w:hAnsi="方正仿宋_GBK" w:eastAsia="方正仿宋_GBK" w:cs="方正仿宋_GBK"/>
          <w:color w:val="000000"/>
          <w:kern w:val="2"/>
          <w:sz w:val="32"/>
          <w:szCs w:val="24"/>
          <w:lang w:val="zh-CN"/>
        </w:rPr>
        <w:t>减少</w:t>
      </w:r>
      <w:r>
        <w:rPr>
          <w:rFonts w:hint="eastAsia" w:ascii="方正仿宋_GBK" w:hAnsi="方正仿宋_GBK" w:eastAsia="方正仿宋_GBK" w:cs="方正仿宋_GBK"/>
          <w:color w:val="000000"/>
          <w:kern w:val="2"/>
          <w:sz w:val="32"/>
          <w:szCs w:val="24"/>
          <w:lang w:val="en-US" w:eastAsia="zh-CN"/>
        </w:rPr>
        <w:t>1</w:t>
      </w:r>
      <w:r>
        <w:rPr>
          <w:rFonts w:hint="eastAsia" w:ascii="方正仿宋_GBK" w:hAnsi="方正仿宋_GBK" w:eastAsia="方正仿宋_GBK" w:cs="方正仿宋_GBK"/>
          <w:color w:val="000000"/>
          <w:kern w:val="2"/>
          <w:sz w:val="32"/>
          <w:szCs w:val="24"/>
          <w:lang w:val="zh-CN"/>
        </w:rPr>
        <w:t>万元，下降</w:t>
      </w:r>
      <w:r>
        <w:rPr>
          <w:rFonts w:hint="eastAsia" w:ascii="方正仿宋_GBK" w:hAnsi="方正仿宋_GBK" w:eastAsia="方正仿宋_GBK" w:cs="方正仿宋_GBK"/>
          <w:color w:val="000000"/>
          <w:kern w:val="2"/>
          <w:sz w:val="32"/>
          <w:szCs w:val="24"/>
          <w:lang w:val="en-US" w:eastAsia="zh-CN"/>
        </w:rPr>
        <w:t>4.92</w:t>
      </w:r>
      <w:r>
        <w:rPr>
          <w:rFonts w:hint="eastAsia" w:ascii="方正仿宋_GBK" w:hAnsi="方正仿宋_GBK" w:eastAsia="方正仿宋_GBK" w:cs="方正仿宋_GBK"/>
          <w:color w:val="000000"/>
          <w:kern w:val="2"/>
          <w:sz w:val="32"/>
          <w:szCs w:val="24"/>
          <w:lang w:val="zh-CN"/>
        </w:rPr>
        <w:t>%，主要原因是认真贯彻落实“党政机关要坚持过紧日子” 的要求，厉行节约，从严控制“三公”经费开支。</w:t>
      </w:r>
      <w:r>
        <w:rPr>
          <w:rFonts w:hint="eastAsia" w:ascii="方正仿宋_GBK" w:hAnsi="方正仿宋_GBK" w:eastAsia="方正仿宋_GBK" w:cs="方正仿宋_GBK"/>
          <w:color w:val="000000"/>
          <w:kern w:val="2"/>
          <w:sz w:val="32"/>
          <w:szCs w:val="24"/>
          <w:lang w:val="en-US" w:eastAsia="zh-CN"/>
        </w:rPr>
        <w:t>其中</w:t>
      </w:r>
      <w:r>
        <w:rPr>
          <w:rFonts w:hint="eastAsia" w:ascii="方正仿宋_GBK" w:hAnsi="方正仿宋_GBK" w:eastAsia="方正仿宋_GBK" w:cs="方正仿宋_GBK"/>
          <w:color w:val="000000"/>
          <w:kern w:val="2"/>
          <w:sz w:val="32"/>
          <w:szCs w:val="24"/>
          <w:lang w:val="zh-CN"/>
        </w:rPr>
        <w:t>，因公出国（境）费支出决算0万元，占0%；公务用车购置及运行维护费支出决算14.94万元，占77.</w:t>
      </w:r>
      <w:r>
        <w:rPr>
          <w:rFonts w:hint="eastAsia" w:ascii="方正仿宋_GBK" w:hAnsi="方正仿宋_GBK" w:eastAsia="方正仿宋_GBK" w:cs="方正仿宋_GBK"/>
          <w:color w:val="000000"/>
          <w:kern w:val="2"/>
          <w:sz w:val="32"/>
          <w:szCs w:val="24"/>
          <w:lang w:val="en-US" w:eastAsia="zh-CN"/>
        </w:rPr>
        <w:t>29</w:t>
      </w:r>
      <w:r>
        <w:rPr>
          <w:rFonts w:hint="eastAsia" w:ascii="方正仿宋_GBK" w:hAnsi="方正仿宋_GBK" w:eastAsia="方正仿宋_GBK" w:cs="方正仿宋_GBK"/>
          <w:color w:val="000000"/>
          <w:kern w:val="2"/>
          <w:sz w:val="32"/>
          <w:szCs w:val="24"/>
          <w:lang w:val="zh-CN"/>
        </w:rPr>
        <w:t>%；公务接待费支出决算4.39万元，占22.7</w:t>
      </w:r>
      <w:r>
        <w:rPr>
          <w:rFonts w:hint="eastAsia" w:ascii="方正仿宋_GBK" w:hAnsi="方正仿宋_GBK" w:eastAsia="方正仿宋_GBK" w:cs="方正仿宋_GBK"/>
          <w:color w:val="000000"/>
          <w:kern w:val="2"/>
          <w:sz w:val="32"/>
          <w:szCs w:val="24"/>
          <w:lang w:val="en-US" w:eastAsia="zh-CN"/>
        </w:rPr>
        <w:t>1</w:t>
      </w:r>
      <w:r>
        <w:rPr>
          <w:rFonts w:hint="eastAsia" w:ascii="方正仿宋_GBK" w:hAnsi="方正仿宋_GBK" w:eastAsia="方正仿宋_GBK" w:cs="方正仿宋_GBK"/>
          <w:color w:val="000000"/>
          <w:kern w:val="2"/>
          <w:sz w:val="32"/>
          <w:szCs w:val="24"/>
          <w:lang w:val="zh-CN"/>
        </w:rPr>
        <w:t>%。具体情况如下：</w:t>
      </w:r>
    </w:p>
    <w:p>
      <w:pPr>
        <w:pStyle w:val="2"/>
        <w:rPr>
          <w:rFonts w:hint="eastAsia" w:ascii="方正仿宋_GBK" w:hAnsi="方正仿宋_GBK" w:eastAsia="方正仿宋_GBK" w:cs="方正仿宋_GBK"/>
          <w:color w:val="000000"/>
          <w:kern w:val="2"/>
          <w:sz w:val="32"/>
          <w:szCs w:val="24"/>
          <w:lang w:val="zh-CN"/>
        </w:rPr>
      </w:pPr>
    </w:p>
    <w:p>
      <w:pPr>
        <w:rPr>
          <w:rFonts w:hint="eastAsia"/>
          <w:lang w:val="zh-CN"/>
        </w:rPr>
      </w:pPr>
    </w:p>
    <w:p>
      <w:pPr>
        <w:pStyle w:val="5"/>
        <w:keepNext w:val="0"/>
        <w:keepLines w:val="0"/>
        <w:pageBreakBefore w:val="0"/>
        <w:widowControl w:val="0"/>
        <w:kinsoku/>
        <w:wordWrap/>
        <w:overflowPunct/>
        <w:topLinePunct w:val="0"/>
        <w:bidi w:val="0"/>
        <w:ind w:left="0" w:leftChars="0" w:firstLine="0" w:firstLineChars="0"/>
        <w:rPr>
          <w:rFonts w:hint="eastAsia" w:ascii="方正仿宋_GBK" w:hAnsi="方正仿宋_GBK" w:eastAsia="方正仿宋_GBK" w:cs="方正仿宋_GBK"/>
          <w:color w:val="000000"/>
          <w:kern w:val="2"/>
          <w:sz w:val="32"/>
          <w:szCs w:val="24"/>
          <w:lang w:val="zh-CN"/>
        </w:rPr>
      </w:pPr>
      <w:r>
        <w:rPr>
          <w:rFonts w:hint="eastAsia" w:ascii="方正仿宋_GBK" w:hAnsi="方正仿宋_GBK" w:eastAsia="方正仿宋_GBK" w:cs="方正仿宋_GBK"/>
        </w:rPr>
        <w:drawing>
          <wp:anchor distT="0" distB="0" distL="114300" distR="114300" simplePos="0" relativeHeight="251665408" behindDoc="1" locked="0" layoutInCell="1" allowOverlap="1">
            <wp:simplePos x="0" y="0"/>
            <wp:positionH relativeFrom="column">
              <wp:posOffset>648970</wp:posOffset>
            </wp:positionH>
            <wp:positionV relativeFrom="paragraph">
              <wp:posOffset>27305</wp:posOffset>
            </wp:positionV>
            <wp:extent cx="4172585" cy="2438400"/>
            <wp:effectExtent l="4445" t="4445" r="13970" b="14605"/>
            <wp:wrapTight wrapText="bothSides">
              <wp:wrapPolygon>
                <wp:start x="-23" y="-39"/>
                <wp:lineTo x="-23" y="21561"/>
                <wp:lineTo x="21574" y="21561"/>
                <wp:lineTo x="21574" y="-39"/>
                <wp:lineTo x="-23" y="-39"/>
              </wp:wrapPolygon>
            </wp:wrapTight>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5"/>
        <w:keepNext w:val="0"/>
        <w:keepLines w:val="0"/>
        <w:pageBreakBefore w:val="0"/>
        <w:widowControl w:val="0"/>
        <w:kinsoku/>
        <w:wordWrap/>
        <w:overflowPunct/>
        <w:topLinePunct w:val="0"/>
        <w:bidi w:val="0"/>
        <w:rPr>
          <w:rFonts w:hint="eastAsia" w:ascii="方正仿宋_GBK" w:hAnsi="方正仿宋_GBK" w:eastAsia="方正仿宋_GBK" w:cs="方正仿宋_GBK"/>
          <w:color w:val="000000"/>
          <w:kern w:val="2"/>
          <w:sz w:val="32"/>
          <w:szCs w:val="24"/>
          <w:lang w:val="zh-CN"/>
        </w:rPr>
      </w:pPr>
    </w:p>
    <w:p>
      <w:pPr>
        <w:pStyle w:val="5"/>
        <w:keepNext w:val="0"/>
        <w:keepLines w:val="0"/>
        <w:pageBreakBefore w:val="0"/>
        <w:widowControl w:val="0"/>
        <w:kinsoku/>
        <w:wordWrap/>
        <w:overflowPunct/>
        <w:topLinePunct w:val="0"/>
        <w:bidi w:val="0"/>
        <w:rPr>
          <w:rFonts w:hint="eastAsia" w:ascii="方正仿宋_GBK" w:hAnsi="方正仿宋_GBK" w:eastAsia="方正仿宋_GBK" w:cs="方正仿宋_GBK"/>
          <w:color w:val="000000"/>
          <w:kern w:val="2"/>
          <w:sz w:val="32"/>
          <w:szCs w:val="24"/>
          <w:lang w:val="zh-CN"/>
        </w:rPr>
      </w:pPr>
    </w:p>
    <w:p>
      <w:pPr>
        <w:pStyle w:val="5"/>
        <w:keepNext w:val="0"/>
        <w:keepLines w:val="0"/>
        <w:pageBreakBefore w:val="0"/>
        <w:widowControl w:val="0"/>
        <w:kinsoku/>
        <w:wordWrap/>
        <w:overflowPunct/>
        <w:topLinePunct w:val="0"/>
        <w:bidi w:val="0"/>
        <w:rPr>
          <w:rFonts w:hint="eastAsia" w:ascii="方正仿宋_GBK" w:hAnsi="方正仿宋_GBK" w:eastAsia="方正仿宋_GBK" w:cs="方正仿宋_GBK"/>
          <w:color w:val="000000"/>
          <w:kern w:val="2"/>
          <w:sz w:val="32"/>
          <w:szCs w:val="24"/>
          <w:lang w:val="zh-CN"/>
        </w:rPr>
      </w:pPr>
    </w:p>
    <w:p>
      <w:pPr>
        <w:pStyle w:val="5"/>
        <w:keepNext w:val="0"/>
        <w:keepLines w:val="0"/>
        <w:pageBreakBefore w:val="0"/>
        <w:widowControl w:val="0"/>
        <w:kinsoku/>
        <w:wordWrap/>
        <w:overflowPunct/>
        <w:topLinePunct w:val="0"/>
        <w:bidi w:val="0"/>
        <w:rPr>
          <w:rFonts w:hint="eastAsia" w:ascii="方正仿宋_GBK" w:hAnsi="方正仿宋_GBK" w:eastAsia="方正仿宋_GBK" w:cs="方正仿宋_GBK"/>
          <w:color w:val="000000"/>
          <w:kern w:val="2"/>
          <w:sz w:val="32"/>
          <w:szCs w:val="24"/>
          <w:lang w:val="zh-CN"/>
        </w:rPr>
      </w:pPr>
    </w:p>
    <w:p>
      <w:pPr>
        <w:pStyle w:val="5"/>
        <w:keepNext w:val="0"/>
        <w:keepLines w:val="0"/>
        <w:pageBreakBefore w:val="0"/>
        <w:widowControl w:val="0"/>
        <w:kinsoku/>
        <w:wordWrap/>
        <w:overflowPunct/>
        <w:topLinePunct w:val="0"/>
        <w:bidi w:val="0"/>
        <w:rPr>
          <w:rFonts w:hint="eastAsia" w:ascii="方正仿宋_GBK" w:hAnsi="方正仿宋_GBK" w:eastAsia="方正仿宋_GBK" w:cs="方正仿宋_GBK"/>
          <w:color w:val="000000"/>
          <w:kern w:val="2"/>
          <w:sz w:val="32"/>
          <w:szCs w:val="24"/>
          <w:lang w:val="zh-CN"/>
        </w:rPr>
      </w:pPr>
    </w:p>
    <w:p>
      <w:pPr>
        <w:pStyle w:val="5"/>
        <w:keepNext w:val="0"/>
        <w:keepLines w:val="0"/>
        <w:pageBreakBefore w:val="0"/>
        <w:widowControl w:val="0"/>
        <w:kinsoku/>
        <w:wordWrap/>
        <w:overflowPunct/>
        <w:topLinePunct w:val="0"/>
        <w:bidi w:val="0"/>
        <w:rPr>
          <w:rFonts w:hint="eastAsia" w:ascii="方正仿宋_GBK" w:hAnsi="方正仿宋_GBK" w:eastAsia="方正仿宋_GBK" w:cs="方正仿宋_GBK"/>
          <w:color w:val="000000"/>
          <w:kern w:val="2"/>
          <w:sz w:val="32"/>
          <w:szCs w:val="24"/>
          <w:lang w:val="zh-CN"/>
        </w:rPr>
      </w:pPr>
    </w:p>
    <w:p>
      <w:pPr>
        <w:keepNext w:val="0"/>
        <w:keepLines w:val="0"/>
        <w:pageBreakBefore w:val="0"/>
        <w:widowControl w:val="0"/>
        <w:kinsoku/>
        <w:wordWrap/>
        <w:overflowPunct/>
        <w:topLinePunct w:val="0"/>
        <w:bidi w:val="0"/>
        <w:spacing w:beforeLines="0" w:afterLines="0" w:line="600" w:lineRule="exact"/>
        <w:ind w:firstLine="640"/>
        <w:jc w:val="center"/>
        <w:rPr>
          <w:rFonts w:hint="eastAsia" w:ascii="方正仿宋_GBK" w:hAnsi="方正仿宋_GBK" w:eastAsia="方正仿宋_GBK" w:cs="方正仿宋_GBK"/>
          <w:color w:val="auto"/>
          <w:kern w:val="2"/>
          <w:sz w:val="32"/>
          <w:szCs w:val="24"/>
          <w:lang w:val="en-US"/>
        </w:rPr>
      </w:pPr>
      <w:r>
        <w:rPr>
          <w:rFonts w:hint="eastAsia" w:ascii="方正仿宋_GBK" w:hAnsi="方正仿宋_GBK" w:eastAsia="方正仿宋_GBK" w:cs="方正仿宋_GBK"/>
          <w:color w:val="auto"/>
          <w:kern w:val="2"/>
          <w:sz w:val="32"/>
          <w:szCs w:val="24"/>
          <w:lang w:val="en-US"/>
        </w:rPr>
        <w:t>图7：“三公”经费财政拨款支出结构</w:t>
      </w:r>
    </w:p>
    <w:p>
      <w:pPr>
        <w:keepNext w:val="0"/>
        <w:keepLines w:val="0"/>
        <w:pageBreakBefore w:val="0"/>
        <w:widowControl w:val="0"/>
        <w:kinsoku/>
        <w:wordWrap/>
        <w:overflowPunct/>
        <w:topLinePunct w:val="0"/>
        <w:bidi w:val="0"/>
        <w:spacing w:beforeLines="0" w:afterLines="0" w:line="576" w:lineRule="exact"/>
        <w:ind w:firstLine="643"/>
        <w:jc w:val="both"/>
        <w:rPr>
          <w:rFonts w:hint="eastAsia" w:ascii="方正仿宋_GBK" w:hAnsi="方正仿宋_GBK" w:eastAsia="方正仿宋_GBK" w:cs="方正仿宋_GBK"/>
          <w:color w:val="000000"/>
          <w:kern w:val="2"/>
          <w:sz w:val="32"/>
          <w:szCs w:val="24"/>
          <w:lang w:val="zh-CN"/>
        </w:rPr>
      </w:pPr>
      <w:r>
        <w:rPr>
          <w:rFonts w:hint="eastAsia" w:ascii="方正仿宋_GBK" w:hAnsi="方正仿宋_GBK" w:eastAsia="方正仿宋_GBK" w:cs="方正仿宋_GBK"/>
          <w:b/>
          <w:color w:val="000000"/>
          <w:kern w:val="2"/>
          <w:sz w:val="32"/>
          <w:szCs w:val="24"/>
          <w:lang w:val="zh-CN"/>
        </w:rPr>
        <w:t>1.因公出国（境）经费</w:t>
      </w:r>
      <w:r>
        <w:rPr>
          <w:rFonts w:hint="eastAsia" w:ascii="方正仿宋_GBK" w:hAnsi="方正仿宋_GBK" w:eastAsia="方正仿宋_GBK" w:cs="方正仿宋_GBK"/>
          <w:color w:val="000000"/>
          <w:kern w:val="2"/>
          <w:sz w:val="32"/>
          <w:szCs w:val="24"/>
          <w:lang w:val="zh-CN"/>
        </w:rPr>
        <w:t>支出0万元，完成预算0%。全年安排因公出国（境）团组0个，出国（境）0人。因公出国（境）支出决算</w:t>
      </w:r>
      <w:r>
        <w:rPr>
          <w:rFonts w:hint="eastAsia" w:ascii="方正仿宋_GBK" w:hAnsi="方正仿宋_GBK" w:eastAsia="方正仿宋_GBK" w:cs="方正仿宋_GBK"/>
          <w:color w:val="000000"/>
          <w:kern w:val="2"/>
          <w:sz w:val="32"/>
          <w:szCs w:val="24"/>
          <w:lang w:val="en-US" w:eastAsia="zh-CN"/>
        </w:rPr>
        <w:t>无相应支出，较</w:t>
      </w:r>
      <w:r>
        <w:rPr>
          <w:rFonts w:hint="eastAsia" w:ascii="方正仿宋_GBK" w:hAnsi="方正仿宋_GBK" w:eastAsia="方正仿宋_GBK" w:cs="方正仿宋_GBK"/>
          <w:color w:val="000000"/>
          <w:kern w:val="2"/>
          <w:sz w:val="32"/>
          <w:szCs w:val="24"/>
          <w:lang w:val="zh-CN"/>
        </w:rPr>
        <w:t>2021年</w:t>
      </w:r>
      <w:r>
        <w:rPr>
          <w:rFonts w:hint="eastAsia" w:ascii="方正仿宋_GBK" w:hAnsi="方正仿宋_GBK" w:eastAsia="方正仿宋_GBK" w:cs="方正仿宋_GBK"/>
          <w:color w:val="000000"/>
          <w:kern w:val="2"/>
          <w:sz w:val="32"/>
          <w:szCs w:val="24"/>
          <w:lang w:val="en-US" w:eastAsia="zh-CN"/>
        </w:rPr>
        <w:t>不变化</w:t>
      </w:r>
      <w:r>
        <w:rPr>
          <w:rFonts w:hint="eastAsia" w:ascii="方正仿宋_GBK" w:hAnsi="方正仿宋_GBK" w:eastAsia="方正仿宋_GBK" w:cs="方正仿宋_GBK"/>
          <w:color w:val="000000"/>
          <w:kern w:val="2"/>
          <w:sz w:val="32"/>
          <w:szCs w:val="24"/>
          <w:lang w:val="zh-CN"/>
        </w:rPr>
        <w:t>。</w:t>
      </w:r>
    </w:p>
    <w:p>
      <w:pPr>
        <w:keepNext w:val="0"/>
        <w:keepLines w:val="0"/>
        <w:pageBreakBefore w:val="0"/>
        <w:widowControl w:val="0"/>
        <w:kinsoku/>
        <w:wordWrap/>
        <w:overflowPunct/>
        <w:topLinePunct w:val="0"/>
        <w:bidi w:val="0"/>
        <w:spacing w:beforeLines="0" w:afterLines="0" w:line="576" w:lineRule="exact"/>
        <w:ind w:firstLine="643"/>
        <w:jc w:val="both"/>
        <w:rPr>
          <w:rFonts w:hint="eastAsia" w:ascii="方正仿宋_GBK" w:hAnsi="方正仿宋_GBK" w:eastAsia="方正仿宋_GBK" w:cs="方正仿宋_GBK"/>
          <w:color w:val="000000"/>
          <w:kern w:val="2"/>
          <w:sz w:val="32"/>
          <w:szCs w:val="24"/>
          <w:lang w:val="zh-CN"/>
        </w:rPr>
      </w:pPr>
      <w:r>
        <w:rPr>
          <w:rFonts w:hint="eastAsia" w:ascii="方正仿宋_GBK" w:hAnsi="方正仿宋_GBK" w:eastAsia="方正仿宋_GBK" w:cs="方正仿宋_GBK"/>
          <w:b/>
          <w:color w:val="000000"/>
          <w:kern w:val="2"/>
          <w:sz w:val="32"/>
          <w:szCs w:val="24"/>
          <w:lang w:val="zh-CN"/>
        </w:rPr>
        <w:t>2.公务用车购置及运行维护费</w:t>
      </w:r>
      <w:r>
        <w:rPr>
          <w:rFonts w:hint="eastAsia" w:ascii="方正仿宋_GBK" w:hAnsi="方正仿宋_GBK" w:eastAsia="方正仿宋_GBK" w:cs="方正仿宋_GBK"/>
          <w:color w:val="000000"/>
          <w:kern w:val="2"/>
          <w:sz w:val="32"/>
          <w:szCs w:val="24"/>
          <w:lang w:val="zh-CN"/>
        </w:rPr>
        <w:t>支出14.94万元，完成预算100%。公务用车购置及运行维护费支出决算比2021年减少</w:t>
      </w:r>
      <w:r>
        <w:rPr>
          <w:rFonts w:hint="eastAsia" w:ascii="方正仿宋_GBK" w:hAnsi="方正仿宋_GBK" w:eastAsia="方正仿宋_GBK" w:cs="方正仿宋_GBK"/>
          <w:color w:val="000000"/>
          <w:kern w:val="2"/>
          <w:sz w:val="32"/>
          <w:szCs w:val="24"/>
          <w:lang w:val="en-US" w:eastAsia="zh-CN"/>
        </w:rPr>
        <w:t>1.07</w:t>
      </w:r>
      <w:r>
        <w:rPr>
          <w:rFonts w:hint="eastAsia" w:ascii="方正仿宋_GBK" w:hAnsi="方正仿宋_GBK" w:eastAsia="方正仿宋_GBK" w:cs="方正仿宋_GBK"/>
          <w:color w:val="000000"/>
          <w:kern w:val="2"/>
          <w:sz w:val="32"/>
          <w:szCs w:val="24"/>
          <w:lang w:val="zh-CN"/>
        </w:rPr>
        <w:t>万元，下降</w:t>
      </w:r>
      <w:r>
        <w:rPr>
          <w:rFonts w:hint="eastAsia" w:ascii="方正仿宋_GBK" w:hAnsi="方正仿宋_GBK" w:eastAsia="方正仿宋_GBK" w:cs="方正仿宋_GBK"/>
          <w:color w:val="000000"/>
          <w:kern w:val="2"/>
          <w:sz w:val="32"/>
          <w:szCs w:val="24"/>
          <w:lang w:val="en-US" w:eastAsia="zh-CN"/>
        </w:rPr>
        <w:t>6.68</w:t>
      </w:r>
      <w:r>
        <w:rPr>
          <w:rFonts w:hint="eastAsia" w:ascii="方正仿宋_GBK" w:hAnsi="方正仿宋_GBK" w:eastAsia="方正仿宋_GBK" w:cs="方正仿宋_GBK"/>
          <w:color w:val="000000"/>
          <w:kern w:val="2"/>
          <w:sz w:val="32"/>
          <w:szCs w:val="24"/>
          <w:lang w:val="zh-CN"/>
        </w:rPr>
        <w:t>%。主要原因是认真贯彻落实“党政机关要坚持过紧日子” 的要求，厉行节约，从严控制</w:t>
      </w:r>
      <w:r>
        <w:rPr>
          <w:rFonts w:hint="eastAsia" w:ascii="方正仿宋_GBK" w:hAnsi="方正仿宋_GBK" w:eastAsia="方正仿宋_GBK" w:cs="方正仿宋_GBK"/>
          <w:color w:val="000000"/>
          <w:kern w:val="2"/>
          <w:sz w:val="32"/>
          <w:szCs w:val="24"/>
          <w:lang w:val="en-US" w:eastAsia="zh-CN"/>
        </w:rPr>
        <w:t>公务用车购置及运行维护费</w:t>
      </w:r>
      <w:r>
        <w:rPr>
          <w:rFonts w:hint="eastAsia" w:ascii="方正仿宋_GBK" w:hAnsi="方正仿宋_GBK" w:eastAsia="方正仿宋_GBK" w:cs="方正仿宋_GBK"/>
          <w:color w:val="000000"/>
          <w:kern w:val="2"/>
          <w:sz w:val="32"/>
          <w:szCs w:val="24"/>
          <w:lang w:val="zh-CN"/>
        </w:rPr>
        <w:t>经费开支。</w:t>
      </w:r>
    </w:p>
    <w:p>
      <w:pPr>
        <w:keepNext w:val="0"/>
        <w:keepLines w:val="0"/>
        <w:pageBreakBefore w:val="0"/>
        <w:widowControl w:val="0"/>
        <w:kinsoku/>
        <w:wordWrap/>
        <w:overflowPunct/>
        <w:topLinePunct w:val="0"/>
        <w:bidi w:val="0"/>
        <w:spacing w:beforeLines="0" w:afterLines="0" w:line="576" w:lineRule="exact"/>
        <w:ind w:firstLine="640"/>
        <w:jc w:val="both"/>
        <w:rPr>
          <w:rFonts w:hint="eastAsia" w:ascii="方正仿宋_GBK" w:hAnsi="方正仿宋_GBK" w:eastAsia="方正仿宋_GBK" w:cs="方正仿宋_GBK"/>
          <w:color w:val="000000"/>
          <w:kern w:val="2"/>
          <w:sz w:val="32"/>
          <w:szCs w:val="24"/>
          <w:lang w:val="zh-CN"/>
        </w:rPr>
      </w:pPr>
      <w:r>
        <w:rPr>
          <w:rFonts w:hint="eastAsia" w:ascii="方正仿宋_GBK" w:hAnsi="方正仿宋_GBK" w:eastAsia="方正仿宋_GBK" w:cs="方正仿宋_GBK"/>
          <w:color w:val="000000"/>
          <w:kern w:val="2"/>
          <w:sz w:val="32"/>
          <w:szCs w:val="24"/>
          <w:lang w:val="zh-CN"/>
        </w:rPr>
        <w:t>其中：</w:t>
      </w:r>
      <w:r>
        <w:rPr>
          <w:rFonts w:hint="eastAsia" w:ascii="方正仿宋_GBK" w:hAnsi="方正仿宋_GBK" w:eastAsia="方正仿宋_GBK" w:cs="方正仿宋_GBK"/>
          <w:b/>
          <w:color w:val="000000"/>
          <w:kern w:val="2"/>
          <w:sz w:val="32"/>
          <w:szCs w:val="24"/>
          <w:lang w:val="zh-CN"/>
        </w:rPr>
        <w:t>公务用车购置费</w:t>
      </w:r>
      <w:r>
        <w:rPr>
          <w:rFonts w:hint="eastAsia" w:ascii="方正仿宋_GBK" w:hAnsi="方正仿宋_GBK" w:eastAsia="方正仿宋_GBK" w:cs="方正仿宋_GBK"/>
          <w:color w:val="000000"/>
          <w:kern w:val="2"/>
          <w:sz w:val="32"/>
          <w:szCs w:val="24"/>
          <w:lang w:val="zh-CN"/>
        </w:rPr>
        <w:t>支出0万元。全年按规定更新购置公务用车0辆，</w:t>
      </w:r>
      <w:r>
        <w:rPr>
          <w:rFonts w:hint="eastAsia" w:ascii="方正仿宋_GBK" w:hAnsi="方正仿宋_GBK" w:eastAsia="方正仿宋_GBK" w:cs="方正仿宋_GBK"/>
          <w:color w:val="000000"/>
          <w:kern w:val="2"/>
          <w:sz w:val="32"/>
          <w:szCs w:val="24"/>
          <w:lang w:val="en-US" w:eastAsia="zh-CN"/>
        </w:rPr>
        <w:t>与2021年相比无变化</w:t>
      </w:r>
      <w:r>
        <w:rPr>
          <w:rFonts w:hint="eastAsia" w:ascii="方正仿宋_GBK" w:hAnsi="方正仿宋_GBK" w:eastAsia="方正仿宋_GBK" w:cs="方正仿宋_GBK"/>
          <w:color w:val="000000"/>
          <w:kern w:val="2"/>
          <w:sz w:val="32"/>
          <w:szCs w:val="24"/>
          <w:lang w:val="zh-CN"/>
        </w:rPr>
        <w:t>。截至2022年12月底，本部门共有公务用车10辆，其中：轿车</w:t>
      </w:r>
      <w:r>
        <w:rPr>
          <w:rFonts w:hint="eastAsia" w:ascii="方正仿宋_GBK" w:hAnsi="方正仿宋_GBK" w:eastAsia="方正仿宋_GBK" w:cs="方正仿宋_GBK"/>
          <w:color w:val="000000"/>
          <w:kern w:val="2"/>
          <w:sz w:val="32"/>
          <w:szCs w:val="24"/>
          <w:lang w:val="en-US" w:eastAsia="zh-CN"/>
        </w:rPr>
        <w:t>0</w:t>
      </w:r>
      <w:r>
        <w:rPr>
          <w:rFonts w:hint="eastAsia" w:ascii="方正仿宋_GBK" w:hAnsi="方正仿宋_GBK" w:eastAsia="方正仿宋_GBK" w:cs="方正仿宋_GBK"/>
          <w:color w:val="000000"/>
          <w:kern w:val="2"/>
          <w:sz w:val="32"/>
          <w:szCs w:val="24"/>
          <w:lang w:val="zh-CN"/>
        </w:rPr>
        <w:t>辆、越野车</w:t>
      </w:r>
      <w:r>
        <w:rPr>
          <w:rFonts w:hint="eastAsia" w:ascii="方正仿宋_GBK" w:hAnsi="方正仿宋_GBK" w:eastAsia="方正仿宋_GBK" w:cs="方正仿宋_GBK"/>
          <w:color w:val="000000"/>
          <w:kern w:val="2"/>
          <w:sz w:val="32"/>
          <w:szCs w:val="24"/>
          <w:lang w:val="en-US" w:eastAsia="zh-CN"/>
        </w:rPr>
        <w:t>4</w:t>
      </w:r>
      <w:r>
        <w:rPr>
          <w:rFonts w:hint="eastAsia" w:ascii="方正仿宋_GBK" w:hAnsi="方正仿宋_GBK" w:eastAsia="方正仿宋_GBK" w:cs="方正仿宋_GBK"/>
          <w:color w:val="000000"/>
          <w:kern w:val="2"/>
          <w:sz w:val="32"/>
          <w:szCs w:val="24"/>
          <w:lang w:val="zh-CN"/>
        </w:rPr>
        <w:t>辆、小型载客汽车</w:t>
      </w:r>
      <w:r>
        <w:rPr>
          <w:rFonts w:hint="eastAsia" w:ascii="方正仿宋_GBK" w:hAnsi="方正仿宋_GBK" w:eastAsia="方正仿宋_GBK" w:cs="方正仿宋_GBK"/>
          <w:color w:val="000000"/>
          <w:kern w:val="2"/>
          <w:sz w:val="32"/>
          <w:szCs w:val="24"/>
          <w:lang w:val="en-US" w:eastAsia="zh-CN"/>
        </w:rPr>
        <w:t>0</w:t>
      </w:r>
      <w:r>
        <w:rPr>
          <w:rFonts w:hint="eastAsia" w:ascii="方正仿宋_GBK" w:hAnsi="方正仿宋_GBK" w:eastAsia="方正仿宋_GBK" w:cs="方正仿宋_GBK"/>
          <w:color w:val="000000"/>
          <w:kern w:val="2"/>
          <w:sz w:val="32"/>
          <w:szCs w:val="24"/>
          <w:lang w:val="zh-CN"/>
        </w:rPr>
        <w:t>辆、大中型载客汽车</w:t>
      </w:r>
      <w:r>
        <w:rPr>
          <w:rFonts w:hint="eastAsia" w:ascii="方正仿宋_GBK" w:hAnsi="方正仿宋_GBK" w:eastAsia="方正仿宋_GBK" w:cs="方正仿宋_GBK"/>
          <w:color w:val="000000"/>
          <w:kern w:val="2"/>
          <w:sz w:val="32"/>
          <w:szCs w:val="24"/>
          <w:lang w:val="en-US" w:eastAsia="zh-CN"/>
        </w:rPr>
        <w:t>0</w:t>
      </w:r>
      <w:r>
        <w:rPr>
          <w:rFonts w:hint="eastAsia" w:ascii="方正仿宋_GBK" w:hAnsi="方正仿宋_GBK" w:eastAsia="方正仿宋_GBK" w:cs="方正仿宋_GBK"/>
          <w:color w:val="000000"/>
          <w:kern w:val="2"/>
          <w:sz w:val="32"/>
          <w:szCs w:val="24"/>
          <w:lang w:val="zh-CN"/>
        </w:rPr>
        <w:t>辆、</w:t>
      </w:r>
      <w:r>
        <w:rPr>
          <w:rFonts w:hint="eastAsia" w:ascii="方正仿宋_GBK" w:hAnsi="方正仿宋_GBK" w:eastAsia="方正仿宋_GBK" w:cs="方正仿宋_GBK"/>
          <w:color w:val="000000"/>
          <w:sz w:val="32"/>
          <w:szCs w:val="32"/>
        </w:rPr>
        <w:t>救</w:t>
      </w:r>
      <w:r>
        <w:rPr>
          <w:rFonts w:hint="eastAsia" w:ascii="方正仿宋_GBK" w:hAnsi="方正仿宋_GBK" w:eastAsia="方正仿宋_GBK" w:cs="方正仿宋_GBK"/>
          <w:color w:val="000000"/>
          <w:sz w:val="32"/>
          <w:szCs w:val="32"/>
          <w:lang w:eastAsia="zh-CN"/>
        </w:rPr>
        <w:t>险</w:t>
      </w:r>
      <w:r>
        <w:rPr>
          <w:rFonts w:hint="eastAsia" w:ascii="方正仿宋_GBK" w:hAnsi="方正仿宋_GBK" w:eastAsia="方正仿宋_GBK" w:cs="方正仿宋_GBK"/>
          <w:color w:val="000000"/>
          <w:sz w:val="32"/>
          <w:szCs w:val="32"/>
        </w:rPr>
        <w:t>车</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辆、</w:t>
      </w:r>
      <w:r>
        <w:rPr>
          <w:rFonts w:hint="eastAsia" w:ascii="方正仿宋_GBK" w:hAnsi="方正仿宋_GBK" w:eastAsia="方正仿宋_GBK" w:cs="方正仿宋_GBK"/>
          <w:color w:val="000000"/>
          <w:sz w:val="32"/>
          <w:szCs w:val="32"/>
          <w:lang w:eastAsia="zh-CN"/>
        </w:rPr>
        <w:t>货车</w:t>
      </w:r>
      <w:r>
        <w:rPr>
          <w:rFonts w:hint="eastAsia" w:ascii="方正仿宋_GBK" w:hAnsi="方正仿宋_GBK" w:eastAsia="方正仿宋_GBK" w:cs="方正仿宋_GBK"/>
          <w:color w:val="000000"/>
          <w:sz w:val="32"/>
          <w:szCs w:val="32"/>
        </w:rPr>
        <w:t>1辆</w:t>
      </w:r>
      <w:r>
        <w:rPr>
          <w:rFonts w:hint="eastAsia" w:ascii="方正仿宋_GBK" w:hAnsi="方正仿宋_GBK" w:eastAsia="方正仿宋_GBK" w:cs="方正仿宋_GBK"/>
          <w:color w:val="000000"/>
          <w:kern w:val="2"/>
          <w:sz w:val="32"/>
          <w:szCs w:val="24"/>
          <w:lang w:val="zh-CN"/>
        </w:rPr>
        <w:t>。</w:t>
      </w:r>
    </w:p>
    <w:p>
      <w:pPr>
        <w:keepNext w:val="0"/>
        <w:keepLines w:val="0"/>
        <w:pageBreakBefore w:val="0"/>
        <w:widowControl w:val="0"/>
        <w:kinsoku/>
        <w:wordWrap/>
        <w:overflowPunct/>
        <w:topLinePunct w:val="0"/>
        <w:bidi w:val="0"/>
        <w:spacing w:beforeLines="0" w:afterLines="0" w:line="576" w:lineRule="exact"/>
        <w:ind w:firstLine="643"/>
        <w:jc w:val="both"/>
        <w:rPr>
          <w:rFonts w:hint="eastAsia" w:ascii="方正仿宋_GBK" w:hAnsi="方正仿宋_GBK" w:eastAsia="方正仿宋_GBK" w:cs="方正仿宋_GBK"/>
          <w:color w:val="000000"/>
          <w:kern w:val="2"/>
          <w:sz w:val="32"/>
          <w:szCs w:val="24"/>
          <w:lang w:val="zh-CN"/>
        </w:rPr>
      </w:pPr>
      <w:r>
        <w:rPr>
          <w:rFonts w:hint="eastAsia" w:ascii="方正仿宋_GBK" w:hAnsi="方正仿宋_GBK" w:eastAsia="方正仿宋_GBK" w:cs="方正仿宋_GBK"/>
          <w:b/>
          <w:color w:val="000000"/>
          <w:kern w:val="2"/>
          <w:sz w:val="32"/>
          <w:szCs w:val="24"/>
          <w:lang w:val="zh-CN"/>
        </w:rPr>
        <w:t>公务用车运行维护费</w:t>
      </w:r>
      <w:r>
        <w:rPr>
          <w:rFonts w:hint="eastAsia" w:ascii="方正仿宋_GBK" w:hAnsi="方正仿宋_GBK" w:eastAsia="方正仿宋_GBK" w:cs="方正仿宋_GBK"/>
          <w:color w:val="000000"/>
          <w:kern w:val="2"/>
          <w:sz w:val="32"/>
          <w:szCs w:val="24"/>
          <w:lang w:val="zh-CN"/>
        </w:rPr>
        <w:t>支出14.94万元，比2021年减少</w:t>
      </w:r>
      <w:r>
        <w:rPr>
          <w:rFonts w:hint="eastAsia" w:ascii="方正仿宋_GBK" w:hAnsi="方正仿宋_GBK" w:eastAsia="方正仿宋_GBK" w:cs="方正仿宋_GBK"/>
          <w:color w:val="000000"/>
          <w:kern w:val="2"/>
          <w:sz w:val="32"/>
          <w:szCs w:val="24"/>
          <w:lang w:val="en-US" w:eastAsia="zh-CN"/>
        </w:rPr>
        <w:t>1.07</w:t>
      </w:r>
      <w:r>
        <w:rPr>
          <w:rFonts w:hint="eastAsia" w:ascii="方正仿宋_GBK" w:hAnsi="方正仿宋_GBK" w:eastAsia="方正仿宋_GBK" w:cs="方正仿宋_GBK"/>
          <w:color w:val="000000"/>
          <w:kern w:val="2"/>
          <w:sz w:val="32"/>
          <w:szCs w:val="24"/>
          <w:lang w:val="zh-CN"/>
        </w:rPr>
        <w:t>万元，下降</w:t>
      </w:r>
      <w:r>
        <w:rPr>
          <w:rFonts w:hint="eastAsia" w:ascii="方正仿宋_GBK" w:hAnsi="方正仿宋_GBK" w:eastAsia="方正仿宋_GBK" w:cs="方正仿宋_GBK"/>
          <w:color w:val="000000"/>
          <w:kern w:val="2"/>
          <w:sz w:val="32"/>
          <w:szCs w:val="24"/>
          <w:lang w:val="en-US" w:eastAsia="zh-CN"/>
        </w:rPr>
        <w:t>6.68</w:t>
      </w:r>
      <w:r>
        <w:rPr>
          <w:rFonts w:hint="eastAsia" w:ascii="方正仿宋_GBK" w:hAnsi="方正仿宋_GBK" w:eastAsia="方正仿宋_GBK" w:cs="方正仿宋_GBK"/>
          <w:color w:val="000000"/>
          <w:kern w:val="2"/>
          <w:sz w:val="32"/>
          <w:szCs w:val="24"/>
          <w:lang w:val="zh-CN"/>
        </w:rPr>
        <w:t>%。主要原因是认真贯彻落实“党政机关要坚持过紧日子” 的要求，厉行节约，从严控制</w:t>
      </w:r>
      <w:r>
        <w:rPr>
          <w:rFonts w:hint="eastAsia" w:ascii="方正仿宋_GBK" w:hAnsi="方正仿宋_GBK" w:eastAsia="方正仿宋_GBK" w:cs="方正仿宋_GBK"/>
          <w:color w:val="000000"/>
          <w:kern w:val="2"/>
          <w:sz w:val="32"/>
          <w:szCs w:val="24"/>
          <w:lang w:val="en-US" w:eastAsia="zh-CN"/>
        </w:rPr>
        <w:t>公务用车购置及运行维护费</w:t>
      </w:r>
      <w:r>
        <w:rPr>
          <w:rFonts w:hint="eastAsia" w:ascii="方正仿宋_GBK" w:hAnsi="方正仿宋_GBK" w:eastAsia="方正仿宋_GBK" w:cs="方正仿宋_GBK"/>
          <w:color w:val="000000"/>
          <w:kern w:val="2"/>
          <w:sz w:val="32"/>
          <w:szCs w:val="24"/>
          <w:lang w:val="zh-CN"/>
        </w:rPr>
        <w:t>经费开支。主要用于</w:t>
      </w:r>
      <w:r>
        <w:rPr>
          <w:rFonts w:hint="eastAsia" w:ascii="方正仿宋_GBK" w:hAnsi="方正仿宋_GBK" w:eastAsia="方正仿宋_GBK" w:cs="方正仿宋_GBK"/>
          <w:color w:val="000000"/>
          <w:kern w:val="2"/>
          <w:sz w:val="32"/>
          <w:szCs w:val="24"/>
          <w:lang w:val="en-US" w:eastAsia="zh-CN"/>
        </w:rPr>
        <w:t>应急管理、</w:t>
      </w:r>
      <w:r>
        <w:rPr>
          <w:rFonts w:hint="eastAsia" w:ascii="方正仿宋_GBK" w:hAnsi="方正仿宋_GBK" w:eastAsia="方正仿宋_GBK" w:cs="方正仿宋_GBK"/>
          <w:color w:val="000000"/>
          <w:sz w:val="32"/>
          <w:szCs w:val="32"/>
        </w:rPr>
        <w:t>应急救援、</w:t>
      </w:r>
      <w:r>
        <w:rPr>
          <w:rFonts w:hint="eastAsia" w:ascii="方正仿宋_GBK" w:hAnsi="方正仿宋_GBK" w:eastAsia="方正仿宋_GBK" w:cs="方正仿宋_GBK"/>
          <w:color w:val="000000"/>
          <w:sz w:val="32"/>
          <w:szCs w:val="32"/>
          <w:lang w:val="en-US" w:eastAsia="zh-CN"/>
        </w:rPr>
        <w:t>安全监管、</w:t>
      </w:r>
      <w:r>
        <w:rPr>
          <w:rFonts w:hint="eastAsia" w:ascii="方正仿宋_GBK" w:hAnsi="方正仿宋_GBK" w:eastAsia="方正仿宋_GBK" w:cs="方正仿宋_GBK"/>
          <w:color w:val="000000"/>
          <w:sz w:val="32"/>
          <w:szCs w:val="32"/>
        </w:rPr>
        <w:t>执法办案</w:t>
      </w:r>
      <w:r>
        <w:rPr>
          <w:rFonts w:hint="eastAsia" w:ascii="方正仿宋_GBK" w:hAnsi="方正仿宋_GBK" w:eastAsia="方正仿宋_GBK" w:cs="方正仿宋_GBK"/>
          <w:color w:val="000000"/>
          <w:kern w:val="2"/>
          <w:sz w:val="32"/>
          <w:szCs w:val="24"/>
          <w:lang w:val="zh-CN"/>
        </w:rPr>
        <w:t>等所需的公务用车燃料费、维修费、过路过桥费、保险费等支出。</w:t>
      </w:r>
    </w:p>
    <w:p>
      <w:pPr>
        <w:keepNext w:val="0"/>
        <w:keepLines w:val="0"/>
        <w:pageBreakBefore w:val="0"/>
        <w:widowControl w:val="0"/>
        <w:kinsoku/>
        <w:wordWrap/>
        <w:overflowPunct/>
        <w:topLinePunct w:val="0"/>
        <w:bidi w:val="0"/>
        <w:spacing w:beforeLines="0" w:afterLines="0" w:line="576" w:lineRule="exact"/>
        <w:ind w:firstLine="643"/>
        <w:jc w:val="both"/>
        <w:rPr>
          <w:rFonts w:hint="eastAsia" w:ascii="方正仿宋_GBK" w:hAnsi="方正仿宋_GBK" w:eastAsia="方正仿宋_GBK" w:cs="方正仿宋_GBK"/>
          <w:color w:val="000000"/>
          <w:kern w:val="2"/>
          <w:sz w:val="32"/>
          <w:szCs w:val="24"/>
          <w:lang w:val="zh-CN"/>
        </w:rPr>
      </w:pPr>
      <w:r>
        <w:rPr>
          <w:rFonts w:hint="eastAsia" w:ascii="方正仿宋_GBK" w:hAnsi="方正仿宋_GBK" w:eastAsia="方正仿宋_GBK" w:cs="方正仿宋_GBK"/>
          <w:b/>
          <w:color w:val="000000"/>
          <w:kern w:val="2"/>
          <w:sz w:val="32"/>
          <w:szCs w:val="24"/>
          <w:lang w:val="zh-CN"/>
        </w:rPr>
        <w:t>3.公务接待费</w:t>
      </w:r>
      <w:r>
        <w:rPr>
          <w:rFonts w:hint="eastAsia" w:ascii="方正仿宋_GBK" w:hAnsi="方正仿宋_GBK" w:eastAsia="方正仿宋_GBK" w:cs="方正仿宋_GBK"/>
          <w:color w:val="000000"/>
          <w:kern w:val="2"/>
          <w:sz w:val="32"/>
          <w:szCs w:val="24"/>
          <w:lang w:val="zh-CN"/>
        </w:rPr>
        <w:t>支出4.39万元，完成预算100%。公务接待费支出决算比2021年减少</w:t>
      </w:r>
      <w:r>
        <w:rPr>
          <w:rFonts w:hint="eastAsia" w:ascii="方正仿宋_GBK" w:hAnsi="方正仿宋_GBK" w:eastAsia="方正仿宋_GBK" w:cs="方正仿宋_GBK"/>
          <w:color w:val="000000"/>
          <w:kern w:val="2"/>
          <w:sz w:val="32"/>
          <w:szCs w:val="24"/>
          <w:lang w:val="en-US" w:eastAsia="zh-CN"/>
        </w:rPr>
        <w:t>0.06</w:t>
      </w:r>
      <w:r>
        <w:rPr>
          <w:rFonts w:hint="eastAsia" w:ascii="方正仿宋_GBK" w:hAnsi="方正仿宋_GBK" w:eastAsia="方正仿宋_GBK" w:cs="方正仿宋_GBK"/>
          <w:color w:val="000000"/>
          <w:kern w:val="2"/>
          <w:sz w:val="32"/>
          <w:szCs w:val="24"/>
          <w:lang w:val="zh-CN"/>
        </w:rPr>
        <w:t>万元，下降</w:t>
      </w:r>
      <w:r>
        <w:rPr>
          <w:rFonts w:hint="eastAsia" w:ascii="方正仿宋_GBK" w:hAnsi="方正仿宋_GBK" w:eastAsia="方正仿宋_GBK" w:cs="方正仿宋_GBK"/>
          <w:color w:val="000000"/>
          <w:kern w:val="2"/>
          <w:sz w:val="32"/>
          <w:szCs w:val="24"/>
          <w:lang w:val="en-US" w:eastAsia="zh-CN"/>
        </w:rPr>
        <w:t>1.39</w:t>
      </w:r>
      <w:r>
        <w:rPr>
          <w:rFonts w:hint="eastAsia" w:ascii="方正仿宋_GBK" w:hAnsi="方正仿宋_GBK" w:eastAsia="方正仿宋_GBK" w:cs="方正仿宋_GBK"/>
          <w:color w:val="000000"/>
          <w:kern w:val="2"/>
          <w:sz w:val="32"/>
          <w:szCs w:val="24"/>
          <w:lang w:val="zh-CN"/>
        </w:rPr>
        <w:t>%。主要原因是主要原因是受疫情影响，接待活动有所减少。其中：</w:t>
      </w:r>
    </w:p>
    <w:p>
      <w:pPr>
        <w:keepNext w:val="0"/>
        <w:keepLines w:val="0"/>
        <w:pageBreakBefore w:val="0"/>
        <w:widowControl w:val="0"/>
        <w:kinsoku/>
        <w:wordWrap/>
        <w:overflowPunct/>
        <w:topLinePunct w:val="0"/>
        <w:bidi w:val="0"/>
        <w:spacing w:beforeLines="0" w:afterLines="0" w:line="576" w:lineRule="exact"/>
        <w:ind w:firstLine="643"/>
        <w:jc w:val="both"/>
        <w:rPr>
          <w:rFonts w:hint="eastAsia" w:ascii="方正仿宋_GBK" w:hAnsi="方正仿宋_GBK" w:eastAsia="方正仿宋_GBK" w:cs="方正仿宋_GBK"/>
          <w:lang w:val="zh-CN"/>
        </w:rPr>
      </w:pPr>
      <w:r>
        <w:rPr>
          <w:rFonts w:hint="eastAsia" w:ascii="方正仿宋_GBK" w:hAnsi="方正仿宋_GBK" w:eastAsia="方正仿宋_GBK" w:cs="方正仿宋_GBK"/>
          <w:b/>
          <w:color w:val="000000"/>
          <w:kern w:val="2"/>
          <w:sz w:val="32"/>
          <w:szCs w:val="24"/>
          <w:lang w:val="zh-CN"/>
        </w:rPr>
        <w:t>国内公务接待</w:t>
      </w:r>
      <w:r>
        <w:rPr>
          <w:rFonts w:hint="eastAsia" w:ascii="方正仿宋_GBK" w:hAnsi="方正仿宋_GBK" w:eastAsia="方正仿宋_GBK" w:cs="方正仿宋_GBK"/>
          <w:color w:val="000000"/>
          <w:kern w:val="2"/>
          <w:sz w:val="32"/>
          <w:szCs w:val="24"/>
          <w:lang w:val="zh-CN"/>
        </w:rPr>
        <w:t>支出4.39万元，比2021年减少</w:t>
      </w:r>
      <w:r>
        <w:rPr>
          <w:rFonts w:hint="eastAsia" w:ascii="方正仿宋_GBK" w:hAnsi="方正仿宋_GBK" w:eastAsia="方正仿宋_GBK" w:cs="方正仿宋_GBK"/>
          <w:color w:val="000000"/>
          <w:kern w:val="2"/>
          <w:sz w:val="32"/>
          <w:szCs w:val="24"/>
          <w:lang w:val="en-US" w:eastAsia="zh-CN"/>
        </w:rPr>
        <w:t>0.06</w:t>
      </w:r>
      <w:r>
        <w:rPr>
          <w:rFonts w:hint="eastAsia" w:ascii="方正仿宋_GBK" w:hAnsi="方正仿宋_GBK" w:eastAsia="方正仿宋_GBK" w:cs="方正仿宋_GBK"/>
          <w:color w:val="000000"/>
          <w:kern w:val="2"/>
          <w:sz w:val="32"/>
          <w:szCs w:val="24"/>
          <w:lang w:val="zh-CN"/>
        </w:rPr>
        <w:t>万元，下降</w:t>
      </w:r>
      <w:r>
        <w:rPr>
          <w:rFonts w:hint="eastAsia" w:ascii="方正仿宋_GBK" w:hAnsi="方正仿宋_GBK" w:eastAsia="方正仿宋_GBK" w:cs="方正仿宋_GBK"/>
          <w:color w:val="000000"/>
          <w:kern w:val="2"/>
          <w:sz w:val="32"/>
          <w:szCs w:val="24"/>
          <w:lang w:val="en-US" w:eastAsia="zh-CN"/>
        </w:rPr>
        <w:t>1.39</w:t>
      </w:r>
      <w:r>
        <w:rPr>
          <w:rFonts w:hint="eastAsia" w:ascii="方正仿宋_GBK" w:hAnsi="方正仿宋_GBK" w:eastAsia="方正仿宋_GBK" w:cs="方正仿宋_GBK"/>
          <w:color w:val="000000"/>
          <w:kern w:val="2"/>
          <w:sz w:val="32"/>
          <w:szCs w:val="24"/>
          <w:lang w:val="zh-CN"/>
        </w:rPr>
        <w:t>%，主要原因是主要原因是受疫情影响，接待活动有所减少。主要用于执行公务、开展业务活动开支的用餐费等。国内公务接待38批次，356人次，共计支出4.39万元，具体内容包括</w:t>
      </w:r>
      <w:r>
        <w:rPr>
          <w:rFonts w:hint="eastAsia" w:ascii="方正仿宋_GBK" w:hAnsi="方正仿宋_GBK" w:eastAsia="方正仿宋_GBK" w:cs="方正仿宋_GBK"/>
          <w:color w:val="000000"/>
          <w:kern w:val="2"/>
          <w:sz w:val="32"/>
          <w:szCs w:val="24"/>
          <w:lang w:val="en-US" w:eastAsia="zh-CN"/>
        </w:rPr>
        <w:t>接待省安办水电行业“堵漏洞、防事故、保安全”安全生产专项督导组用餐费用0.19万元、接待2022年春节及全国两会期间省级安全生产专项督查工作用餐费用0.27万元、接待应急厅来广安检查煤矿安全和防汛减灾工作用餐费用0.3万元、接待国家矿山安全监察局四川局来广安调研煤矿安全生产活动用餐费用0.14万元、接待四川省质量标准化检查组支出0.09万元、接待邻水县应急救援中心支出0.03万元、接待筠连县综合应急救援支队来广学习考察支出0.12万元、接待四川省生产安全应急救援信息中心开展联合处置森林火灾经验交流支出0.05万元、接待邻水县应急救援中心考察学习应急救援基地建设支出0.15万元等。</w:t>
      </w:r>
    </w:p>
    <w:p>
      <w:pPr>
        <w:keepNext w:val="0"/>
        <w:keepLines w:val="0"/>
        <w:pageBreakBefore w:val="0"/>
        <w:widowControl w:val="0"/>
        <w:kinsoku/>
        <w:wordWrap/>
        <w:overflowPunct/>
        <w:topLinePunct w:val="0"/>
        <w:bidi w:val="0"/>
        <w:spacing w:beforeLines="0" w:afterLines="0" w:line="576" w:lineRule="exact"/>
        <w:ind w:firstLine="643"/>
        <w:jc w:val="both"/>
        <w:rPr>
          <w:rFonts w:hint="eastAsia" w:ascii="方正仿宋_GBK" w:hAnsi="方正仿宋_GBK" w:eastAsia="方正仿宋_GBK" w:cs="方正仿宋_GBK"/>
          <w:color w:val="000000"/>
          <w:kern w:val="2"/>
          <w:sz w:val="32"/>
          <w:szCs w:val="24"/>
          <w:lang w:val="en-US"/>
        </w:rPr>
      </w:pPr>
      <w:r>
        <w:rPr>
          <w:rFonts w:hint="eastAsia" w:ascii="方正仿宋_GBK" w:hAnsi="方正仿宋_GBK" w:eastAsia="方正仿宋_GBK" w:cs="方正仿宋_GBK"/>
          <w:b/>
          <w:color w:val="000000"/>
          <w:kern w:val="2"/>
          <w:sz w:val="32"/>
          <w:szCs w:val="24"/>
          <w:lang w:val="zh-CN"/>
        </w:rPr>
        <w:t>外事接待</w:t>
      </w:r>
      <w:r>
        <w:rPr>
          <w:rFonts w:hint="eastAsia" w:ascii="方正仿宋_GBK" w:hAnsi="方正仿宋_GBK" w:eastAsia="方正仿宋_GBK" w:cs="方正仿宋_GBK"/>
          <w:color w:val="000000"/>
          <w:kern w:val="2"/>
          <w:sz w:val="32"/>
          <w:szCs w:val="24"/>
          <w:lang w:val="zh-CN"/>
        </w:rPr>
        <w:t>支出0万元，</w:t>
      </w:r>
      <w:r>
        <w:rPr>
          <w:rFonts w:hint="eastAsia" w:ascii="方正仿宋_GBK" w:hAnsi="方正仿宋_GBK" w:eastAsia="方正仿宋_GBK" w:cs="方正仿宋_GBK"/>
          <w:color w:val="000000"/>
          <w:kern w:val="2"/>
          <w:sz w:val="32"/>
          <w:szCs w:val="24"/>
          <w:lang w:val="en-US" w:eastAsia="zh-CN"/>
        </w:rPr>
        <w:t>与2021年相比无变化</w:t>
      </w:r>
      <w:r>
        <w:rPr>
          <w:rFonts w:hint="eastAsia" w:ascii="方正仿宋_GBK" w:hAnsi="方正仿宋_GBK" w:eastAsia="方正仿宋_GBK" w:cs="方正仿宋_GBK"/>
          <w:color w:val="000000"/>
          <w:kern w:val="2"/>
          <w:sz w:val="32"/>
          <w:szCs w:val="24"/>
          <w:lang w:val="zh-CN"/>
        </w:rPr>
        <w:t>。外事接待0批次，0人，共计支出0万元。</w:t>
      </w:r>
    </w:p>
    <w:p>
      <w:pPr>
        <w:pStyle w:val="3"/>
        <w:bidi w:val="0"/>
        <w:jc w:val="both"/>
        <w:rPr>
          <w:rFonts w:hint="eastAsia"/>
          <w:lang w:val="zh-CN"/>
        </w:rPr>
      </w:pPr>
      <w:bookmarkStart w:id="25" w:name="_Toc18142"/>
      <w:r>
        <w:rPr>
          <w:rFonts w:hint="eastAsia"/>
          <w:lang w:val="en-US" w:eastAsia="zh-CN"/>
        </w:rPr>
        <w:t>九</w:t>
      </w:r>
      <w:r>
        <w:rPr>
          <w:rFonts w:hint="eastAsia"/>
          <w:lang w:val="zh-CN"/>
        </w:rPr>
        <w:t>、政府性基金预算支出决算情况说明</w:t>
      </w:r>
      <w:bookmarkEnd w:id="25"/>
    </w:p>
    <w:p>
      <w:pPr>
        <w:keepNext w:val="0"/>
        <w:keepLines w:val="0"/>
        <w:pageBreakBefore w:val="0"/>
        <w:widowControl w:val="0"/>
        <w:kinsoku/>
        <w:wordWrap/>
        <w:overflowPunct/>
        <w:topLinePunct w:val="0"/>
        <w:bidi w:val="0"/>
        <w:spacing w:beforeLines="0" w:afterLines="0" w:line="576" w:lineRule="exact"/>
        <w:ind w:firstLine="640"/>
        <w:jc w:val="both"/>
        <w:rPr>
          <w:rFonts w:hint="eastAsia" w:ascii="方正仿宋_GBK" w:hAnsi="方正仿宋_GBK" w:eastAsia="方正仿宋_GBK" w:cs="方正仿宋_GBK"/>
          <w:color w:val="000000"/>
          <w:kern w:val="2"/>
          <w:sz w:val="32"/>
          <w:szCs w:val="24"/>
          <w:lang w:val="zh-CN"/>
        </w:rPr>
      </w:pPr>
      <w:r>
        <w:rPr>
          <w:rFonts w:hint="eastAsia" w:ascii="方正仿宋_GBK" w:hAnsi="方正仿宋_GBK" w:eastAsia="方正仿宋_GBK" w:cs="方正仿宋_GBK"/>
          <w:color w:val="000000"/>
          <w:kern w:val="2"/>
          <w:sz w:val="32"/>
          <w:szCs w:val="24"/>
          <w:lang w:val="zh-CN"/>
        </w:rPr>
        <w:t>2022年政府性基金预算拨款支出10万元。</w:t>
      </w:r>
    </w:p>
    <w:p>
      <w:pPr>
        <w:pStyle w:val="3"/>
        <w:bidi w:val="0"/>
        <w:jc w:val="both"/>
        <w:rPr>
          <w:rFonts w:hint="eastAsia"/>
          <w:lang w:val="zh-CN"/>
        </w:rPr>
      </w:pPr>
      <w:bookmarkStart w:id="26" w:name="_Toc22548"/>
      <w:r>
        <w:rPr>
          <w:rFonts w:hint="eastAsia"/>
          <w:lang w:val="en-US" w:eastAsia="zh-CN"/>
        </w:rPr>
        <w:t>十</w:t>
      </w:r>
      <w:r>
        <w:rPr>
          <w:rFonts w:hint="eastAsia"/>
          <w:lang w:val="zh-CN"/>
        </w:rPr>
        <w:t>、国有资本经营预算支出决算情况说明</w:t>
      </w:r>
      <w:bookmarkEnd w:id="26"/>
    </w:p>
    <w:p>
      <w:pPr>
        <w:keepNext w:val="0"/>
        <w:keepLines w:val="0"/>
        <w:pageBreakBefore w:val="0"/>
        <w:widowControl w:val="0"/>
        <w:kinsoku/>
        <w:wordWrap/>
        <w:overflowPunct/>
        <w:topLinePunct w:val="0"/>
        <w:bidi w:val="0"/>
        <w:spacing w:beforeLines="0" w:afterLines="0" w:line="576" w:lineRule="exact"/>
        <w:ind w:firstLine="640"/>
        <w:jc w:val="both"/>
        <w:rPr>
          <w:rFonts w:hint="eastAsia" w:ascii="方正仿宋_GBK" w:hAnsi="方正仿宋_GBK" w:eastAsia="方正仿宋_GBK" w:cs="方正仿宋_GBK"/>
          <w:color w:val="000000"/>
          <w:kern w:val="2"/>
          <w:sz w:val="32"/>
          <w:szCs w:val="24"/>
          <w:lang w:val="zh-CN"/>
        </w:rPr>
      </w:pPr>
      <w:r>
        <w:rPr>
          <w:rFonts w:hint="eastAsia" w:ascii="方正仿宋_GBK" w:hAnsi="方正仿宋_GBK" w:eastAsia="方正仿宋_GBK" w:cs="方正仿宋_GBK"/>
          <w:color w:val="000000"/>
          <w:kern w:val="2"/>
          <w:sz w:val="32"/>
          <w:szCs w:val="24"/>
          <w:lang w:val="zh-CN"/>
        </w:rPr>
        <w:t>2022年国有资本经营预算拨款支出0万元。</w:t>
      </w:r>
    </w:p>
    <w:p>
      <w:pPr>
        <w:pStyle w:val="3"/>
        <w:bidi w:val="0"/>
        <w:jc w:val="both"/>
        <w:rPr>
          <w:rFonts w:hint="eastAsia"/>
          <w:lang w:val="zh-CN"/>
        </w:rPr>
      </w:pPr>
      <w:bookmarkStart w:id="27" w:name="_Toc17884"/>
      <w:r>
        <w:rPr>
          <w:rFonts w:hint="eastAsia"/>
          <w:lang w:val="zh-CN"/>
        </w:rPr>
        <w:t>十</w:t>
      </w:r>
      <w:r>
        <w:rPr>
          <w:rFonts w:hint="eastAsia"/>
          <w:lang w:val="en-US" w:eastAsia="zh-CN"/>
        </w:rPr>
        <w:t>一</w:t>
      </w:r>
      <w:r>
        <w:rPr>
          <w:rFonts w:hint="eastAsia"/>
          <w:lang w:val="zh-CN"/>
        </w:rPr>
        <w:t>、其他重要事项的情况说明</w:t>
      </w:r>
      <w:bookmarkEnd w:id="27"/>
    </w:p>
    <w:p>
      <w:pPr>
        <w:pStyle w:val="4"/>
        <w:bidi w:val="0"/>
        <w:rPr>
          <w:rFonts w:hint="eastAsia" w:ascii="方正仿宋_GBK" w:hAnsi="方正仿宋_GBK" w:eastAsia="方正仿宋_GBK" w:cs="方正仿宋_GBK"/>
          <w:color w:val="000000"/>
          <w:kern w:val="2"/>
          <w:szCs w:val="24"/>
          <w:lang w:val="zh-CN"/>
        </w:rPr>
      </w:pPr>
      <w:bookmarkStart w:id="28" w:name="_Toc11769"/>
      <w:r>
        <w:rPr>
          <w:rFonts w:hint="eastAsia"/>
          <w:lang w:val="zh-CN"/>
        </w:rPr>
        <w:t>（一）机关运行经费支出情况</w:t>
      </w:r>
      <w:bookmarkEnd w:id="28"/>
    </w:p>
    <w:p>
      <w:pPr>
        <w:keepNext w:val="0"/>
        <w:keepLines w:val="0"/>
        <w:pageBreakBefore w:val="0"/>
        <w:widowControl w:val="0"/>
        <w:kinsoku/>
        <w:wordWrap/>
        <w:overflowPunct/>
        <w:topLinePunct w:val="0"/>
        <w:bidi w:val="0"/>
        <w:spacing w:beforeLines="0" w:afterLines="0" w:line="576" w:lineRule="exact"/>
        <w:ind w:firstLine="640"/>
        <w:jc w:val="both"/>
        <w:rPr>
          <w:rFonts w:hint="eastAsia" w:ascii="方正仿宋_GBK" w:hAnsi="方正仿宋_GBK" w:eastAsia="方正仿宋_GBK" w:cs="方正仿宋_GBK"/>
          <w:color w:val="000000"/>
          <w:kern w:val="2"/>
          <w:sz w:val="32"/>
          <w:szCs w:val="24"/>
          <w:lang w:val="zh-CN"/>
        </w:rPr>
      </w:pPr>
      <w:r>
        <w:rPr>
          <w:rFonts w:hint="eastAsia" w:ascii="方正仿宋_GBK" w:hAnsi="方正仿宋_GBK" w:eastAsia="方正仿宋_GBK" w:cs="方正仿宋_GBK"/>
          <w:color w:val="000000"/>
          <w:kern w:val="2"/>
          <w:sz w:val="32"/>
          <w:szCs w:val="24"/>
          <w:lang w:val="zh-CN"/>
        </w:rPr>
        <w:t>2022年，广安市应急管理局（本级）机关运行经费支出299.91万元，比2021年增加0.97万元，增长0.3</w:t>
      </w:r>
      <w:r>
        <w:rPr>
          <w:rFonts w:hint="eastAsia" w:ascii="方正仿宋_GBK" w:hAnsi="方正仿宋_GBK" w:eastAsia="方正仿宋_GBK" w:cs="方正仿宋_GBK"/>
          <w:color w:val="000000"/>
          <w:kern w:val="2"/>
          <w:sz w:val="32"/>
          <w:szCs w:val="24"/>
          <w:lang w:val="en-US" w:eastAsia="zh-CN"/>
        </w:rPr>
        <w:t>2</w:t>
      </w:r>
      <w:r>
        <w:rPr>
          <w:rFonts w:hint="eastAsia" w:ascii="方正仿宋_GBK" w:hAnsi="方正仿宋_GBK" w:eastAsia="方正仿宋_GBK" w:cs="方正仿宋_GBK"/>
          <w:color w:val="000000"/>
          <w:kern w:val="2"/>
          <w:sz w:val="32"/>
          <w:szCs w:val="24"/>
          <w:lang w:val="zh-CN"/>
        </w:rPr>
        <w:t>%。主要原因是</w:t>
      </w:r>
      <w:r>
        <w:rPr>
          <w:rFonts w:hint="eastAsia" w:ascii="方正仿宋_GBK" w:hAnsi="方正仿宋_GBK" w:eastAsia="方正仿宋_GBK" w:cs="方正仿宋_GBK"/>
          <w:color w:val="000000" w:themeColor="text1"/>
          <w:sz w:val="32"/>
          <w:szCs w:val="32"/>
          <w14:textFill>
            <w14:solidFill>
              <w14:schemeClr w14:val="tx1"/>
            </w14:solidFill>
          </w14:textFill>
        </w:rPr>
        <w:t>业务工作增强，费用增加。</w:t>
      </w:r>
    </w:p>
    <w:p>
      <w:pPr>
        <w:pStyle w:val="4"/>
        <w:bidi w:val="0"/>
        <w:rPr>
          <w:rFonts w:hint="eastAsia"/>
          <w:lang w:val="zh-CN"/>
        </w:rPr>
      </w:pPr>
      <w:bookmarkStart w:id="29" w:name="_Toc24633"/>
      <w:r>
        <w:rPr>
          <w:rFonts w:hint="eastAsia"/>
          <w:lang w:val="zh-CN"/>
        </w:rPr>
        <w:t>（二）政府采购支出情况</w:t>
      </w:r>
      <w:bookmarkEnd w:id="29"/>
    </w:p>
    <w:p>
      <w:pPr>
        <w:keepNext w:val="0"/>
        <w:keepLines w:val="0"/>
        <w:pageBreakBefore w:val="0"/>
        <w:widowControl w:val="0"/>
        <w:kinsoku/>
        <w:wordWrap/>
        <w:overflowPunct/>
        <w:topLinePunct w:val="0"/>
        <w:bidi w:val="0"/>
        <w:spacing w:beforeLines="0" w:afterLines="0" w:line="576" w:lineRule="exact"/>
        <w:ind w:firstLine="640"/>
        <w:jc w:val="both"/>
        <w:rPr>
          <w:rFonts w:hint="eastAsia" w:ascii="方正仿宋_GBK" w:hAnsi="方正仿宋_GBK" w:eastAsia="方正仿宋_GBK" w:cs="方正仿宋_GBK"/>
          <w:color w:val="000000"/>
          <w:kern w:val="2"/>
          <w:sz w:val="32"/>
          <w:szCs w:val="24"/>
          <w:lang w:val="zh-CN"/>
        </w:rPr>
      </w:pPr>
      <w:r>
        <w:rPr>
          <w:rFonts w:hint="eastAsia" w:ascii="方正仿宋_GBK" w:hAnsi="方正仿宋_GBK" w:eastAsia="方正仿宋_GBK" w:cs="方正仿宋_GBK"/>
          <w:color w:val="000000"/>
          <w:kern w:val="2"/>
          <w:sz w:val="32"/>
          <w:szCs w:val="24"/>
          <w:lang w:val="zh-CN"/>
        </w:rPr>
        <w:t>2022年，广安市应急管理局（本级）政府采购支出总额</w:t>
      </w:r>
      <w:r>
        <w:rPr>
          <w:rFonts w:hint="eastAsia" w:ascii="方正仿宋_GBK" w:hAnsi="方正仿宋_GBK" w:eastAsia="方正仿宋_GBK" w:cs="方正仿宋_GBK"/>
          <w:color w:val="000000"/>
          <w:kern w:val="2"/>
          <w:sz w:val="32"/>
          <w:szCs w:val="24"/>
          <w:lang w:val="en-US" w:eastAsia="zh-CN"/>
        </w:rPr>
        <w:t>56.93</w:t>
      </w:r>
      <w:r>
        <w:rPr>
          <w:rFonts w:hint="eastAsia" w:ascii="方正仿宋_GBK" w:hAnsi="方正仿宋_GBK" w:eastAsia="方正仿宋_GBK" w:cs="方正仿宋_GBK"/>
          <w:color w:val="000000"/>
          <w:kern w:val="2"/>
          <w:sz w:val="32"/>
          <w:szCs w:val="24"/>
          <w:lang w:val="zh-CN"/>
        </w:rPr>
        <w:t>万元，其中：政府采购货物支出</w:t>
      </w:r>
      <w:r>
        <w:rPr>
          <w:rFonts w:hint="eastAsia" w:ascii="方正仿宋_GBK" w:hAnsi="方正仿宋_GBK" w:eastAsia="方正仿宋_GBK" w:cs="方正仿宋_GBK"/>
          <w:color w:val="000000"/>
          <w:kern w:val="2"/>
          <w:sz w:val="32"/>
          <w:szCs w:val="24"/>
          <w:lang w:val="en-US" w:eastAsia="zh-CN"/>
        </w:rPr>
        <w:t>56.93</w:t>
      </w:r>
      <w:r>
        <w:rPr>
          <w:rFonts w:hint="eastAsia" w:ascii="方正仿宋_GBK" w:hAnsi="方正仿宋_GBK" w:eastAsia="方正仿宋_GBK" w:cs="方正仿宋_GBK"/>
          <w:color w:val="000000"/>
          <w:kern w:val="2"/>
          <w:sz w:val="32"/>
          <w:szCs w:val="24"/>
          <w:lang w:val="zh-CN"/>
        </w:rPr>
        <w:t>万元、政府采购工程支出0万元、政府采购服务支出0万元。主要用于</w:t>
      </w:r>
      <w:r>
        <w:rPr>
          <w:rFonts w:hint="eastAsia" w:ascii="方正仿宋_GBK" w:hAnsi="方正仿宋_GBK" w:eastAsia="方正仿宋_GBK" w:cs="方正仿宋_GBK"/>
          <w:color w:val="000000"/>
          <w:kern w:val="2"/>
          <w:sz w:val="32"/>
          <w:szCs w:val="24"/>
          <w:lang w:val="en-US" w:eastAsia="zh-CN"/>
        </w:rPr>
        <w:t>2022年中省抗洪抢险物资及办公家具等。</w:t>
      </w:r>
      <w:r>
        <w:rPr>
          <w:rFonts w:hint="eastAsia" w:ascii="方正仿宋_GBK" w:hAnsi="方正仿宋_GBK" w:eastAsia="方正仿宋_GBK" w:cs="方正仿宋_GBK"/>
          <w:color w:val="000000"/>
          <w:kern w:val="2"/>
          <w:sz w:val="32"/>
          <w:szCs w:val="24"/>
          <w:lang w:val="zh-CN"/>
        </w:rPr>
        <w:t>授予中小企业合同金额</w:t>
      </w:r>
      <w:r>
        <w:rPr>
          <w:rFonts w:hint="eastAsia" w:ascii="方正仿宋_GBK" w:hAnsi="方正仿宋_GBK" w:eastAsia="方正仿宋_GBK" w:cs="方正仿宋_GBK"/>
          <w:color w:val="000000"/>
          <w:kern w:val="2"/>
          <w:sz w:val="32"/>
          <w:szCs w:val="24"/>
          <w:lang w:val="en-US" w:eastAsia="zh-CN"/>
        </w:rPr>
        <w:t>3.54</w:t>
      </w:r>
      <w:r>
        <w:rPr>
          <w:rFonts w:hint="eastAsia" w:ascii="方正仿宋_GBK" w:hAnsi="方正仿宋_GBK" w:eastAsia="方正仿宋_GBK" w:cs="方正仿宋_GBK"/>
          <w:color w:val="000000"/>
          <w:kern w:val="2"/>
          <w:sz w:val="32"/>
          <w:szCs w:val="24"/>
          <w:lang w:val="zh-CN"/>
        </w:rPr>
        <w:t>万元，占政府采购支出总额的</w:t>
      </w:r>
      <w:r>
        <w:rPr>
          <w:rFonts w:hint="eastAsia" w:ascii="方正仿宋_GBK" w:hAnsi="方正仿宋_GBK" w:eastAsia="方正仿宋_GBK" w:cs="方正仿宋_GBK"/>
          <w:color w:val="000000"/>
          <w:kern w:val="2"/>
          <w:sz w:val="32"/>
          <w:szCs w:val="24"/>
          <w:lang w:val="en-US" w:eastAsia="zh-CN"/>
        </w:rPr>
        <w:t>6.22</w:t>
      </w:r>
      <w:r>
        <w:rPr>
          <w:rFonts w:hint="eastAsia" w:ascii="方正仿宋_GBK" w:hAnsi="方正仿宋_GBK" w:eastAsia="方正仿宋_GBK" w:cs="方正仿宋_GBK"/>
          <w:color w:val="000000"/>
          <w:kern w:val="2"/>
          <w:sz w:val="32"/>
          <w:szCs w:val="24"/>
          <w:lang w:val="zh-CN"/>
        </w:rPr>
        <w:t>%，其中：授予小微企业合同金额0万元，</w:t>
      </w:r>
      <w:r>
        <w:rPr>
          <w:rFonts w:hint="eastAsia" w:ascii="方正仿宋_GBK" w:hAnsi="方正仿宋_GBK" w:eastAsia="方正仿宋_GBK" w:cs="方正仿宋_GBK"/>
          <w:color w:val="auto"/>
          <w:kern w:val="2"/>
          <w:sz w:val="32"/>
          <w:szCs w:val="24"/>
          <w:lang w:val="en-US"/>
        </w:rPr>
        <w:t>占政府采购支出总额的</w:t>
      </w:r>
      <w:r>
        <w:rPr>
          <w:rFonts w:hint="eastAsia" w:ascii="方正仿宋_GBK" w:hAnsi="方正仿宋_GBK" w:eastAsia="方正仿宋_GBK" w:cs="方正仿宋_GBK"/>
          <w:color w:val="000000"/>
          <w:kern w:val="2"/>
          <w:sz w:val="32"/>
          <w:szCs w:val="24"/>
          <w:lang w:val="zh-CN"/>
        </w:rPr>
        <w:t>0%。</w:t>
      </w:r>
    </w:p>
    <w:p>
      <w:pPr>
        <w:pStyle w:val="4"/>
        <w:bidi w:val="0"/>
        <w:rPr>
          <w:rFonts w:hint="eastAsia"/>
          <w:lang w:val="zh-CN"/>
        </w:rPr>
      </w:pPr>
      <w:bookmarkStart w:id="30" w:name="_Toc19682"/>
      <w:r>
        <w:rPr>
          <w:rFonts w:hint="eastAsia"/>
          <w:lang w:val="zh-CN"/>
        </w:rPr>
        <w:t>（三）国有资产占有使用情况</w:t>
      </w:r>
      <w:bookmarkEnd w:id="30"/>
    </w:p>
    <w:p>
      <w:pPr>
        <w:keepNext w:val="0"/>
        <w:keepLines w:val="0"/>
        <w:pageBreakBefore w:val="0"/>
        <w:widowControl w:val="0"/>
        <w:kinsoku/>
        <w:wordWrap/>
        <w:overflowPunct/>
        <w:topLinePunct w:val="0"/>
        <w:bidi w:val="0"/>
        <w:spacing w:beforeLines="0" w:afterLines="0" w:line="576" w:lineRule="exact"/>
        <w:ind w:firstLine="640"/>
        <w:rPr>
          <w:rFonts w:hint="eastAsia" w:ascii="方正仿宋_GBK" w:hAnsi="方正仿宋_GBK" w:eastAsia="方正仿宋_GBK" w:cs="方正仿宋_GBK"/>
          <w:color w:val="000000"/>
          <w:kern w:val="2"/>
          <w:sz w:val="32"/>
          <w:szCs w:val="24"/>
          <w:lang w:val="zh-CN"/>
        </w:rPr>
      </w:pPr>
      <w:r>
        <w:rPr>
          <w:rFonts w:hint="eastAsia" w:ascii="方正仿宋_GBK" w:hAnsi="方正仿宋_GBK" w:eastAsia="方正仿宋_GBK" w:cs="方正仿宋_GBK"/>
          <w:color w:val="000000"/>
          <w:kern w:val="2"/>
          <w:sz w:val="32"/>
          <w:szCs w:val="24"/>
          <w:lang w:val="zh-CN"/>
        </w:rPr>
        <w:t>截至2022年12月31日，广安市应急管理局共有车辆10辆，其中：副部（省）级及以上领导用车0辆、主要领导干部用车0辆、机要通信用车0辆、应急保障用车8辆、执法执勤用车0辆、特种专业技术用车2辆、离退休干部用车0辆、其他用车0辆。单价100万元（含）以上设备0台（套)。</w:t>
      </w:r>
    </w:p>
    <w:p>
      <w:pPr>
        <w:pStyle w:val="4"/>
        <w:bidi w:val="0"/>
        <w:rPr>
          <w:rFonts w:hint="eastAsia"/>
          <w:lang w:val="zh-CN"/>
        </w:rPr>
      </w:pPr>
      <w:bookmarkStart w:id="31" w:name="_Toc29464"/>
      <w:r>
        <w:rPr>
          <w:rFonts w:hint="eastAsia"/>
          <w:lang w:val="zh-CN"/>
        </w:rPr>
        <w:t>（四）预算绩效管理情况。</w:t>
      </w:r>
      <w:bookmarkEnd w:id="31"/>
    </w:p>
    <w:p>
      <w:pPr>
        <w:keepNext w:val="0"/>
        <w:keepLines w:val="0"/>
        <w:pageBreakBefore w:val="0"/>
        <w:widowControl w:val="0"/>
        <w:kinsoku/>
        <w:wordWrap/>
        <w:overflowPunct/>
        <w:topLinePunct w:val="0"/>
        <w:bidi w:val="0"/>
        <w:spacing w:beforeLines="0" w:afterLines="0" w:line="576" w:lineRule="exact"/>
        <w:ind w:firstLine="643"/>
        <w:jc w:val="both"/>
        <w:rPr>
          <w:rFonts w:hint="eastAsia" w:ascii="方正仿宋_GBK" w:hAnsi="方正仿宋_GBK" w:eastAsia="方正仿宋_GBK" w:cs="方正仿宋_GBK"/>
          <w:color w:val="auto"/>
          <w:kern w:val="2"/>
          <w:sz w:val="32"/>
          <w:szCs w:val="24"/>
          <w:lang w:val="en-US"/>
        </w:rPr>
      </w:pPr>
      <w:r>
        <w:rPr>
          <w:rFonts w:hint="eastAsia" w:ascii="方正仿宋_GBK" w:hAnsi="方正仿宋_GBK" w:eastAsia="方正仿宋_GBK" w:cs="方正仿宋_GBK"/>
          <w:color w:val="auto"/>
          <w:kern w:val="2"/>
          <w:sz w:val="32"/>
          <w:szCs w:val="24"/>
          <w:lang w:val="en-US"/>
        </w:rPr>
        <w:t>根据预算绩效管理要求，本单位在2022年度预算编制阶段，组织对安全生产综合监管平台运行维护专项经费</w:t>
      </w:r>
      <w:r>
        <w:rPr>
          <w:rFonts w:hint="eastAsia" w:ascii="方正仿宋_GBK" w:hAnsi="方正仿宋_GBK" w:eastAsia="方正仿宋_GBK" w:cs="方正仿宋_GBK"/>
          <w:color w:val="auto"/>
          <w:kern w:val="2"/>
          <w:sz w:val="32"/>
          <w:szCs w:val="24"/>
          <w:lang w:val="en-US" w:eastAsia="zh-CN"/>
        </w:rPr>
        <w:t>、风险普查、执法专项行动、</w:t>
      </w:r>
      <w:r>
        <w:rPr>
          <w:rFonts w:hint="eastAsia" w:ascii="方正仿宋_GBK" w:hAnsi="方正仿宋_GBK" w:eastAsia="方正仿宋_GBK" w:cs="方正仿宋_GBK"/>
          <w:color w:val="auto"/>
          <w:sz w:val="32"/>
          <w:szCs w:val="32"/>
          <w:highlight w:val="none"/>
          <w:lang w:val="en-US" w:eastAsia="zh-CN"/>
        </w:rPr>
        <w:t>市矿山救护大队定额补助、训练场地改造</w:t>
      </w:r>
      <w:r>
        <w:rPr>
          <w:rFonts w:hint="eastAsia" w:ascii="方正仿宋_GBK" w:hAnsi="方正仿宋_GBK" w:eastAsia="方正仿宋_GBK" w:cs="方正仿宋_GBK"/>
          <w:color w:val="auto"/>
          <w:kern w:val="2"/>
          <w:sz w:val="32"/>
          <w:szCs w:val="24"/>
          <w:lang w:val="en-US"/>
        </w:rPr>
        <w:t>等</w:t>
      </w:r>
      <w:r>
        <w:rPr>
          <w:rFonts w:hint="eastAsia" w:ascii="方正仿宋_GBK" w:hAnsi="方正仿宋_GBK" w:eastAsia="方正仿宋_GBK" w:cs="方正仿宋_GBK"/>
          <w:color w:val="auto"/>
          <w:kern w:val="2"/>
          <w:sz w:val="32"/>
          <w:szCs w:val="24"/>
          <w:lang w:val="en-US" w:eastAsia="zh-CN"/>
        </w:rPr>
        <w:t>24</w:t>
      </w:r>
      <w:r>
        <w:rPr>
          <w:rFonts w:hint="eastAsia" w:ascii="方正仿宋_GBK" w:hAnsi="方正仿宋_GBK" w:eastAsia="方正仿宋_GBK" w:cs="方正仿宋_GBK"/>
          <w:color w:val="auto"/>
          <w:kern w:val="2"/>
          <w:sz w:val="32"/>
          <w:szCs w:val="24"/>
          <w:lang w:val="en-US"/>
        </w:rPr>
        <w:t>个项目开展了预算事前绩效评估，对</w:t>
      </w:r>
      <w:r>
        <w:rPr>
          <w:rFonts w:hint="eastAsia" w:ascii="方正仿宋_GBK" w:hAnsi="方正仿宋_GBK" w:eastAsia="方正仿宋_GBK" w:cs="方正仿宋_GBK"/>
          <w:color w:val="auto"/>
          <w:kern w:val="2"/>
          <w:sz w:val="32"/>
          <w:szCs w:val="24"/>
          <w:lang w:val="en-US" w:eastAsia="zh-CN"/>
        </w:rPr>
        <w:t>24</w:t>
      </w:r>
      <w:r>
        <w:rPr>
          <w:rFonts w:hint="eastAsia" w:ascii="方正仿宋_GBK" w:hAnsi="方正仿宋_GBK" w:eastAsia="方正仿宋_GBK" w:cs="方正仿宋_GBK"/>
          <w:color w:val="auto"/>
          <w:kern w:val="2"/>
          <w:sz w:val="32"/>
          <w:szCs w:val="24"/>
          <w:lang w:val="en-US"/>
        </w:rPr>
        <w:t>个项目编制了绩效目标，预算执行过程中，选取</w:t>
      </w:r>
      <w:r>
        <w:rPr>
          <w:rFonts w:hint="eastAsia" w:ascii="方正仿宋_GBK" w:hAnsi="方正仿宋_GBK" w:eastAsia="方正仿宋_GBK" w:cs="方正仿宋_GBK"/>
          <w:color w:val="auto"/>
          <w:kern w:val="2"/>
          <w:sz w:val="32"/>
          <w:szCs w:val="24"/>
          <w:lang w:val="en-US" w:eastAsia="zh-CN"/>
        </w:rPr>
        <w:t>24</w:t>
      </w:r>
      <w:r>
        <w:rPr>
          <w:rFonts w:hint="eastAsia" w:ascii="方正仿宋_GBK" w:hAnsi="方正仿宋_GBK" w:eastAsia="方正仿宋_GBK" w:cs="方正仿宋_GBK"/>
          <w:color w:val="auto"/>
          <w:kern w:val="2"/>
          <w:sz w:val="32"/>
          <w:szCs w:val="24"/>
          <w:lang w:val="en-US"/>
        </w:rPr>
        <w:t>个项目开展绩效监控。</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组织对2022年度一般公共预算、政府性基金预算、国有资本经营预算、社会保险基金预算以及资本资产、债券资金、政府采购等全面开展绩效自评，形成广安市</w:t>
      </w:r>
      <w:r>
        <w:rPr>
          <w:rFonts w:hint="eastAsia" w:ascii="方正仿宋_GBK" w:hAnsi="方正仿宋_GBK" w:eastAsia="方正仿宋_GBK" w:cs="方正仿宋_GBK"/>
          <w:sz w:val="32"/>
          <w:szCs w:val="32"/>
          <w:lang w:val="en-US" w:eastAsia="zh-CN"/>
        </w:rPr>
        <w:t>应急管理局</w:t>
      </w:r>
      <w:r>
        <w:rPr>
          <w:rFonts w:hint="eastAsia" w:ascii="方正仿宋_GBK" w:hAnsi="方正仿宋_GBK" w:eastAsia="方正仿宋_GBK" w:cs="方正仿宋_GBK"/>
          <w:sz w:val="32"/>
          <w:szCs w:val="32"/>
        </w:rPr>
        <w:t>部门整体绩效自评报告，其中，广安市</w:t>
      </w:r>
      <w:r>
        <w:rPr>
          <w:rFonts w:hint="eastAsia" w:ascii="方正仿宋_GBK" w:hAnsi="方正仿宋_GBK" w:eastAsia="方正仿宋_GBK" w:cs="方正仿宋_GBK"/>
          <w:sz w:val="32"/>
          <w:szCs w:val="32"/>
          <w:lang w:val="en-US" w:eastAsia="zh-CN"/>
        </w:rPr>
        <w:t>应急管理局</w:t>
      </w:r>
      <w:r>
        <w:rPr>
          <w:rFonts w:hint="eastAsia" w:ascii="方正仿宋_GBK" w:hAnsi="方正仿宋_GBK" w:eastAsia="方正仿宋_GBK" w:cs="方正仿宋_GBK"/>
          <w:sz w:val="32"/>
          <w:szCs w:val="32"/>
        </w:rPr>
        <w:t>部门整体绩效自评得分为</w:t>
      </w:r>
      <w:r>
        <w:rPr>
          <w:rFonts w:hint="eastAsia" w:ascii="方正仿宋_GBK" w:hAnsi="方正仿宋_GBK" w:eastAsia="方正仿宋_GBK" w:cs="方正仿宋_GBK"/>
          <w:sz w:val="32"/>
          <w:szCs w:val="32"/>
          <w:lang w:val="en-US" w:eastAsia="zh-CN"/>
        </w:rPr>
        <w:t>86.33</w:t>
      </w:r>
      <w:r>
        <w:rPr>
          <w:rFonts w:hint="eastAsia" w:ascii="方正仿宋_GBK" w:hAnsi="方正仿宋_GBK" w:eastAsia="方正仿宋_GBK" w:cs="方正仿宋_GBK"/>
          <w:sz w:val="32"/>
          <w:szCs w:val="32"/>
        </w:rPr>
        <w:t>分，绩效自评综述：</w:t>
      </w:r>
      <w:r>
        <w:rPr>
          <w:rFonts w:hint="eastAsia" w:ascii="方正仿宋_GBK" w:hAnsi="方正仿宋_GBK" w:eastAsia="方正仿宋_GBK" w:cs="方正仿宋_GBK"/>
          <w:color w:val="000000"/>
          <w:kern w:val="0"/>
          <w:szCs w:val="32"/>
          <w:shd w:val="clear" w:color="auto" w:fill="FFFFFF"/>
          <w:lang w:val="en-US" w:eastAsia="zh-CN"/>
        </w:rPr>
        <w:t>2022年总体绩效目标制定与国家政策法规、部门职能职责、上级和本级市委市政府总体工作要求、重点工作部署等相符，较好地完成本年度工作目标，实现了2022年财政预算支出的绩效目标。2022年中省抗洪抢险物资采购项目</w:t>
      </w:r>
      <w:r>
        <w:rPr>
          <w:rFonts w:hint="eastAsia" w:ascii="方正仿宋_GBK" w:hAnsi="方正仿宋_GBK" w:eastAsia="方正仿宋_GBK" w:cs="方正仿宋_GBK"/>
          <w:sz w:val="32"/>
          <w:szCs w:val="32"/>
        </w:rPr>
        <w:t>绩效自评综述：</w:t>
      </w:r>
      <w:r>
        <w:rPr>
          <w:rFonts w:hint="eastAsia" w:ascii="方正仿宋_GBK" w:hAnsi="方正仿宋_GBK" w:eastAsia="方正仿宋_GBK" w:cs="方正仿宋_GBK"/>
          <w:sz w:val="32"/>
          <w:szCs w:val="32"/>
          <w:lang w:val="en-US" w:eastAsia="zh-CN"/>
        </w:rPr>
        <w:t>市应急管理局坚持以习近平新时代中国特色社会主义思想为指导，坚持将人民群众生命、财产安全置于首要位置，及时应对处理各类灾害事故，有力保障了社会安全稳定，全市未发生受灾群众投诉事件，抗洪抢险工作受灾群众投诉率为0%</w:t>
      </w:r>
      <w:r>
        <w:rPr>
          <w:rFonts w:hint="eastAsia" w:ascii="方正仿宋_GBK" w:hAnsi="方正仿宋_GBK" w:eastAsia="方正仿宋_GBK" w:cs="方正仿宋_GBK"/>
          <w:sz w:val="32"/>
          <w:szCs w:val="32"/>
        </w:rPr>
        <w:t>。《2022年广安市</w:t>
      </w:r>
      <w:r>
        <w:rPr>
          <w:rFonts w:hint="eastAsia" w:ascii="方正仿宋_GBK" w:hAnsi="方正仿宋_GBK" w:eastAsia="方正仿宋_GBK" w:cs="方正仿宋_GBK"/>
          <w:sz w:val="32"/>
          <w:szCs w:val="32"/>
          <w:lang w:val="en-US" w:eastAsia="zh-CN"/>
        </w:rPr>
        <w:t>应急管理</w:t>
      </w:r>
      <w:r>
        <w:rPr>
          <w:rFonts w:hint="eastAsia" w:ascii="方正仿宋_GBK" w:hAnsi="方正仿宋_GBK" w:eastAsia="方正仿宋_GBK" w:cs="方正仿宋_GBK"/>
          <w:sz w:val="32"/>
          <w:szCs w:val="32"/>
        </w:rPr>
        <w:t>局部门整体绩效自评报告》详见附件。</w:t>
      </w:r>
    </w:p>
    <w:p>
      <w:pPr>
        <w:pStyle w:val="5"/>
        <w:keepNext w:val="0"/>
        <w:keepLines w:val="0"/>
        <w:pageBreakBefore w:val="0"/>
        <w:widowControl w:val="0"/>
        <w:kinsoku/>
        <w:wordWrap/>
        <w:overflowPunct/>
        <w:topLinePunct w:val="0"/>
        <w:bidi w:val="0"/>
        <w:rPr>
          <w:rFonts w:hint="eastAsia" w:ascii="方正仿宋_GBK" w:hAnsi="方正仿宋_GBK" w:eastAsia="方正仿宋_GBK" w:cs="方正仿宋_GBK"/>
          <w:lang w:val="en-US"/>
        </w:rPr>
      </w:pPr>
    </w:p>
    <w:p>
      <w:pPr>
        <w:pStyle w:val="5"/>
        <w:keepNext w:val="0"/>
        <w:keepLines w:val="0"/>
        <w:pageBreakBefore w:val="0"/>
        <w:widowControl w:val="0"/>
        <w:kinsoku/>
        <w:wordWrap/>
        <w:overflowPunct/>
        <w:topLinePunct w:val="0"/>
        <w:bidi w:val="0"/>
        <w:rPr>
          <w:rFonts w:hint="eastAsia" w:ascii="方正仿宋_GBK" w:hAnsi="方正仿宋_GBK" w:eastAsia="方正仿宋_GBK" w:cs="方正仿宋_GBK"/>
          <w:lang w:val="en-US"/>
        </w:rPr>
      </w:pPr>
    </w:p>
    <w:p>
      <w:pPr>
        <w:keepNext w:val="0"/>
        <w:keepLines w:val="0"/>
        <w:pageBreakBefore w:val="0"/>
        <w:widowControl w:val="0"/>
        <w:kinsoku/>
        <w:wordWrap/>
        <w:overflowPunct/>
        <w:topLinePunct w:val="0"/>
        <w:bidi w:val="0"/>
        <w:spacing w:beforeLines="0" w:afterLines="0" w:line="576" w:lineRule="exact"/>
        <w:ind w:left="0" w:leftChars="0" w:firstLine="0" w:firstLineChars="0"/>
        <w:jc w:val="both"/>
        <w:rPr>
          <w:rFonts w:hint="eastAsia" w:ascii="方正仿宋_GBK" w:hAnsi="方正仿宋_GBK" w:eastAsia="方正仿宋_GBK" w:cs="方正仿宋_GBK"/>
          <w:b/>
          <w:color w:val="000000"/>
          <w:kern w:val="2"/>
          <w:sz w:val="32"/>
          <w:szCs w:val="24"/>
          <w:lang w:val="zh-CN"/>
        </w:rPr>
      </w:pPr>
    </w:p>
    <w:p>
      <w:pPr>
        <w:pStyle w:val="2"/>
        <w:rPr>
          <w:rFonts w:hint="eastAsia" w:ascii="方正仿宋_GBK" w:hAnsi="方正仿宋_GBK" w:eastAsia="方正仿宋_GBK" w:cs="方正仿宋_GBK"/>
          <w:b/>
          <w:color w:val="000000"/>
          <w:kern w:val="2"/>
          <w:sz w:val="32"/>
          <w:szCs w:val="24"/>
          <w:lang w:val="zh-CN"/>
        </w:rPr>
      </w:pPr>
    </w:p>
    <w:p>
      <w:pPr>
        <w:rPr>
          <w:rFonts w:hint="eastAsia" w:ascii="方正仿宋_GBK" w:hAnsi="方正仿宋_GBK" w:eastAsia="方正仿宋_GBK" w:cs="方正仿宋_GBK"/>
          <w:b/>
          <w:color w:val="000000"/>
          <w:kern w:val="2"/>
          <w:sz w:val="32"/>
          <w:szCs w:val="24"/>
          <w:lang w:val="zh-CN"/>
        </w:rPr>
      </w:pPr>
    </w:p>
    <w:p>
      <w:pPr>
        <w:pStyle w:val="2"/>
        <w:rPr>
          <w:rFonts w:hint="eastAsia" w:ascii="方正仿宋_GBK" w:hAnsi="方正仿宋_GBK" w:eastAsia="方正仿宋_GBK" w:cs="方正仿宋_GBK"/>
          <w:b/>
          <w:color w:val="000000"/>
          <w:kern w:val="2"/>
          <w:sz w:val="32"/>
          <w:szCs w:val="24"/>
          <w:lang w:val="zh-CN"/>
        </w:rPr>
      </w:pPr>
    </w:p>
    <w:p>
      <w:pPr>
        <w:rPr>
          <w:rFonts w:hint="eastAsia"/>
          <w:lang w:val="zh-CN"/>
        </w:rPr>
      </w:pPr>
    </w:p>
    <w:p>
      <w:pPr>
        <w:rPr>
          <w:rFonts w:hint="eastAsia" w:ascii="方正仿宋_GBK" w:hAnsi="方正仿宋_GBK" w:eastAsia="方正仿宋_GBK" w:cs="方正仿宋_GBK"/>
          <w:b/>
          <w:color w:val="000000"/>
          <w:kern w:val="2"/>
          <w:sz w:val="32"/>
          <w:szCs w:val="24"/>
          <w:lang w:val="zh-CN"/>
        </w:rPr>
      </w:pPr>
    </w:p>
    <w:p>
      <w:pPr>
        <w:pStyle w:val="2"/>
        <w:rPr>
          <w:rFonts w:hint="eastAsia" w:ascii="方正仿宋_GBK" w:hAnsi="方正仿宋_GBK" w:eastAsia="方正仿宋_GBK" w:cs="方正仿宋_GBK"/>
          <w:b/>
          <w:color w:val="000000"/>
          <w:kern w:val="2"/>
          <w:sz w:val="32"/>
          <w:szCs w:val="24"/>
          <w:lang w:val="zh-CN"/>
        </w:rPr>
      </w:pPr>
    </w:p>
    <w:p>
      <w:pPr>
        <w:rPr>
          <w:rFonts w:hint="eastAsia" w:ascii="方正仿宋_GBK" w:hAnsi="方正仿宋_GBK" w:eastAsia="方正仿宋_GBK" w:cs="方正仿宋_GBK"/>
          <w:b/>
          <w:color w:val="000000"/>
          <w:kern w:val="2"/>
          <w:sz w:val="32"/>
          <w:szCs w:val="24"/>
          <w:lang w:val="zh-CN"/>
        </w:rPr>
      </w:pPr>
    </w:p>
    <w:p>
      <w:pPr>
        <w:pStyle w:val="2"/>
        <w:rPr>
          <w:rFonts w:hint="eastAsia" w:ascii="方正仿宋_GBK" w:hAnsi="方正仿宋_GBK" w:eastAsia="方正仿宋_GBK" w:cs="方正仿宋_GBK"/>
          <w:b/>
          <w:color w:val="000000"/>
          <w:kern w:val="2"/>
          <w:sz w:val="32"/>
          <w:szCs w:val="24"/>
          <w:lang w:val="zh-CN"/>
        </w:rPr>
      </w:pPr>
    </w:p>
    <w:p>
      <w:pPr>
        <w:rPr>
          <w:rFonts w:hint="eastAsia" w:ascii="方正仿宋_GBK" w:hAnsi="方正仿宋_GBK" w:eastAsia="方正仿宋_GBK" w:cs="方正仿宋_GBK"/>
          <w:b/>
          <w:color w:val="000000"/>
          <w:kern w:val="2"/>
          <w:sz w:val="32"/>
          <w:szCs w:val="24"/>
          <w:lang w:val="zh-CN"/>
        </w:rPr>
      </w:pPr>
    </w:p>
    <w:p>
      <w:pPr>
        <w:pStyle w:val="2"/>
        <w:rPr>
          <w:rFonts w:hint="eastAsia" w:ascii="方正仿宋_GBK" w:hAnsi="方正仿宋_GBK" w:eastAsia="方正仿宋_GBK" w:cs="方正仿宋_GBK"/>
          <w:b/>
          <w:color w:val="000000"/>
          <w:kern w:val="2"/>
          <w:sz w:val="32"/>
          <w:szCs w:val="24"/>
          <w:lang w:val="zh-CN"/>
        </w:rPr>
      </w:pPr>
    </w:p>
    <w:p>
      <w:pPr>
        <w:rPr>
          <w:rFonts w:hint="eastAsia"/>
          <w:lang w:val="zh-CN"/>
        </w:rPr>
      </w:pPr>
    </w:p>
    <w:p>
      <w:pPr>
        <w:keepNext w:val="0"/>
        <w:keepLines w:val="0"/>
        <w:pageBreakBefore w:val="0"/>
        <w:widowControl w:val="0"/>
        <w:kinsoku/>
        <w:wordWrap/>
        <w:overflowPunct/>
        <w:topLinePunct w:val="0"/>
        <w:autoSpaceDE w:val="0"/>
        <w:autoSpaceDN w:val="0"/>
        <w:bidi w:val="0"/>
        <w:adjustRightInd w:val="0"/>
        <w:snapToGrid/>
        <w:spacing w:before="0" w:beforeLines="50" w:after="0" w:afterLines="100" w:line="576" w:lineRule="exact"/>
        <w:jc w:val="center"/>
        <w:textAlignment w:val="auto"/>
        <w:outlineLvl w:val="0"/>
        <w:rPr>
          <w:rFonts w:hint="eastAsia" w:ascii="方正黑体_GBK" w:hAnsi="方正黑体_GBK" w:eastAsia="方正黑体_GBK" w:cs="方正黑体_GBK"/>
          <w:color w:val="auto"/>
          <w:kern w:val="44"/>
          <w:sz w:val="44"/>
          <w:szCs w:val="24"/>
          <w:lang w:val="zh-CN"/>
        </w:rPr>
      </w:pPr>
      <w:bookmarkStart w:id="32" w:name="_Toc6296"/>
      <w:r>
        <w:rPr>
          <w:rFonts w:hint="eastAsia" w:ascii="方正黑体_GBK" w:hAnsi="方正黑体_GBK" w:eastAsia="方正黑体_GBK" w:cs="方正黑体_GBK"/>
          <w:color w:val="000000"/>
          <w:kern w:val="2"/>
          <w:sz w:val="44"/>
          <w:szCs w:val="24"/>
          <w:lang w:val="zh-CN"/>
        </w:rPr>
        <w:t>第三部分 名</w:t>
      </w:r>
      <w:r>
        <w:rPr>
          <w:rFonts w:hint="eastAsia" w:ascii="方正黑体_GBK" w:hAnsi="方正黑体_GBK" w:eastAsia="方正黑体_GBK" w:cs="方正黑体_GBK"/>
          <w:color w:val="auto"/>
          <w:kern w:val="44"/>
          <w:sz w:val="44"/>
          <w:szCs w:val="24"/>
          <w:lang w:val="zh-CN"/>
        </w:rPr>
        <w:t>词解释</w:t>
      </w:r>
      <w:bookmarkEnd w:id="32"/>
    </w:p>
    <w:p>
      <w:pPr>
        <w:keepNext w:val="0"/>
        <w:keepLines w:val="0"/>
        <w:pageBreakBefore w:val="0"/>
        <w:widowControl w:val="0"/>
        <w:kinsoku/>
        <w:wordWrap/>
        <w:overflowPunct/>
        <w:topLinePunct w:val="0"/>
        <w:bidi w:val="0"/>
        <w:spacing w:beforeLines="0" w:afterLines="0" w:line="576" w:lineRule="exact"/>
        <w:ind w:firstLine="640"/>
        <w:outlineLvl w:val="1"/>
        <w:rPr>
          <w:rFonts w:hint="eastAsia" w:ascii="方正仿宋_GBK" w:hAnsi="方正仿宋_GBK" w:eastAsia="方正仿宋_GBK" w:cs="方正仿宋_GBK"/>
          <w:color w:val="000000"/>
          <w:sz w:val="32"/>
          <w:szCs w:val="24"/>
          <w:lang w:val="en-US"/>
        </w:rPr>
      </w:pPr>
      <w:bookmarkStart w:id="33" w:name="_Toc2466"/>
      <w:r>
        <w:rPr>
          <w:rFonts w:hint="eastAsia" w:ascii="方正仿宋_GBK" w:hAnsi="方正仿宋_GBK" w:eastAsia="方正仿宋_GBK" w:cs="方正仿宋_GBK"/>
          <w:color w:val="000000"/>
          <w:sz w:val="32"/>
          <w:szCs w:val="24"/>
          <w:lang w:val="en-US"/>
        </w:rPr>
        <w:t>1.财政拨款收入：指单位从同级财政部门取得的财政预算资金。</w:t>
      </w:r>
      <w:bookmarkEnd w:id="33"/>
    </w:p>
    <w:p>
      <w:pPr>
        <w:keepNext w:val="0"/>
        <w:keepLines w:val="0"/>
        <w:pageBreakBefore w:val="0"/>
        <w:widowControl w:val="0"/>
        <w:kinsoku/>
        <w:wordWrap/>
        <w:overflowPunct/>
        <w:topLinePunct w:val="0"/>
        <w:bidi w:val="0"/>
        <w:spacing w:beforeLines="0" w:afterLines="0" w:line="576" w:lineRule="exact"/>
        <w:ind w:firstLine="640"/>
        <w:rPr>
          <w:rFonts w:hint="eastAsia" w:ascii="方正仿宋_GBK" w:hAnsi="方正仿宋_GBK" w:eastAsia="方正仿宋_GBK" w:cs="方正仿宋_GBK"/>
          <w:color w:val="000000"/>
          <w:sz w:val="32"/>
          <w:szCs w:val="24"/>
          <w:lang w:val="en-US"/>
        </w:rPr>
      </w:pPr>
      <w:r>
        <w:rPr>
          <w:rFonts w:hint="eastAsia" w:ascii="方正仿宋_GBK" w:hAnsi="方正仿宋_GBK" w:eastAsia="方正仿宋_GBK" w:cs="方正仿宋_GBK"/>
          <w:color w:val="000000"/>
          <w:sz w:val="32"/>
          <w:szCs w:val="24"/>
          <w:lang w:val="en-US" w:eastAsia="zh-CN"/>
        </w:rPr>
        <w:t>2</w:t>
      </w:r>
      <w:r>
        <w:rPr>
          <w:rFonts w:hint="eastAsia" w:ascii="方正仿宋_GBK" w:hAnsi="方正仿宋_GBK" w:eastAsia="方正仿宋_GBK" w:cs="方正仿宋_GBK"/>
          <w:color w:val="000000"/>
          <w:sz w:val="32"/>
          <w:szCs w:val="24"/>
          <w:lang w:val="en-US"/>
        </w:rPr>
        <w:t xml:space="preserve">.年初结转和结余：指以前年度尚未完成、结转到本年按有关规定继续使用的资金。 </w:t>
      </w:r>
    </w:p>
    <w:p>
      <w:pPr>
        <w:keepNext w:val="0"/>
        <w:keepLines w:val="0"/>
        <w:pageBreakBefore w:val="0"/>
        <w:widowControl w:val="0"/>
        <w:kinsoku/>
        <w:wordWrap/>
        <w:overflowPunct/>
        <w:topLinePunct w:val="0"/>
        <w:bidi w:val="0"/>
        <w:spacing w:beforeLines="0" w:afterLines="0" w:line="576" w:lineRule="exact"/>
        <w:ind w:firstLine="640"/>
        <w:rPr>
          <w:rFonts w:hint="eastAsia" w:ascii="方正仿宋_GBK" w:hAnsi="方正仿宋_GBK" w:eastAsia="方正仿宋_GBK" w:cs="方正仿宋_GBK"/>
          <w:color w:val="000000"/>
          <w:sz w:val="32"/>
          <w:szCs w:val="24"/>
          <w:lang w:val="en-US"/>
        </w:rPr>
      </w:pPr>
      <w:r>
        <w:rPr>
          <w:rFonts w:hint="eastAsia" w:ascii="方正仿宋_GBK" w:hAnsi="方正仿宋_GBK" w:eastAsia="方正仿宋_GBK" w:cs="方正仿宋_GBK"/>
          <w:color w:val="000000"/>
          <w:sz w:val="32"/>
          <w:szCs w:val="24"/>
          <w:lang w:val="en-US" w:eastAsia="zh-CN"/>
        </w:rPr>
        <w:t>3</w:t>
      </w:r>
      <w:r>
        <w:rPr>
          <w:rFonts w:hint="eastAsia" w:ascii="方正仿宋_GBK" w:hAnsi="方正仿宋_GBK" w:eastAsia="方正仿宋_GBK" w:cs="方正仿宋_GBK"/>
          <w:color w:val="000000"/>
          <w:sz w:val="32"/>
          <w:szCs w:val="24"/>
          <w:lang w:val="en-US"/>
        </w:rPr>
        <w:t>.年末结转和结余：指单位按有关规定结转到下年或以后年度继续使用的资金。</w:t>
      </w:r>
    </w:p>
    <w:p>
      <w:pPr>
        <w:pStyle w:val="5"/>
        <w:keepNext w:val="0"/>
        <w:keepLines w:val="0"/>
        <w:pageBreakBefore w:val="0"/>
        <w:widowControl w:val="0"/>
        <w:kinsoku/>
        <w:wordWrap/>
        <w:overflowPunct/>
        <w:topLinePunct w:val="0"/>
        <w:bidi w:val="0"/>
        <w:rPr>
          <w:rFonts w:hint="eastAsia" w:ascii="方正仿宋_GBK" w:hAnsi="方正仿宋_GBK" w:eastAsia="方正仿宋_GBK" w:cs="方正仿宋_GBK"/>
          <w:lang w:val="en-US"/>
        </w:rPr>
      </w:pP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社会保障和就业支出（类）行政事业单位养老支出（款）事业单位离退休（项）：指事业单位开支的离退休经费。</w:t>
      </w:r>
    </w:p>
    <w:p>
      <w:pPr>
        <w:keepNext w:val="0"/>
        <w:keepLines w:val="0"/>
        <w:pageBreakBefore w:val="0"/>
        <w:widowControl w:val="0"/>
        <w:kinsoku/>
        <w:wordWrap/>
        <w:overflowPunct/>
        <w:topLinePunct w:val="0"/>
        <w:bidi w:val="0"/>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2"/>
          <w:sz w:val="32"/>
          <w:szCs w:val="24"/>
          <w:lang w:val="en-US" w:eastAsia="zh-CN"/>
        </w:rPr>
        <w:t>5</w:t>
      </w:r>
      <w:r>
        <w:rPr>
          <w:rFonts w:hint="eastAsia" w:ascii="方正仿宋_GBK" w:hAnsi="方正仿宋_GBK" w:eastAsia="方正仿宋_GBK" w:cs="方正仿宋_GBK"/>
          <w:color w:val="000000"/>
          <w:kern w:val="2"/>
          <w:sz w:val="32"/>
          <w:szCs w:val="24"/>
          <w:lang w:val="en-US"/>
        </w:rPr>
        <w:t>.</w:t>
      </w:r>
      <w:r>
        <w:rPr>
          <w:rFonts w:hint="eastAsia" w:ascii="方正仿宋_GBK" w:hAnsi="方正仿宋_GBK" w:eastAsia="方正仿宋_GBK" w:cs="方正仿宋_GBK"/>
          <w:color w:val="000000"/>
          <w:sz w:val="32"/>
          <w:szCs w:val="32"/>
        </w:rPr>
        <w:t>社会保障和就业（类）行政事业单位养老支出（款）机关事业单位基本养老保险缴费支出（项）:指机关事业单位实施养老保险制度由单位缴纳的基本养老保险费支出。</w:t>
      </w:r>
    </w:p>
    <w:p>
      <w:pPr>
        <w:keepNext w:val="0"/>
        <w:keepLines w:val="0"/>
        <w:pageBreakBefore w:val="0"/>
        <w:widowControl w:val="0"/>
        <w:kinsoku/>
        <w:wordWrap/>
        <w:overflowPunct/>
        <w:topLinePunct w:val="0"/>
        <w:bidi w:val="0"/>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6</w:t>
      </w:r>
      <w:r>
        <w:rPr>
          <w:rFonts w:hint="eastAsia" w:ascii="方正仿宋_GBK" w:hAnsi="方正仿宋_GBK" w:eastAsia="方正仿宋_GBK" w:cs="方正仿宋_GBK"/>
          <w:color w:val="000000"/>
          <w:sz w:val="32"/>
          <w:szCs w:val="32"/>
        </w:rPr>
        <w:t>.卫生健康（类）行政事业单位医疗（款）行政单位医疗（项）:指财政部门安排的行政单位（包括实行公务员管理的事业单位）基本医疗保险缴费经费。</w:t>
      </w:r>
    </w:p>
    <w:p>
      <w:pPr>
        <w:keepNext w:val="0"/>
        <w:keepLines w:val="0"/>
        <w:pageBreakBefore w:val="0"/>
        <w:widowControl w:val="0"/>
        <w:kinsoku/>
        <w:wordWrap/>
        <w:overflowPunct/>
        <w:topLinePunct w:val="0"/>
        <w:bidi w:val="0"/>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7</w:t>
      </w:r>
      <w:r>
        <w:rPr>
          <w:rFonts w:hint="eastAsia" w:ascii="方正仿宋_GBK" w:hAnsi="方正仿宋_GBK" w:eastAsia="方正仿宋_GBK" w:cs="方正仿宋_GBK"/>
          <w:color w:val="000000"/>
          <w:sz w:val="32"/>
          <w:szCs w:val="32"/>
        </w:rPr>
        <w:t>.卫生健康（类）行政事业单位医疗（款）</w:t>
      </w:r>
      <w:r>
        <w:rPr>
          <w:rFonts w:hint="eastAsia" w:ascii="方正仿宋_GBK" w:hAnsi="方正仿宋_GBK" w:eastAsia="方正仿宋_GBK" w:cs="方正仿宋_GBK"/>
          <w:color w:val="000000"/>
          <w:sz w:val="32"/>
          <w:szCs w:val="32"/>
          <w:lang w:val="en-US" w:eastAsia="zh-CN"/>
        </w:rPr>
        <w:t>事业</w:t>
      </w:r>
      <w:r>
        <w:rPr>
          <w:rFonts w:hint="eastAsia" w:ascii="方正仿宋_GBK" w:hAnsi="方正仿宋_GBK" w:eastAsia="方正仿宋_GBK" w:cs="方正仿宋_GBK"/>
          <w:color w:val="000000"/>
          <w:sz w:val="32"/>
          <w:szCs w:val="32"/>
        </w:rPr>
        <w:t>单位医疗（项）:指财政部门安排的</w:t>
      </w:r>
      <w:r>
        <w:rPr>
          <w:rFonts w:hint="eastAsia" w:ascii="方正仿宋_GBK" w:hAnsi="方正仿宋_GBK" w:eastAsia="方正仿宋_GBK" w:cs="方正仿宋_GBK"/>
          <w:color w:val="000000"/>
          <w:sz w:val="32"/>
          <w:szCs w:val="32"/>
          <w:lang w:val="en-US" w:eastAsia="zh-CN"/>
        </w:rPr>
        <w:t>事业</w:t>
      </w:r>
      <w:r>
        <w:rPr>
          <w:rFonts w:hint="eastAsia" w:ascii="方正仿宋_GBK" w:hAnsi="方正仿宋_GBK" w:eastAsia="方正仿宋_GBK" w:cs="方正仿宋_GBK"/>
          <w:color w:val="000000"/>
          <w:sz w:val="32"/>
          <w:szCs w:val="32"/>
        </w:rPr>
        <w:t>单位基本医疗保险缴费经费。</w:t>
      </w:r>
    </w:p>
    <w:p>
      <w:pPr>
        <w:keepNext w:val="0"/>
        <w:keepLines w:val="0"/>
        <w:pageBreakBefore w:val="0"/>
        <w:widowControl w:val="0"/>
        <w:kinsoku/>
        <w:wordWrap/>
        <w:overflowPunct/>
        <w:topLinePunct w:val="0"/>
        <w:bidi w:val="0"/>
        <w:ind w:firstLine="640" w:firstLineChars="200"/>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8</w:t>
      </w:r>
      <w:r>
        <w:rPr>
          <w:rFonts w:hint="eastAsia" w:ascii="方正仿宋_GBK" w:hAnsi="方正仿宋_GBK" w:eastAsia="方正仿宋_GBK" w:cs="方正仿宋_GBK"/>
          <w:color w:val="000000"/>
          <w:sz w:val="32"/>
          <w:szCs w:val="32"/>
        </w:rPr>
        <w:t>.卫生健康（类）行政事业单位医疗（款）</w:t>
      </w:r>
      <w:r>
        <w:rPr>
          <w:rFonts w:hint="eastAsia" w:ascii="方正仿宋_GBK" w:hAnsi="方正仿宋_GBK" w:eastAsia="方正仿宋_GBK" w:cs="方正仿宋_GBK"/>
          <w:color w:val="000000"/>
          <w:sz w:val="32"/>
          <w:szCs w:val="32"/>
          <w:lang w:val="en-US" w:eastAsia="zh-CN"/>
        </w:rPr>
        <w:t>公务员</w:t>
      </w:r>
      <w:r>
        <w:rPr>
          <w:rFonts w:hint="eastAsia" w:ascii="方正仿宋_GBK" w:hAnsi="方正仿宋_GBK" w:eastAsia="方正仿宋_GBK" w:cs="方正仿宋_GBK"/>
          <w:color w:val="000000"/>
          <w:sz w:val="32"/>
          <w:szCs w:val="32"/>
        </w:rPr>
        <w:t>医疗</w:t>
      </w:r>
      <w:r>
        <w:rPr>
          <w:rFonts w:hint="eastAsia" w:ascii="方正仿宋_GBK" w:hAnsi="方正仿宋_GBK" w:eastAsia="方正仿宋_GBK" w:cs="方正仿宋_GBK"/>
          <w:color w:val="000000"/>
          <w:sz w:val="32"/>
          <w:szCs w:val="32"/>
          <w:lang w:val="en-US" w:eastAsia="zh-CN"/>
        </w:rPr>
        <w:t>补助</w:t>
      </w:r>
      <w:r>
        <w:rPr>
          <w:rFonts w:hint="eastAsia" w:ascii="方正仿宋_GBK" w:hAnsi="方正仿宋_GBK" w:eastAsia="方正仿宋_GBK" w:cs="方正仿宋_GBK"/>
          <w:color w:val="000000"/>
          <w:sz w:val="32"/>
          <w:szCs w:val="32"/>
        </w:rPr>
        <w:t>（项）:指财政部门安排的</w:t>
      </w:r>
      <w:r>
        <w:rPr>
          <w:rFonts w:hint="eastAsia" w:ascii="方正仿宋_GBK" w:hAnsi="方正仿宋_GBK" w:eastAsia="方正仿宋_GBK" w:cs="方正仿宋_GBK"/>
          <w:color w:val="000000"/>
          <w:sz w:val="32"/>
          <w:szCs w:val="32"/>
          <w:lang w:val="en-US" w:eastAsia="zh-CN"/>
        </w:rPr>
        <w:t>公务员</w:t>
      </w:r>
      <w:r>
        <w:rPr>
          <w:rFonts w:hint="eastAsia" w:ascii="方正仿宋_GBK" w:hAnsi="方正仿宋_GBK" w:eastAsia="方正仿宋_GBK" w:cs="方正仿宋_GBK"/>
          <w:color w:val="000000"/>
          <w:sz w:val="32"/>
          <w:szCs w:val="32"/>
        </w:rPr>
        <w:t>医疗</w:t>
      </w:r>
      <w:r>
        <w:rPr>
          <w:rFonts w:hint="eastAsia" w:ascii="方正仿宋_GBK" w:hAnsi="方正仿宋_GBK" w:eastAsia="方正仿宋_GBK" w:cs="方正仿宋_GBK"/>
          <w:color w:val="000000"/>
          <w:sz w:val="32"/>
          <w:szCs w:val="32"/>
          <w:lang w:val="en-US" w:eastAsia="zh-CN"/>
        </w:rPr>
        <w:t>补助</w:t>
      </w:r>
      <w:r>
        <w:rPr>
          <w:rFonts w:hint="eastAsia" w:ascii="方正仿宋_GBK" w:hAnsi="方正仿宋_GBK" w:eastAsia="方正仿宋_GBK" w:cs="方正仿宋_GBK"/>
          <w:color w:val="000000"/>
          <w:sz w:val="32"/>
          <w:szCs w:val="32"/>
        </w:rPr>
        <w:t>经费</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bidi w:val="0"/>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9</w:t>
      </w:r>
      <w:r>
        <w:rPr>
          <w:rFonts w:hint="eastAsia" w:ascii="方正仿宋_GBK" w:hAnsi="方正仿宋_GBK" w:eastAsia="方正仿宋_GBK" w:cs="方正仿宋_GBK"/>
          <w:color w:val="000000"/>
          <w:sz w:val="32"/>
          <w:szCs w:val="32"/>
        </w:rPr>
        <w:t>.灾害防治及应急管理（类）应急管理事务（款）行政运行（项）:指应急管理事务行政单位（包括实行公务员管理的事业单位）的基本支出。</w:t>
      </w:r>
    </w:p>
    <w:p>
      <w:pPr>
        <w:keepNext w:val="0"/>
        <w:keepLines w:val="0"/>
        <w:pageBreakBefore w:val="0"/>
        <w:widowControl w:val="0"/>
        <w:kinsoku/>
        <w:wordWrap/>
        <w:overflowPunct/>
        <w:topLinePunct w:val="0"/>
        <w:bidi w:val="0"/>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10</w:t>
      </w:r>
      <w:r>
        <w:rPr>
          <w:rFonts w:hint="eastAsia" w:ascii="方正仿宋_GBK" w:hAnsi="方正仿宋_GBK" w:eastAsia="方正仿宋_GBK" w:cs="方正仿宋_GBK"/>
          <w:color w:val="000000"/>
          <w:sz w:val="32"/>
          <w:szCs w:val="32"/>
        </w:rPr>
        <w:t>.灾害防治及应急管理（类）应急管理事务（款）安全监管（项）:指安全生产监管方面的支出。</w:t>
      </w:r>
    </w:p>
    <w:p>
      <w:pPr>
        <w:keepNext w:val="0"/>
        <w:keepLines w:val="0"/>
        <w:pageBreakBefore w:val="0"/>
        <w:widowControl w:val="0"/>
        <w:kinsoku/>
        <w:wordWrap/>
        <w:overflowPunct/>
        <w:topLinePunct w:val="0"/>
        <w:bidi w:val="0"/>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.灾害防治及应急管理支出（类）应急管理事务（款）应急救援（项）：指安全生产、自然灾害应急救援方面的支出。</w:t>
      </w:r>
    </w:p>
    <w:p>
      <w:pPr>
        <w:pStyle w:val="5"/>
        <w:keepNext w:val="0"/>
        <w:keepLines w:val="0"/>
        <w:pageBreakBefore w:val="0"/>
        <w:widowControl w:val="0"/>
        <w:kinsoku/>
        <w:wordWrap/>
        <w:overflowPunct/>
        <w:topLinePunct w:val="0"/>
        <w:bidi w:val="0"/>
        <w:rPr>
          <w:rFonts w:hint="eastAsia" w:ascii="方正仿宋_GBK" w:hAnsi="方正仿宋_GBK" w:eastAsia="方正仿宋_GBK" w:cs="方正仿宋_GBK"/>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.灾害防治及应急管理支出（类）应急管理事务（款）事业运行（项）：指事业单位的基本支出，不包括行政单位（包括实行公务员管理的事业单位）后勤服务中心、医务室等附属事业单位。</w:t>
      </w:r>
    </w:p>
    <w:p>
      <w:pPr>
        <w:keepNext w:val="0"/>
        <w:keepLines w:val="0"/>
        <w:pageBreakBefore w:val="0"/>
        <w:widowControl w:val="0"/>
        <w:kinsoku/>
        <w:wordWrap/>
        <w:overflowPunct/>
        <w:topLinePunct w:val="0"/>
        <w:bidi w:val="0"/>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 灾害防治及应急管理（类）应急管理事务（款）其他应急管理支出（项）:指其他应急管理方面的支出。</w:t>
      </w:r>
    </w:p>
    <w:p>
      <w:pPr>
        <w:keepNext w:val="0"/>
        <w:keepLines w:val="0"/>
        <w:pageBreakBefore w:val="0"/>
        <w:widowControl w:val="0"/>
        <w:kinsoku/>
        <w:wordWrap/>
        <w:overflowPunct/>
        <w:topLinePunct w:val="0"/>
        <w:bidi w:val="0"/>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 灾害防治及应急管理（类）</w:t>
      </w:r>
      <w:r>
        <w:rPr>
          <w:rFonts w:hint="eastAsia" w:ascii="方正仿宋_GBK" w:hAnsi="方正仿宋_GBK" w:eastAsia="方正仿宋_GBK" w:cs="方正仿宋_GBK"/>
          <w:color w:val="000000"/>
          <w:sz w:val="32"/>
          <w:szCs w:val="32"/>
          <w:lang w:val="en-US" w:eastAsia="zh-CN"/>
        </w:rPr>
        <w:t>自然</w:t>
      </w:r>
      <w:r>
        <w:rPr>
          <w:rFonts w:hint="eastAsia" w:ascii="方正仿宋_GBK" w:hAnsi="方正仿宋_GBK" w:eastAsia="方正仿宋_GBK" w:cs="方正仿宋_GBK"/>
          <w:color w:val="000000"/>
          <w:sz w:val="32"/>
          <w:szCs w:val="32"/>
        </w:rPr>
        <w:t>灾害</w:t>
      </w:r>
      <w:r>
        <w:rPr>
          <w:rFonts w:hint="eastAsia" w:ascii="方正仿宋_GBK" w:hAnsi="方正仿宋_GBK" w:eastAsia="方正仿宋_GBK" w:cs="方正仿宋_GBK"/>
          <w:color w:val="000000"/>
          <w:sz w:val="32"/>
          <w:szCs w:val="32"/>
          <w:lang w:val="en-US" w:eastAsia="zh-CN"/>
        </w:rPr>
        <w:t>救灾及恢复重建支出</w:t>
      </w:r>
      <w:r>
        <w:rPr>
          <w:rFonts w:hint="eastAsia" w:ascii="方正仿宋_GBK" w:hAnsi="方正仿宋_GBK" w:eastAsia="方正仿宋_GBK" w:cs="方正仿宋_GBK"/>
          <w:color w:val="000000"/>
          <w:sz w:val="32"/>
          <w:szCs w:val="32"/>
        </w:rPr>
        <w:t>（款）</w:t>
      </w:r>
      <w:r>
        <w:rPr>
          <w:rFonts w:hint="eastAsia" w:ascii="方正仿宋_GBK" w:hAnsi="方正仿宋_GBK" w:eastAsia="方正仿宋_GBK" w:cs="方正仿宋_GBK"/>
          <w:color w:val="000000"/>
          <w:sz w:val="32"/>
          <w:szCs w:val="32"/>
          <w:lang w:val="en-US" w:eastAsia="zh-CN"/>
        </w:rPr>
        <w:t>自然灾害救灾补助</w:t>
      </w:r>
      <w:r>
        <w:rPr>
          <w:rFonts w:hint="eastAsia" w:ascii="方正仿宋_GBK" w:hAnsi="方正仿宋_GBK" w:eastAsia="方正仿宋_GBK" w:cs="方正仿宋_GBK"/>
          <w:color w:val="000000"/>
          <w:sz w:val="32"/>
          <w:szCs w:val="32"/>
        </w:rPr>
        <w:t>支出（项）:指</w:t>
      </w:r>
      <w:r>
        <w:rPr>
          <w:rFonts w:hint="eastAsia" w:ascii="方正仿宋_GBK" w:hAnsi="方正仿宋_GBK" w:eastAsia="方正仿宋_GBK" w:cs="方正仿宋_GBK"/>
          <w:color w:val="000000"/>
          <w:sz w:val="32"/>
          <w:szCs w:val="32"/>
          <w:lang w:val="en-US" w:eastAsia="zh-CN"/>
        </w:rPr>
        <w:t>用于应对重大自然灾害应急救援和受灾群众救助的支出</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overflowPunct/>
        <w:topLinePunct w:val="0"/>
        <w:bidi w:val="0"/>
        <w:spacing w:beforeLines="0" w:afterLines="0" w:line="576" w:lineRule="exact"/>
        <w:ind w:firstLine="640"/>
        <w:jc w:val="both"/>
        <w:rPr>
          <w:rFonts w:hint="eastAsia" w:ascii="方正仿宋_GBK" w:hAnsi="方正仿宋_GBK" w:eastAsia="方正仿宋_GBK" w:cs="方正仿宋_GBK"/>
          <w:color w:val="000000"/>
          <w:kern w:val="2"/>
          <w:sz w:val="32"/>
          <w:szCs w:val="24"/>
          <w:lang w:val="en-US"/>
        </w:rPr>
      </w:pPr>
      <w:r>
        <w:rPr>
          <w:rFonts w:hint="eastAsia" w:ascii="方正仿宋_GBK" w:hAnsi="方正仿宋_GBK" w:eastAsia="方正仿宋_GBK" w:cs="方正仿宋_GBK"/>
          <w:color w:val="000000"/>
          <w:kern w:val="2"/>
          <w:sz w:val="32"/>
          <w:szCs w:val="24"/>
          <w:lang w:val="en-US" w:eastAsia="zh-CN"/>
        </w:rPr>
        <w:t>15</w:t>
      </w:r>
      <w:r>
        <w:rPr>
          <w:rFonts w:hint="eastAsia" w:ascii="方正仿宋_GBK" w:hAnsi="方正仿宋_GBK" w:eastAsia="方正仿宋_GBK" w:cs="方正仿宋_GBK"/>
          <w:color w:val="000000"/>
          <w:kern w:val="2"/>
          <w:sz w:val="32"/>
          <w:szCs w:val="24"/>
          <w:lang w:val="en-US"/>
        </w:rPr>
        <w:t>.基本支出：指为保障机构正常运转、完成日常工作任务而发生的人员支出和公用支出。</w:t>
      </w:r>
    </w:p>
    <w:p>
      <w:pPr>
        <w:keepNext w:val="0"/>
        <w:keepLines w:val="0"/>
        <w:pageBreakBefore w:val="0"/>
        <w:widowControl w:val="0"/>
        <w:kinsoku/>
        <w:wordWrap/>
        <w:overflowPunct/>
        <w:topLinePunct w:val="0"/>
        <w:bidi w:val="0"/>
        <w:spacing w:beforeLines="0" w:afterLines="0" w:line="576" w:lineRule="exact"/>
        <w:ind w:firstLine="640"/>
        <w:jc w:val="both"/>
        <w:rPr>
          <w:rFonts w:hint="eastAsia" w:ascii="方正仿宋_GBK" w:hAnsi="方正仿宋_GBK" w:eastAsia="方正仿宋_GBK" w:cs="方正仿宋_GBK"/>
          <w:color w:val="000000"/>
          <w:kern w:val="2"/>
          <w:sz w:val="32"/>
          <w:szCs w:val="24"/>
          <w:lang w:val="en-US"/>
        </w:rPr>
      </w:pPr>
      <w:r>
        <w:rPr>
          <w:rFonts w:hint="eastAsia" w:ascii="方正仿宋_GBK" w:hAnsi="方正仿宋_GBK" w:eastAsia="方正仿宋_GBK" w:cs="方正仿宋_GBK"/>
          <w:color w:val="000000"/>
          <w:kern w:val="2"/>
          <w:sz w:val="32"/>
          <w:szCs w:val="24"/>
          <w:lang w:val="en-US" w:eastAsia="zh-CN"/>
        </w:rPr>
        <w:t>16</w:t>
      </w:r>
      <w:r>
        <w:rPr>
          <w:rFonts w:hint="eastAsia" w:ascii="方正仿宋_GBK" w:hAnsi="方正仿宋_GBK" w:eastAsia="方正仿宋_GBK" w:cs="方正仿宋_GBK"/>
          <w:color w:val="000000"/>
          <w:kern w:val="2"/>
          <w:sz w:val="32"/>
          <w:szCs w:val="24"/>
          <w:lang w:val="en-US"/>
        </w:rPr>
        <w:t xml:space="preserve">.项目支出：指在基本支出之外为完成特定行政任务和事业发展目标所发生的支出。 </w:t>
      </w:r>
    </w:p>
    <w:p>
      <w:pPr>
        <w:keepNext w:val="0"/>
        <w:keepLines w:val="0"/>
        <w:pageBreakBefore w:val="0"/>
        <w:widowControl w:val="0"/>
        <w:kinsoku/>
        <w:wordWrap/>
        <w:overflowPunct/>
        <w:topLinePunct w:val="0"/>
        <w:bidi w:val="0"/>
        <w:spacing w:beforeLines="0" w:afterLines="0" w:line="576" w:lineRule="exact"/>
        <w:ind w:firstLine="640"/>
        <w:jc w:val="both"/>
        <w:rPr>
          <w:rFonts w:hint="eastAsia" w:ascii="方正仿宋_GBK" w:hAnsi="方正仿宋_GBK" w:eastAsia="方正仿宋_GBK" w:cs="方正仿宋_GBK"/>
          <w:color w:val="000000"/>
          <w:kern w:val="2"/>
          <w:sz w:val="32"/>
          <w:szCs w:val="24"/>
          <w:lang w:val="en-US"/>
        </w:rPr>
      </w:pPr>
      <w:r>
        <w:rPr>
          <w:rFonts w:hint="eastAsia" w:ascii="方正仿宋_GBK" w:hAnsi="方正仿宋_GBK" w:eastAsia="方正仿宋_GBK" w:cs="方正仿宋_GBK"/>
          <w:color w:val="000000"/>
          <w:kern w:val="2"/>
          <w:sz w:val="32"/>
          <w:szCs w:val="24"/>
          <w:lang w:val="en-US" w:eastAsia="zh-CN"/>
        </w:rPr>
        <w:t>17</w:t>
      </w:r>
      <w:r>
        <w:rPr>
          <w:rFonts w:hint="eastAsia" w:ascii="方正仿宋_GBK" w:hAnsi="方正仿宋_GBK" w:eastAsia="方正仿宋_GBK" w:cs="方正仿宋_GBK"/>
          <w:color w:val="000000"/>
          <w:kern w:val="2"/>
          <w:sz w:val="32"/>
          <w:szCs w:val="24"/>
          <w:lang w:val="en-US"/>
        </w:rPr>
        <w:t>.经营支出：指事业单位在专业业务活动及其辅助活动之外开展非独立核算经营活动发生的支出。</w:t>
      </w:r>
    </w:p>
    <w:p>
      <w:pPr>
        <w:keepNext w:val="0"/>
        <w:keepLines w:val="0"/>
        <w:pageBreakBefore w:val="0"/>
        <w:widowControl w:val="0"/>
        <w:kinsoku/>
        <w:wordWrap/>
        <w:overflowPunct/>
        <w:topLinePunct w:val="0"/>
        <w:bidi w:val="0"/>
        <w:spacing w:beforeLines="0" w:afterLines="0" w:line="576" w:lineRule="exact"/>
        <w:ind w:firstLine="640"/>
        <w:rPr>
          <w:rFonts w:hint="eastAsia" w:ascii="方正仿宋_GBK" w:hAnsi="方正仿宋_GBK" w:eastAsia="方正仿宋_GBK" w:cs="方正仿宋_GBK"/>
          <w:color w:val="000000"/>
          <w:sz w:val="32"/>
          <w:szCs w:val="24"/>
          <w:lang w:val="en-US"/>
        </w:rPr>
      </w:pPr>
      <w:r>
        <w:rPr>
          <w:rFonts w:hint="eastAsia" w:ascii="方正仿宋_GBK" w:hAnsi="方正仿宋_GBK" w:eastAsia="方正仿宋_GBK" w:cs="方正仿宋_GBK"/>
          <w:color w:val="000000"/>
          <w:sz w:val="32"/>
          <w:szCs w:val="24"/>
          <w:lang w:val="en-US" w:eastAsia="zh-CN"/>
        </w:rPr>
        <w:t>18</w:t>
      </w:r>
      <w:r>
        <w:rPr>
          <w:rFonts w:hint="eastAsia" w:ascii="方正仿宋_GBK" w:hAnsi="方正仿宋_GBK" w:eastAsia="方正仿宋_GBK" w:cs="方正仿宋_GBK"/>
          <w:color w:val="000000"/>
          <w:sz w:val="32"/>
          <w:szCs w:val="24"/>
          <w:lang w:val="en-US"/>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bidi w:val="0"/>
        <w:spacing w:beforeLines="0" w:afterLines="0" w:line="560" w:lineRule="exact"/>
        <w:ind w:firstLine="640"/>
        <w:rPr>
          <w:rFonts w:hint="eastAsia" w:ascii="方正仿宋_GBK" w:hAnsi="方正仿宋_GBK" w:eastAsia="方正仿宋_GBK" w:cs="方正仿宋_GBK"/>
          <w:color w:val="auto"/>
          <w:sz w:val="32"/>
          <w:szCs w:val="24"/>
          <w:lang w:val="en-US"/>
        </w:rPr>
      </w:pPr>
      <w:r>
        <w:rPr>
          <w:rFonts w:hint="eastAsia" w:ascii="方正仿宋_GBK" w:hAnsi="方正仿宋_GBK" w:eastAsia="方正仿宋_GBK" w:cs="方正仿宋_GBK"/>
          <w:color w:val="000000"/>
          <w:sz w:val="32"/>
          <w:szCs w:val="24"/>
          <w:lang w:val="en-US" w:eastAsia="zh-CN"/>
        </w:rPr>
        <w:t>19</w:t>
      </w:r>
      <w:r>
        <w:rPr>
          <w:rFonts w:hint="eastAsia" w:ascii="方正仿宋_GBK" w:hAnsi="方正仿宋_GBK" w:eastAsia="方正仿宋_GBK" w:cs="方正仿宋_GBK"/>
          <w:color w:val="000000"/>
          <w:sz w:val="32"/>
          <w:szCs w:val="24"/>
          <w:lang w:val="en-US"/>
        </w:rPr>
        <w:t>.机关运行经费：</w:t>
      </w:r>
      <w:r>
        <w:rPr>
          <w:rFonts w:hint="eastAsia" w:ascii="方正仿宋_GBK" w:hAnsi="方正仿宋_GBK" w:eastAsia="方正仿宋_GBK" w:cs="方正仿宋_GBK"/>
          <w:color w:val="auto"/>
          <w:sz w:val="32"/>
          <w:szCs w:val="24"/>
          <w:lang w:val="en-US"/>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pacing w:beforeLines="0" w:afterLines="0"/>
        <w:ind w:firstLine="643"/>
        <w:jc w:val="both"/>
        <w:rPr>
          <w:rFonts w:hint="eastAsia" w:ascii="方正仿宋_GBK" w:hAnsi="方正仿宋_GBK" w:eastAsia="方正仿宋_GBK" w:cs="方正仿宋_GBK"/>
          <w:b/>
          <w:color w:val="auto"/>
          <w:kern w:val="2"/>
          <w:sz w:val="32"/>
          <w:szCs w:val="24"/>
          <w:lang w:val="en-US"/>
        </w:rPr>
      </w:pPr>
    </w:p>
    <w:p>
      <w:pPr>
        <w:keepNext w:val="0"/>
        <w:keepLines w:val="0"/>
        <w:pageBreakBefore w:val="0"/>
        <w:widowControl w:val="0"/>
        <w:kinsoku/>
        <w:wordWrap/>
        <w:overflowPunct/>
        <w:topLinePunct w:val="0"/>
        <w:bidi w:val="0"/>
        <w:spacing w:beforeLines="0" w:afterLines="0"/>
        <w:ind w:firstLine="643"/>
        <w:jc w:val="both"/>
        <w:rPr>
          <w:rFonts w:hint="eastAsia" w:ascii="方正仿宋_GBK" w:hAnsi="方正仿宋_GBK" w:eastAsia="方正仿宋_GBK" w:cs="方正仿宋_GBK"/>
          <w:b/>
          <w:color w:val="auto"/>
          <w:kern w:val="2"/>
          <w:sz w:val="32"/>
          <w:szCs w:val="24"/>
          <w:lang w:val="en-US"/>
        </w:rPr>
      </w:pPr>
    </w:p>
    <w:p>
      <w:pPr>
        <w:keepNext w:val="0"/>
        <w:keepLines w:val="0"/>
        <w:pageBreakBefore w:val="0"/>
        <w:widowControl w:val="0"/>
        <w:kinsoku/>
        <w:wordWrap/>
        <w:overflowPunct/>
        <w:topLinePunct w:val="0"/>
        <w:bidi w:val="0"/>
        <w:spacing w:beforeLines="0" w:afterLines="0"/>
        <w:ind w:firstLine="643"/>
        <w:jc w:val="both"/>
        <w:rPr>
          <w:rFonts w:hint="eastAsia" w:ascii="方正仿宋_GBK" w:hAnsi="方正仿宋_GBK" w:eastAsia="方正仿宋_GBK" w:cs="方正仿宋_GBK"/>
          <w:b/>
          <w:color w:val="auto"/>
          <w:kern w:val="2"/>
          <w:sz w:val="32"/>
          <w:szCs w:val="24"/>
          <w:lang w:val="en-US"/>
        </w:rPr>
      </w:pPr>
    </w:p>
    <w:p>
      <w:pPr>
        <w:keepNext w:val="0"/>
        <w:keepLines w:val="0"/>
        <w:pageBreakBefore w:val="0"/>
        <w:widowControl w:val="0"/>
        <w:kinsoku/>
        <w:wordWrap/>
        <w:overflowPunct/>
        <w:topLinePunct w:val="0"/>
        <w:bidi w:val="0"/>
        <w:spacing w:beforeLines="0" w:afterLines="0"/>
        <w:ind w:firstLine="643"/>
        <w:jc w:val="both"/>
        <w:rPr>
          <w:rFonts w:hint="eastAsia" w:ascii="方正仿宋_GBK" w:hAnsi="方正仿宋_GBK" w:eastAsia="方正仿宋_GBK" w:cs="方正仿宋_GBK"/>
          <w:b/>
          <w:color w:val="auto"/>
          <w:kern w:val="2"/>
          <w:sz w:val="32"/>
          <w:szCs w:val="24"/>
          <w:lang w:val="en-US"/>
        </w:rPr>
      </w:pPr>
    </w:p>
    <w:p>
      <w:pPr>
        <w:keepNext w:val="0"/>
        <w:keepLines w:val="0"/>
        <w:pageBreakBefore w:val="0"/>
        <w:widowControl w:val="0"/>
        <w:kinsoku/>
        <w:wordWrap/>
        <w:overflowPunct/>
        <w:topLinePunct w:val="0"/>
        <w:bidi w:val="0"/>
        <w:spacing w:beforeLines="0" w:afterLines="0"/>
        <w:ind w:firstLine="643"/>
        <w:jc w:val="both"/>
        <w:rPr>
          <w:rFonts w:hint="eastAsia" w:ascii="方正仿宋_GBK" w:hAnsi="方正仿宋_GBK" w:eastAsia="方正仿宋_GBK" w:cs="方正仿宋_GBK"/>
          <w:b/>
          <w:color w:val="auto"/>
          <w:kern w:val="2"/>
          <w:sz w:val="32"/>
          <w:szCs w:val="24"/>
          <w:lang w:val="en-US"/>
        </w:rPr>
      </w:pPr>
    </w:p>
    <w:p>
      <w:pPr>
        <w:keepNext w:val="0"/>
        <w:keepLines w:val="0"/>
        <w:pageBreakBefore w:val="0"/>
        <w:widowControl w:val="0"/>
        <w:kinsoku/>
        <w:wordWrap/>
        <w:overflowPunct/>
        <w:topLinePunct w:val="0"/>
        <w:bidi w:val="0"/>
        <w:spacing w:beforeLines="0" w:afterLines="0"/>
        <w:ind w:firstLine="643"/>
        <w:jc w:val="both"/>
        <w:rPr>
          <w:rFonts w:hint="eastAsia" w:ascii="方正仿宋_GBK" w:hAnsi="方正仿宋_GBK" w:eastAsia="方正仿宋_GBK" w:cs="方正仿宋_GBK"/>
          <w:b/>
          <w:color w:val="auto"/>
          <w:kern w:val="2"/>
          <w:sz w:val="32"/>
          <w:szCs w:val="24"/>
          <w:lang w:val="en-US"/>
        </w:rPr>
      </w:pPr>
    </w:p>
    <w:p>
      <w:pPr>
        <w:keepNext w:val="0"/>
        <w:keepLines w:val="0"/>
        <w:pageBreakBefore w:val="0"/>
        <w:widowControl w:val="0"/>
        <w:kinsoku/>
        <w:wordWrap/>
        <w:overflowPunct/>
        <w:topLinePunct w:val="0"/>
        <w:bidi w:val="0"/>
        <w:spacing w:beforeLines="0" w:afterLines="0"/>
        <w:ind w:firstLine="643"/>
        <w:jc w:val="both"/>
        <w:rPr>
          <w:rFonts w:hint="eastAsia" w:ascii="方正仿宋_GBK" w:hAnsi="方正仿宋_GBK" w:eastAsia="方正仿宋_GBK" w:cs="方正仿宋_GBK"/>
          <w:b/>
          <w:color w:val="auto"/>
          <w:kern w:val="2"/>
          <w:sz w:val="32"/>
          <w:szCs w:val="24"/>
          <w:lang w:val="en-US"/>
        </w:rPr>
      </w:pPr>
    </w:p>
    <w:p>
      <w:pPr>
        <w:keepNext w:val="0"/>
        <w:keepLines w:val="0"/>
        <w:pageBreakBefore w:val="0"/>
        <w:widowControl w:val="0"/>
        <w:kinsoku/>
        <w:wordWrap/>
        <w:overflowPunct/>
        <w:topLinePunct w:val="0"/>
        <w:bidi w:val="0"/>
        <w:spacing w:beforeLines="0" w:afterLines="0"/>
        <w:ind w:firstLine="643"/>
        <w:jc w:val="both"/>
        <w:rPr>
          <w:rFonts w:hint="eastAsia" w:ascii="方正仿宋_GBK" w:hAnsi="方正仿宋_GBK" w:eastAsia="方正仿宋_GBK" w:cs="方正仿宋_GBK"/>
          <w:b/>
          <w:color w:val="auto"/>
          <w:kern w:val="2"/>
          <w:sz w:val="32"/>
          <w:szCs w:val="24"/>
          <w:lang w:val="en-US"/>
        </w:rPr>
      </w:pPr>
    </w:p>
    <w:p>
      <w:pPr>
        <w:keepNext w:val="0"/>
        <w:keepLines w:val="0"/>
        <w:pageBreakBefore w:val="0"/>
        <w:widowControl w:val="0"/>
        <w:kinsoku/>
        <w:wordWrap/>
        <w:overflowPunct/>
        <w:topLinePunct w:val="0"/>
        <w:bidi w:val="0"/>
        <w:spacing w:beforeLines="0" w:afterLines="0"/>
        <w:ind w:firstLine="643"/>
        <w:jc w:val="both"/>
        <w:rPr>
          <w:rFonts w:hint="eastAsia" w:ascii="方正仿宋_GBK" w:hAnsi="方正仿宋_GBK" w:eastAsia="方正仿宋_GBK" w:cs="方正仿宋_GBK"/>
          <w:b/>
          <w:color w:val="auto"/>
          <w:kern w:val="2"/>
          <w:sz w:val="32"/>
          <w:szCs w:val="24"/>
          <w:lang w:val="en-US"/>
        </w:rPr>
      </w:pPr>
    </w:p>
    <w:p>
      <w:pPr>
        <w:pStyle w:val="13"/>
        <w:keepNext w:val="0"/>
        <w:keepLines w:val="0"/>
        <w:pageBreakBefore w:val="0"/>
        <w:widowControl w:val="0"/>
        <w:kinsoku/>
        <w:wordWrap/>
        <w:overflowPunct/>
        <w:topLinePunct w:val="0"/>
        <w:bidi w:val="0"/>
        <w:ind w:left="0" w:leftChars="0" w:firstLine="0" w:firstLineChars="0"/>
        <w:rPr>
          <w:rFonts w:hint="eastAsia" w:ascii="方正仿宋_GBK" w:hAnsi="方正仿宋_GBK" w:eastAsia="方正仿宋_GBK" w:cs="方正仿宋_GBK"/>
          <w:lang w:val="zh-CN"/>
        </w:rPr>
      </w:pPr>
    </w:p>
    <w:p>
      <w:pPr>
        <w:keepNext w:val="0"/>
        <w:keepLines w:val="0"/>
        <w:pageBreakBefore w:val="0"/>
        <w:widowControl w:val="0"/>
        <w:kinsoku/>
        <w:wordWrap/>
        <w:overflowPunct/>
        <w:topLinePunct w:val="0"/>
        <w:bidi w:val="0"/>
        <w:spacing w:beforeLines="0" w:afterLines="0" w:line="600" w:lineRule="exact"/>
        <w:jc w:val="center"/>
        <w:outlineLvl w:val="0"/>
        <w:rPr>
          <w:rFonts w:hint="eastAsia" w:ascii="方正黑体_GBK" w:hAnsi="方正黑体_GBK" w:eastAsia="方正黑体_GBK" w:cs="方正黑体_GBK"/>
          <w:color w:val="auto"/>
          <w:kern w:val="2"/>
          <w:sz w:val="32"/>
          <w:szCs w:val="24"/>
          <w:lang w:val="en-US"/>
        </w:rPr>
      </w:pPr>
      <w:bookmarkStart w:id="34" w:name="_Toc21525"/>
      <w:r>
        <w:rPr>
          <w:rFonts w:hint="eastAsia" w:ascii="方正黑体_GBK" w:hAnsi="方正黑体_GBK" w:eastAsia="方正黑体_GBK" w:cs="方正黑体_GBK"/>
          <w:color w:val="auto"/>
          <w:kern w:val="2"/>
          <w:sz w:val="44"/>
          <w:szCs w:val="24"/>
          <w:lang w:val="en-US"/>
        </w:rPr>
        <w:t>第</w:t>
      </w:r>
      <w:r>
        <w:rPr>
          <w:rFonts w:hint="eastAsia" w:ascii="方正黑体_GBK" w:hAnsi="方正黑体_GBK" w:eastAsia="方正黑体_GBK" w:cs="方正黑体_GBK"/>
          <w:color w:val="auto"/>
          <w:kern w:val="44"/>
          <w:sz w:val="44"/>
          <w:szCs w:val="24"/>
          <w:lang w:val="en-US"/>
        </w:rPr>
        <w:t>四部分 附件</w:t>
      </w:r>
      <w:bookmarkEnd w:id="34"/>
    </w:p>
    <w:p>
      <w:pPr>
        <w:keepNext w:val="0"/>
        <w:keepLines w:val="0"/>
        <w:pageBreakBefore w:val="0"/>
        <w:widowControl w:val="0"/>
        <w:kinsoku/>
        <w:wordWrap/>
        <w:overflowPunct/>
        <w:topLinePunct w:val="0"/>
        <w:bidi w:val="0"/>
        <w:spacing w:line="600" w:lineRule="exact"/>
        <w:jc w:val="left"/>
        <w:outlineLvl w:val="1"/>
        <w:rPr>
          <w:rFonts w:hint="eastAsia" w:ascii="方正黑体_GBK" w:hAnsi="方正黑体_GBK" w:eastAsia="方正黑体_GBK" w:cs="方正黑体_GBK"/>
          <w:sz w:val="32"/>
          <w:szCs w:val="32"/>
        </w:rPr>
      </w:pPr>
      <w:bookmarkStart w:id="35" w:name="_Toc5501"/>
      <w:r>
        <w:rPr>
          <w:rFonts w:hint="eastAsia" w:ascii="方正黑体_GBK" w:hAnsi="方正黑体_GBK" w:eastAsia="方正黑体_GBK" w:cs="方正黑体_GBK"/>
          <w:sz w:val="32"/>
          <w:szCs w:val="32"/>
        </w:rPr>
        <w:t>附件1</w:t>
      </w:r>
      <w:bookmarkEnd w:id="35"/>
    </w:p>
    <w:p>
      <w:pPr>
        <w:keepNext w:val="0"/>
        <w:keepLines w:val="0"/>
        <w:pageBreakBefore w:val="0"/>
        <w:widowControl w:val="0"/>
        <w:kinsoku/>
        <w:wordWrap/>
        <w:overflowPunct/>
        <w:topLinePunct w:val="0"/>
        <w:bidi w:val="0"/>
        <w:spacing w:line="560" w:lineRule="exact"/>
        <w:contextualSpacing/>
        <w:jc w:val="center"/>
        <w:rPr>
          <w:rFonts w:hint="eastAsia" w:ascii="方正仿宋_GBK" w:hAnsi="方正仿宋_GBK" w:eastAsia="方正仿宋_GBK" w:cs="方正仿宋_GBK"/>
          <w:b/>
          <w:sz w:val="44"/>
          <w:szCs w:val="44"/>
          <w:shd w:val="clear" w:color="auto" w:fill="FFFFFF"/>
        </w:rPr>
      </w:pPr>
    </w:p>
    <w:p>
      <w:pPr>
        <w:keepNext w:val="0"/>
        <w:keepLines w:val="0"/>
        <w:pageBreakBefore w:val="0"/>
        <w:widowControl w:val="0"/>
        <w:kinsoku/>
        <w:wordWrap/>
        <w:overflowPunct/>
        <w:topLinePunct w:val="0"/>
        <w:bidi w:val="0"/>
        <w:spacing w:line="560" w:lineRule="exact"/>
        <w:contextualSpacing/>
        <w:jc w:val="center"/>
        <w:rPr>
          <w:rFonts w:hint="eastAsia" w:ascii="方正仿宋_GBK" w:hAnsi="方正仿宋_GBK" w:eastAsia="方正仿宋_GBK" w:cs="方正仿宋_GBK"/>
          <w:b/>
          <w:sz w:val="44"/>
          <w:szCs w:val="44"/>
          <w:shd w:val="clear" w:color="auto" w:fill="FFFFFF"/>
        </w:rPr>
      </w:pPr>
      <w:r>
        <w:rPr>
          <w:rFonts w:hint="eastAsia" w:ascii="方正仿宋_GBK" w:hAnsi="方正仿宋_GBK" w:eastAsia="方正仿宋_GBK" w:cs="方正仿宋_GBK"/>
          <w:b/>
          <w:sz w:val="44"/>
          <w:szCs w:val="44"/>
          <w:shd w:val="clear" w:color="auto" w:fill="FFFFFF"/>
        </w:rPr>
        <w:t>2022年广安市</w:t>
      </w:r>
      <w:r>
        <w:rPr>
          <w:rFonts w:hint="eastAsia" w:ascii="方正仿宋_GBK" w:hAnsi="方正仿宋_GBK" w:eastAsia="方正仿宋_GBK" w:cs="方正仿宋_GBK"/>
          <w:b/>
          <w:sz w:val="44"/>
          <w:szCs w:val="44"/>
          <w:shd w:val="clear" w:color="auto" w:fill="FFFFFF"/>
          <w:lang w:val="en-US" w:eastAsia="zh-CN"/>
        </w:rPr>
        <w:t>应急管理局</w:t>
      </w:r>
    </w:p>
    <w:p>
      <w:pPr>
        <w:keepNext w:val="0"/>
        <w:keepLines w:val="0"/>
        <w:pageBreakBefore w:val="0"/>
        <w:widowControl w:val="0"/>
        <w:kinsoku/>
        <w:wordWrap/>
        <w:overflowPunct/>
        <w:topLinePunct w:val="0"/>
        <w:bidi w:val="0"/>
        <w:spacing w:line="560" w:lineRule="exact"/>
        <w:contextualSpacing/>
        <w:jc w:val="center"/>
        <w:rPr>
          <w:rFonts w:hint="eastAsia" w:ascii="方正仿宋_GBK" w:hAnsi="方正仿宋_GBK" w:eastAsia="方正仿宋_GBK" w:cs="方正仿宋_GBK"/>
          <w:b/>
          <w:sz w:val="44"/>
          <w:szCs w:val="44"/>
          <w:shd w:val="clear" w:color="auto" w:fill="FFFFFF"/>
        </w:rPr>
      </w:pPr>
      <w:r>
        <w:rPr>
          <w:rFonts w:hint="eastAsia" w:ascii="方正仿宋_GBK" w:hAnsi="方正仿宋_GBK" w:eastAsia="方正仿宋_GBK" w:cs="方正仿宋_GBK"/>
          <w:b/>
          <w:sz w:val="44"/>
          <w:szCs w:val="44"/>
          <w:shd w:val="clear" w:color="auto" w:fill="FFFFFF"/>
        </w:rPr>
        <w:t>部门整体绩效自评报告</w:t>
      </w:r>
    </w:p>
    <w:p>
      <w:pPr>
        <w:keepNext w:val="0"/>
        <w:keepLines w:val="0"/>
        <w:pageBreakBefore w:val="0"/>
        <w:widowControl w:val="0"/>
        <w:kinsoku/>
        <w:wordWrap/>
        <w:overflowPunct/>
        <w:topLinePunct w:val="0"/>
        <w:bidi w:val="0"/>
        <w:adjustRightInd w:val="0"/>
        <w:snapToGrid w:val="0"/>
        <w:spacing w:line="560" w:lineRule="exact"/>
        <w:ind w:firstLine="480" w:firstLineChars="200"/>
        <w:contextualSpacing/>
        <w:jc w:val="left"/>
        <w:rPr>
          <w:rFonts w:hint="eastAsia" w:ascii="方正仿宋_GBK" w:hAnsi="方正仿宋_GBK" w:eastAsia="方正仿宋_GBK" w:cs="方正仿宋_GBK"/>
          <w:color w:val="000000"/>
          <w:kern w:val="0"/>
          <w:sz w:val="24"/>
          <w:szCs w:val="32"/>
          <w:shd w:val="clear" w:color="auto" w:fill="FFFFFF"/>
        </w:rPr>
      </w:pPr>
    </w:p>
    <w:p>
      <w:pPr>
        <w:keepNext w:val="0"/>
        <w:keepLines w:val="0"/>
        <w:pageBreakBefore w:val="0"/>
        <w:widowControl w:val="0"/>
        <w:numPr>
          <w:ilvl w:val="0"/>
          <w:numId w:val="1"/>
        </w:numPr>
        <w:kinsoku/>
        <w:wordWrap/>
        <w:overflowPunct/>
        <w:topLinePunct w:val="0"/>
        <w:bidi w:val="0"/>
        <w:adjustRightInd w:val="0"/>
        <w:snapToGrid w:val="0"/>
        <w:spacing w:line="560" w:lineRule="exact"/>
        <w:ind w:firstLine="640" w:firstLineChars="200"/>
        <w:contextualSpacing/>
        <w:jc w:val="left"/>
        <w:outlineLvl w:val="1"/>
        <w:rPr>
          <w:rFonts w:hint="eastAsia" w:ascii="方正黑体_GBK" w:hAnsi="方正黑体_GBK" w:eastAsia="方正黑体_GBK" w:cs="方正黑体_GBK"/>
          <w:color w:val="000000"/>
          <w:kern w:val="0"/>
          <w:szCs w:val="32"/>
          <w:shd w:val="clear" w:color="auto" w:fill="FFFFFF"/>
          <w:lang w:val="zh-CN"/>
        </w:rPr>
      </w:pPr>
      <w:bookmarkStart w:id="36" w:name="_Toc17073"/>
      <w:r>
        <w:rPr>
          <w:rFonts w:hint="eastAsia" w:ascii="方正黑体_GBK" w:hAnsi="方正黑体_GBK" w:eastAsia="方正黑体_GBK" w:cs="方正黑体_GBK"/>
          <w:color w:val="000000"/>
          <w:kern w:val="0"/>
          <w:szCs w:val="32"/>
          <w:shd w:val="clear" w:color="auto" w:fill="FFFFFF"/>
          <w:lang w:val="zh-CN"/>
        </w:rPr>
        <w:t>部门基本情况</w:t>
      </w:r>
      <w:bookmarkEnd w:id="36"/>
    </w:p>
    <w:p>
      <w:pPr>
        <w:keepNext w:val="0"/>
        <w:keepLines w:val="0"/>
        <w:pageBreakBefore w:val="0"/>
        <w:widowControl w:val="0"/>
        <w:kinsoku/>
        <w:wordWrap/>
        <w:overflowPunct/>
        <w:topLinePunct w:val="0"/>
        <w:bidi w:val="0"/>
        <w:adjustRightInd w:val="0"/>
        <w:snapToGrid w:val="0"/>
        <w:spacing w:line="560" w:lineRule="exact"/>
        <w:ind w:firstLine="643" w:firstLineChars="200"/>
        <w:contextualSpacing/>
        <w:jc w:val="left"/>
        <w:outlineLvl w:val="2"/>
        <w:rPr>
          <w:rFonts w:hint="eastAsia" w:ascii="方正仿宋_GBK" w:hAnsi="方正仿宋_GBK" w:eastAsia="方正仿宋_GBK" w:cs="方正仿宋_GBK"/>
          <w:b/>
          <w:bCs/>
          <w:color w:val="000000"/>
          <w:kern w:val="0"/>
          <w:szCs w:val="32"/>
          <w:shd w:val="clear" w:color="auto" w:fill="FFFFFF"/>
          <w:lang w:val="zh-CN"/>
        </w:rPr>
      </w:pPr>
      <w:bookmarkStart w:id="37" w:name="_Toc11199"/>
      <w:r>
        <w:rPr>
          <w:rFonts w:hint="eastAsia" w:ascii="方正仿宋_GBK" w:hAnsi="方正仿宋_GBK" w:eastAsia="方正仿宋_GBK" w:cs="方正仿宋_GBK"/>
          <w:b/>
          <w:bCs/>
          <w:color w:val="000000"/>
          <w:kern w:val="0"/>
          <w:szCs w:val="32"/>
          <w:shd w:val="clear" w:color="auto" w:fill="FFFFFF"/>
          <w:lang w:val="zh-CN"/>
        </w:rPr>
        <w:t>（一）机构组成。</w:t>
      </w:r>
      <w:bookmarkEnd w:id="37"/>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zh-CN"/>
        </w:rPr>
      </w:pPr>
      <w:r>
        <w:rPr>
          <w:rFonts w:hint="eastAsia" w:ascii="方正仿宋_GBK" w:hAnsi="方正仿宋_GBK" w:eastAsia="方正仿宋_GBK" w:cs="方正仿宋_GBK"/>
          <w:lang w:val="zh-CN"/>
        </w:rPr>
        <w:t>广安市应急管理局下属二级单位4个，其中行政单位0个，参照公务员法管理的事业单位2个，其他事业单位2个。</w:t>
      </w:r>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zh-CN"/>
        </w:rPr>
      </w:pPr>
      <w:r>
        <w:rPr>
          <w:rFonts w:hint="eastAsia" w:ascii="方正仿宋_GBK" w:hAnsi="方正仿宋_GBK" w:eastAsia="方正仿宋_GBK" w:cs="方正仿宋_GBK"/>
          <w:lang w:val="zh-CN"/>
        </w:rPr>
        <w:t>1.广安市</w:t>
      </w:r>
      <w:r>
        <w:rPr>
          <w:rFonts w:hint="eastAsia" w:ascii="方正仿宋_GBK" w:hAnsi="方正仿宋_GBK" w:eastAsia="方正仿宋_GBK" w:cs="方正仿宋_GBK"/>
          <w:lang w:val="en-US" w:eastAsia="zh-CN"/>
        </w:rPr>
        <w:t>应急管理综合行政执法</w:t>
      </w:r>
      <w:r>
        <w:rPr>
          <w:rFonts w:hint="eastAsia" w:ascii="方正仿宋_GBK" w:hAnsi="方正仿宋_GBK" w:eastAsia="方正仿宋_GBK" w:cs="方正仿宋_GBK"/>
          <w:lang w:val="zh-CN"/>
        </w:rPr>
        <w:t>支队</w:t>
      </w:r>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zh-CN"/>
        </w:rPr>
      </w:pPr>
      <w:r>
        <w:rPr>
          <w:rFonts w:hint="eastAsia" w:ascii="方正仿宋_GBK" w:hAnsi="方正仿宋_GBK" w:eastAsia="方正仿宋_GBK" w:cs="方正仿宋_GBK"/>
          <w:lang w:val="zh-CN"/>
        </w:rPr>
        <w:t>2.广安市应急救援保障中心</w:t>
      </w:r>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zh-CN"/>
        </w:rPr>
      </w:pPr>
      <w:r>
        <w:rPr>
          <w:rFonts w:hint="eastAsia" w:ascii="方正仿宋_GBK" w:hAnsi="方正仿宋_GBK" w:eastAsia="方正仿宋_GBK" w:cs="方正仿宋_GBK"/>
          <w:lang w:val="zh-CN"/>
        </w:rPr>
        <w:t>3.广安市煤矿数字化瓦斯监控中心</w:t>
      </w:r>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zh-CN"/>
        </w:rPr>
      </w:pPr>
      <w:r>
        <w:rPr>
          <w:rFonts w:hint="eastAsia" w:ascii="方正仿宋_GBK" w:hAnsi="方正仿宋_GBK" w:eastAsia="方正仿宋_GBK" w:cs="方正仿宋_GBK"/>
          <w:lang w:val="zh-CN"/>
        </w:rPr>
        <w:t>4.广安市矿山救护大队</w:t>
      </w:r>
    </w:p>
    <w:p>
      <w:pPr>
        <w:keepNext w:val="0"/>
        <w:keepLines w:val="0"/>
        <w:pageBreakBefore w:val="0"/>
        <w:widowControl w:val="0"/>
        <w:kinsoku/>
        <w:wordWrap/>
        <w:overflowPunct/>
        <w:topLinePunct w:val="0"/>
        <w:bidi w:val="0"/>
        <w:adjustRightInd w:val="0"/>
        <w:snapToGrid w:val="0"/>
        <w:spacing w:line="560" w:lineRule="exact"/>
        <w:ind w:firstLine="643" w:firstLineChars="200"/>
        <w:contextualSpacing/>
        <w:jc w:val="left"/>
        <w:outlineLvl w:val="2"/>
        <w:rPr>
          <w:rFonts w:hint="eastAsia" w:ascii="方正仿宋_GBK" w:hAnsi="方正仿宋_GBK" w:eastAsia="方正仿宋_GBK" w:cs="方正仿宋_GBK"/>
          <w:b/>
          <w:bCs/>
          <w:color w:val="000000"/>
          <w:kern w:val="0"/>
          <w:szCs w:val="32"/>
          <w:shd w:val="clear" w:color="auto" w:fill="FFFFFF"/>
          <w:lang w:val="zh-CN"/>
        </w:rPr>
      </w:pPr>
      <w:bookmarkStart w:id="38" w:name="_Toc4037"/>
      <w:r>
        <w:rPr>
          <w:rFonts w:hint="eastAsia" w:ascii="方正仿宋_GBK" w:hAnsi="方正仿宋_GBK" w:eastAsia="方正仿宋_GBK" w:cs="方正仿宋_GBK"/>
          <w:b/>
          <w:bCs/>
          <w:color w:val="000000"/>
          <w:kern w:val="0"/>
          <w:szCs w:val="32"/>
          <w:shd w:val="clear" w:color="auto" w:fill="FFFFFF"/>
          <w:lang w:val="zh-CN"/>
        </w:rPr>
        <w:t>（二）机构职能和人员概况。</w:t>
      </w:r>
      <w:bookmarkEnd w:id="38"/>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zh-CN"/>
        </w:rPr>
      </w:pPr>
      <w:r>
        <w:rPr>
          <w:rFonts w:hint="eastAsia" w:ascii="方正仿宋_GBK" w:hAnsi="方正仿宋_GBK" w:eastAsia="方正仿宋_GBK" w:cs="方正仿宋_GBK"/>
          <w:lang w:val="zh-CN"/>
        </w:rPr>
        <w:t>1.负责应急管理工作，组织和指导各地、各部门应对安全生产类、自然灾害类等突发事件，抓好综合防灾减灾救灾工作。负责安全生产综合监督管理和工矿商贸、煤炭行业安全生产监督管理及防震减灾工作。</w:t>
      </w:r>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zh-CN"/>
        </w:rPr>
      </w:pPr>
      <w:r>
        <w:rPr>
          <w:rFonts w:hint="eastAsia" w:ascii="方正仿宋_GBK" w:hAnsi="方正仿宋_GBK" w:eastAsia="方正仿宋_GBK" w:cs="方正仿宋_GBK"/>
          <w:lang w:val="zh-CN"/>
        </w:rPr>
        <w:t>2.拟订应急管理、安全生产等政策措施，组织编制应急体系建设、安全生产和综合防灾减灾规划。</w:t>
      </w:r>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zh-CN"/>
        </w:rPr>
      </w:pPr>
      <w:r>
        <w:rPr>
          <w:rFonts w:hint="eastAsia" w:ascii="方正仿宋_GBK" w:hAnsi="方正仿宋_GBK" w:eastAsia="方正仿宋_GBK" w:cs="方正仿宋_GBK"/>
          <w:lang w:val="zh-CN"/>
        </w:rPr>
        <w:t>3.负责组织、指导应急预案体系建设，建立事故灾难和自然灾害分级应对制度，牵头组织编制综合应急防灾减灾预案和安全生产类、自然灾害类专项预案，负责应急预案衔接工作，组织开展预案演练，推动应急避难设施建设。</w:t>
      </w:r>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zh-CN"/>
        </w:rPr>
      </w:pPr>
      <w:r>
        <w:rPr>
          <w:rFonts w:hint="eastAsia" w:ascii="方正仿宋_GBK" w:hAnsi="方正仿宋_GBK" w:eastAsia="方正仿宋_GBK" w:cs="方正仿宋_GBK"/>
          <w:lang w:val="zh-CN"/>
        </w:rPr>
        <w:t>4.牵头建立统一的应急管理信息系统，负责信息传输渠道的规划和布局，建立监测预警和灾情报告制度，健全自然灾害信息资源获取和共享机制，依法统一发布灾情。</w:t>
      </w:r>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zh-CN"/>
        </w:rPr>
      </w:pPr>
      <w:r>
        <w:rPr>
          <w:rFonts w:hint="eastAsia" w:ascii="方正仿宋_GBK" w:hAnsi="方正仿宋_GBK" w:eastAsia="方正仿宋_GBK" w:cs="方正仿宋_GBK"/>
          <w:lang w:val="zh-CN"/>
        </w:rPr>
        <w:t>5.负责组织、指导、协调安全生产类、自然灾害类等突发事件应急救援，承担全市应对较大及以上灾害指挥部工作，综合研判突发事件发展态势并提出应对建议，负责组织较大及以上灾害应急处置工作。</w:t>
      </w:r>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zh-CN"/>
        </w:rPr>
      </w:pPr>
      <w:r>
        <w:rPr>
          <w:rFonts w:hint="eastAsia" w:ascii="方正仿宋_GBK" w:hAnsi="方正仿宋_GBK" w:eastAsia="方正仿宋_GBK" w:cs="方正仿宋_GBK"/>
          <w:lang w:val="zh-CN"/>
        </w:rPr>
        <w:t>6.统一协调指挥各类应急专业队伍，建立应急协调联动机制，推进指挥平台对接，提请衔接解放军和武警部队参与应急救援工作。</w:t>
      </w:r>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zh-CN"/>
        </w:rPr>
      </w:pPr>
      <w:r>
        <w:rPr>
          <w:rFonts w:hint="eastAsia" w:ascii="方正仿宋_GBK" w:hAnsi="方正仿宋_GBK" w:eastAsia="方正仿宋_GBK" w:cs="方正仿宋_GBK"/>
          <w:lang w:val="zh-CN"/>
        </w:rPr>
        <w:t>7.按照国家相关政策和规定负责消防、森林火灾扑救、抗洪抢险、地震和地质灾害救援、生产安全事故救援等专业应急救援力量建设，依法依规统筹指导各地及社会应急救援力量和应急保障能力建设。</w:t>
      </w:r>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zh-CN"/>
        </w:rPr>
      </w:pPr>
      <w:r>
        <w:rPr>
          <w:rFonts w:hint="eastAsia" w:ascii="方正仿宋_GBK" w:hAnsi="方正仿宋_GBK" w:eastAsia="方正仿宋_GBK" w:cs="方正仿宋_GBK"/>
          <w:lang w:val="zh-CN"/>
        </w:rPr>
        <w:t>8.按照国家相关政策和省委、省政府及市委、市政府相关规定负责消防工作，组织和指导消防监督、火灾预防、火灾扑救等工作。</w:t>
      </w:r>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zh-CN"/>
        </w:rPr>
      </w:pPr>
      <w:r>
        <w:rPr>
          <w:rFonts w:hint="eastAsia" w:ascii="方正仿宋_GBK" w:hAnsi="方正仿宋_GBK" w:eastAsia="方正仿宋_GBK" w:cs="方正仿宋_GBK"/>
          <w:lang w:val="zh-CN"/>
        </w:rPr>
        <w:t>9.负责自然灾害综合监测预警工作，承担自然灾害综合风险评估工作，督促、指导森林火灾、水旱灾害、地震和地质灾害等防治工作。</w:t>
      </w:r>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zh-CN"/>
        </w:rPr>
      </w:pPr>
      <w:r>
        <w:rPr>
          <w:rFonts w:hint="eastAsia" w:ascii="方正仿宋_GBK" w:hAnsi="方正仿宋_GBK" w:eastAsia="方正仿宋_GBK" w:cs="方正仿宋_GBK"/>
          <w:lang w:val="zh-CN"/>
        </w:rPr>
        <w:t>10.负责组织、协调灾害救助工作，组织和指导灾情核查、损失评估、救灾捐赠工作，管理、分配中央、省级下拨及市级救灾款物并监督使用。</w:t>
      </w:r>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zh-CN"/>
        </w:rPr>
      </w:pPr>
      <w:r>
        <w:rPr>
          <w:rFonts w:hint="eastAsia" w:ascii="方正仿宋_GBK" w:hAnsi="方正仿宋_GBK" w:eastAsia="方正仿宋_GBK" w:cs="方正仿宋_GBK"/>
          <w:lang w:val="zh-CN"/>
        </w:rPr>
        <w:t>11.依法承担安全生产综合监督管理责任。指导协调、监督检查市级有关部门和各区市县（园区）安全生产工作，组织开展安全生产巡查、考核工作。</w:t>
      </w:r>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zh-CN"/>
        </w:rPr>
      </w:pPr>
      <w:r>
        <w:rPr>
          <w:rFonts w:hint="eastAsia" w:ascii="方正仿宋_GBK" w:hAnsi="方正仿宋_GBK" w:eastAsia="方正仿宋_GBK" w:cs="方正仿宋_GBK"/>
          <w:lang w:val="zh-CN"/>
        </w:rPr>
        <w:t>12.按照分级、属地原则，依法监督检查工矿商贸生产经营单位贯彻执行安全生产法律法规情况及其安全生产条件和有关设备（特种设备除外）、材料、劳动防护用品的安全生产管理工作。协助上级应急管理部门做好中央和省属在广安市辖区内工矿商贸企业安全生产监督管理工作。负责危险化学品安全监督管理综合工作和烟花爆竹安全生产监督管理工作。</w:t>
      </w:r>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zh-CN"/>
        </w:rPr>
      </w:pPr>
      <w:r>
        <w:rPr>
          <w:rFonts w:hint="eastAsia" w:ascii="方正仿宋_GBK" w:hAnsi="方正仿宋_GBK" w:eastAsia="方正仿宋_GBK" w:cs="方正仿宋_GBK"/>
          <w:lang w:val="zh-CN"/>
        </w:rPr>
        <w:t>13.承担煤矿、非煤矿山、危险化学品、非药品类易制毒化学品和烟花爆竹等生产经营单位安全生产准入管理责任。</w:t>
      </w:r>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zh-CN"/>
        </w:rPr>
      </w:pPr>
      <w:r>
        <w:rPr>
          <w:rFonts w:hint="eastAsia" w:ascii="方正仿宋_GBK" w:hAnsi="方正仿宋_GBK" w:eastAsia="方正仿宋_GBK" w:cs="方正仿宋_GBK"/>
          <w:lang w:val="zh-CN"/>
        </w:rPr>
        <w:t>14.拟订煤炭产业发展计划并组织实施，组织实施煤炭行业标准、准入条件，按权限审核、上报煤炭项目并负责建设管理。负责煤炭生产协调和监督管理，煤炭行业结构调整和产业升级，煤矿瓦斯等级鉴定、瓦斯治理和利用。推进煤炭体制改革。</w:t>
      </w:r>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zh-CN"/>
        </w:rPr>
      </w:pPr>
      <w:r>
        <w:rPr>
          <w:rFonts w:hint="eastAsia" w:ascii="方正仿宋_GBK" w:hAnsi="方正仿宋_GBK" w:eastAsia="方正仿宋_GBK" w:cs="方正仿宋_GBK"/>
          <w:lang w:val="zh-CN"/>
        </w:rPr>
        <w:t>15.承担煤矿安全生产监督管理责任，依法监督检查煤矿企业贯彻执行安全生产法律法规情况及其安全生产条件和有关设备（特种设备除外）、材料、劳动防护用品的安全生产管理工作。负责组织、指导煤矿企业开展安全专项整治、安全生产标准化建设、瓦斯和水害防治及相关安全科技发展工作。参与煤矿事故调查处理工作。</w:t>
      </w:r>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zh-CN"/>
        </w:rPr>
      </w:pPr>
      <w:r>
        <w:rPr>
          <w:rFonts w:hint="eastAsia" w:ascii="方正仿宋_GBK" w:hAnsi="方正仿宋_GBK" w:eastAsia="方正仿宋_GBK" w:cs="方正仿宋_GBK"/>
          <w:lang w:val="zh-CN"/>
        </w:rPr>
        <w:t>16.依法组织、指导生产安全事故调查处理，监督事故查处和责任追究落实情况。组织开展自然灾害类突发事件的调查评估工作。</w:t>
      </w:r>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zh-CN"/>
        </w:rPr>
      </w:pPr>
      <w:r>
        <w:rPr>
          <w:rFonts w:hint="eastAsia" w:ascii="方正仿宋_GBK" w:hAnsi="方正仿宋_GBK" w:eastAsia="方正仿宋_GBK" w:cs="方正仿宋_GBK"/>
          <w:lang w:val="zh-CN"/>
        </w:rPr>
        <w:t>17.开展应急管理和安全生产方面的交流与合作，组织参与安全生产类、自然灾害类等突发事件的跨区域救援工作。</w:t>
      </w:r>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zh-CN"/>
        </w:rPr>
      </w:pPr>
      <w:r>
        <w:rPr>
          <w:rFonts w:hint="eastAsia" w:ascii="方正仿宋_GBK" w:hAnsi="方正仿宋_GBK" w:eastAsia="方正仿宋_GBK" w:cs="方正仿宋_GBK"/>
          <w:lang w:val="zh-CN"/>
        </w:rPr>
        <w:t>18.制定应急物资储备和应急救援装备规划并组织实施，会同市粮食和物资储备局等部门建立健全应急物资信息平台和调拨制度，在救灾时统一调度。</w:t>
      </w:r>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zh-CN"/>
        </w:rPr>
      </w:pPr>
      <w:r>
        <w:rPr>
          <w:rFonts w:hint="eastAsia" w:ascii="方正仿宋_GBK" w:hAnsi="方正仿宋_GBK" w:eastAsia="方正仿宋_GBK" w:cs="方正仿宋_GBK"/>
          <w:lang w:val="zh-CN"/>
        </w:rPr>
        <w:t>19.负责应急管理、安全生产和统筹指导防灾减灾救灾宣传、教育、培训工作，组织和指导应急管理、安全生产的科学技术研究、推广应用和信息化建设工作。</w:t>
      </w:r>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zh-CN"/>
        </w:rPr>
      </w:pPr>
      <w:r>
        <w:rPr>
          <w:rFonts w:hint="eastAsia" w:ascii="方正仿宋_GBK" w:hAnsi="方正仿宋_GBK" w:eastAsia="方正仿宋_GBK" w:cs="方正仿宋_GBK"/>
          <w:lang w:val="zh-CN"/>
        </w:rPr>
        <w:t>20.承担市防汛抗旱、减灾、抗震救灾、森林防火指挥部（委员会）的日常工作。</w:t>
      </w:r>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zh-CN"/>
        </w:rPr>
      </w:pPr>
      <w:r>
        <w:rPr>
          <w:rFonts w:hint="eastAsia" w:ascii="方正仿宋_GBK" w:hAnsi="方正仿宋_GBK" w:eastAsia="方正仿宋_GBK" w:cs="方正仿宋_GBK"/>
          <w:lang w:val="zh-CN"/>
        </w:rPr>
        <w:t>21.负责应急管理、安全生产领域内的行政执法工作。</w:t>
      </w:r>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zh-CN"/>
        </w:rPr>
      </w:pPr>
      <w:r>
        <w:rPr>
          <w:rFonts w:hint="eastAsia" w:ascii="方正仿宋_GBK" w:hAnsi="方正仿宋_GBK" w:eastAsia="方正仿宋_GBK" w:cs="方正仿宋_GBK"/>
          <w:lang w:val="zh-CN"/>
        </w:rPr>
        <w:t>22.负责职责范围内的职业健康、生态环境保护、审批服务便民化工作。</w:t>
      </w:r>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zh-CN"/>
        </w:rPr>
      </w:pPr>
      <w:r>
        <w:rPr>
          <w:rFonts w:hint="eastAsia" w:ascii="方正仿宋_GBK" w:hAnsi="方正仿宋_GBK" w:eastAsia="方正仿宋_GBK" w:cs="方正仿宋_GBK"/>
          <w:lang w:val="zh-CN"/>
        </w:rPr>
        <w:t>23.完成市委和市政府交办的其他任务。</w:t>
      </w:r>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zh-CN"/>
        </w:rPr>
      </w:pPr>
      <w:r>
        <w:rPr>
          <w:rFonts w:hint="eastAsia" w:ascii="方正仿宋_GBK" w:hAnsi="方正仿宋_GBK" w:eastAsia="方正仿宋_GBK" w:cs="方正仿宋_GBK"/>
          <w:lang w:val="zh-CN"/>
        </w:rPr>
        <w:t>24.职能转变。加强、优化、统筹应急能力建设，构建统一领导、权责一致、权威高效的应急能力体系，推动形成统一指挥、专常兼备、反应灵敏、上下联动、平战结合的中国特色应急管理体制。一是坚持以防为主、防抗救结合，坚持常态减灾和非常态救灾相统一，努力实现从注重灾后救助向注重灾前预防转变，从应对单一灾种向综合减灾转变，从减少灾害损失向减轻灾害风险转变，提高全市应急管理水平和防灾减灾救灾能力，防范化解重特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重特大安全事故。推进煤炭体制改革。</w:t>
      </w:r>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zh-CN"/>
        </w:rPr>
      </w:pPr>
      <w:r>
        <w:rPr>
          <w:rFonts w:hint="eastAsia" w:ascii="方正仿宋_GBK" w:hAnsi="方正仿宋_GBK" w:eastAsia="方正仿宋_GBK" w:cs="方正仿宋_GBK"/>
          <w:lang w:val="zh-CN"/>
        </w:rPr>
        <w:t>2022年实有人数56人，行政人员27人，参照公务员法管理事业人员18人，事业编制人员11人。</w:t>
      </w:r>
    </w:p>
    <w:p>
      <w:pPr>
        <w:keepNext w:val="0"/>
        <w:keepLines w:val="0"/>
        <w:pageBreakBefore w:val="0"/>
        <w:widowControl w:val="0"/>
        <w:kinsoku/>
        <w:wordWrap/>
        <w:overflowPunct/>
        <w:topLinePunct w:val="0"/>
        <w:bidi w:val="0"/>
        <w:adjustRightInd w:val="0"/>
        <w:snapToGrid w:val="0"/>
        <w:spacing w:line="560" w:lineRule="exact"/>
        <w:ind w:firstLine="643" w:firstLineChars="200"/>
        <w:contextualSpacing/>
        <w:jc w:val="left"/>
        <w:outlineLvl w:val="2"/>
        <w:rPr>
          <w:rFonts w:hint="eastAsia" w:ascii="方正仿宋_GBK" w:hAnsi="方正仿宋_GBK" w:eastAsia="方正仿宋_GBK" w:cs="方正仿宋_GBK"/>
          <w:b/>
          <w:bCs/>
          <w:color w:val="000000"/>
          <w:kern w:val="0"/>
          <w:szCs w:val="32"/>
          <w:shd w:val="clear" w:color="auto" w:fill="FFFFFF"/>
          <w:lang w:val="zh-CN"/>
        </w:rPr>
      </w:pPr>
      <w:bookmarkStart w:id="39" w:name="_Toc29329"/>
      <w:r>
        <w:rPr>
          <w:rFonts w:hint="eastAsia" w:ascii="方正仿宋_GBK" w:hAnsi="方正仿宋_GBK" w:eastAsia="方正仿宋_GBK" w:cs="方正仿宋_GBK"/>
          <w:b/>
          <w:bCs/>
          <w:color w:val="000000"/>
          <w:kern w:val="0"/>
          <w:szCs w:val="32"/>
          <w:shd w:val="clear" w:color="auto" w:fill="FFFFFF"/>
          <w:lang w:val="zh-CN"/>
        </w:rPr>
        <w:t>（三）年度主要工作任务。</w:t>
      </w:r>
      <w:bookmarkEnd w:id="39"/>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zh-CN"/>
        </w:rPr>
      </w:pPr>
      <w:r>
        <w:rPr>
          <w:rFonts w:hint="eastAsia" w:ascii="方正仿宋_GBK" w:hAnsi="方正仿宋_GBK" w:eastAsia="方正仿宋_GBK" w:cs="方正仿宋_GBK"/>
          <w:lang w:val="zh-CN"/>
        </w:rPr>
        <w:t>2022年，在应急厅和市委、市政府的坚强领导下，全市应急系统深入学习贯彻习近平总书记关于安全生产、防灾减灾和应急救援等系列重要论述、重要指示批示精神，认真落实市委、市政府和应急厅的决策部署，牢固树立人民至上、生命至上理念，着力防范化解重大安全风险，有效应对处置各类灾害事故，全市生产安全事故起数和死亡人数同比下降39.13%、30.43%，未发生重大及以上生产安全事故，为推动广安高质量发展营造了安全稳定社会环境。</w:t>
      </w:r>
    </w:p>
    <w:p>
      <w:pPr>
        <w:keepNext w:val="0"/>
        <w:keepLines w:val="0"/>
        <w:pageBreakBefore w:val="0"/>
        <w:widowControl w:val="0"/>
        <w:kinsoku/>
        <w:wordWrap/>
        <w:overflowPunct/>
        <w:topLinePunct w:val="0"/>
        <w:bidi w:val="0"/>
        <w:adjustRightInd w:val="0"/>
        <w:snapToGrid w:val="0"/>
        <w:spacing w:line="560" w:lineRule="exact"/>
        <w:ind w:firstLine="643" w:firstLineChars="200"/>
        <w:contextualSpacing/>
        <w:jc w:val="left"/>
        <w:outlineLvl w:val="2"/>
        <w:rPr>
          <w:rFonts w:hint="eastAsia" w:ascii="方正仿宋_GBK" w:hAnsi="方正仿宋_GBK" w:eastAsia="方正仿宋_GBK" w:cs="方正仿宋_GBK"/>
          <w:b/>
          <w:bCs/>
          <w:color w:val="000000"/>
          <w:kern w:val="0"/>
          <w:szCs w:val="32"/>
          <w:shd w:val="clear" w:color="auto" w:fill="FFFFFF"/>
          <w:lang w:val="zh-CN"/>
        </w:rPr>
      </w:pPr>
      <w:bookmarkStart w:id="40" w:name="_Toc6209"/>
      <w:r>
        <w:rPr>
          <w:rFonts w:hint="eastAsia" w:ascii="方正仿宋_GBK" w:hAnsi="方正仿宋_GBK" w:eastAsia="方正仿宋_GBK" w:cs="方正仿宋_GBK"/>
          <w:b/>
          <w:bCs/>
          <w:color w:val="000000"/>
          <w:kern w:val="0"/>
          <w:szCs w:val="32"/>
          <w:shd w:val="clear" w:color="auto" w:fill="FFFFFF"/>
          <w:lang w:val="zh-CN"/>
        </w:rPr>
        <w:t>（四）部门整体支出绩效目标。</w:t>
      </w:r>
      <w:bookmarkEnd w:id="40"/>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zh-CN"/>
        </w:rPr>
      </w:pPr>
      <w:r>
        <w:rPr>
          <w:rFonts w:hint="eastAsia" w:ascii="方正仿宋_GBK" w:hAnsi="方正仿宋_GBK" w:eastAsia="方正仿宋_GBK" w:cs="方正仿宋_GBK"/>
          <w:lang w:val="zh-CN"/>
        </w:rPr>
        <w:t>以习近平总书记在中央政治局第十九次集体学习上重要讲话为指导，牢固树立“大安全、大应急、全灾种”理念，积极推进应急管理体系和能力现代化，以“应急管理能力建设年”为主线，以“2345”重点工作（打造“两大平台”，即应急指挥平台、预警监测平台；强化“三大抓手”，即党政领导责任、部门监管责任、企业主体责任；抓实“四大举措”，即提升基层治理能力、加强应急预案演练、健全协作联动机制、强化应急管理支撑；聚焦“五大重点”，即煤矿、化工危险化学品、水陆交通、建筑施工、消防等五大重点领域）为抓手，全力防范化解重大安全风险，切实加强监测预警能力、监管执法能力、辅助指挥决策能力、救援实战能力和社会动员能力等“五大能力”建设，大力减少一般事故，全力遏制较大事故，坚决杜绝重特大事故，为推进高质量发展、建设美丽繁荣和谐广安营造稳定的安全环境，增强全民应急意识、提升防灾减灾能力，保障人民生命财产安全。</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outlineLvl w:val="1"/>
        <w:rPr>
          <w:rFonts w:hint="eastAsia" w:ascii="方正黑体_GBK" w:hAnsi="方正黑体_GBK" w:eastAsia="方正黑体_GBK" w:cs="方正黑体_GBK"/>
          <w:color w:val="000000"/>
          <w:kern w:val="0"/>
          <w:szCs w:val="32"/>
          <w:shd w:val="clear" w:color="auto" w:fill="FFFFFF"/>
        </w:rPr>
      </w:pPr>
      <w:bookmarkStart w:id="41" w:name="_Toc3302"/>
      <w:r>
        <w:rPr>
          <w:rFonts w:hint="eastAsia" w:ascii="方正黑体_GBK" w:hAnsi="方正黑体_GBK" w:eastAsia="方正黑体_GBK" w:cs="方正黑体_GBK"/>
          <w:color w:val="000000"/>
          <w:kern w:val="0"/>
          <w:szCs w:val="32"/>
          <w:shd w:val="clear" w:color="auto" w:fill="FFFFFF"/>
        </w:rPr>
        <w:t>二、部门资金收支情况</w:t>
      </w:r>
      <w:bookmarkEnd w:id="41"/>
    </w:p>
    <w:p>
      <w:pPr>
        <w:keepNext w:val="0"/>
        <w:keepLines w:val="0"/>
        <w:pageBreakBefore w:val="0"/>
        <w:widowControl w:val="0"/>
        <w:kinsoku/>
        <w:wordWrap/>
        <w:overflowPunct/>
        <w:topLinePunct w:val="0"/>
        <w:bidi w:val="0"/>
        <w:adjustRightInd w:val="0"/>
        <w:snapToGrid w:val="0"/>
        <w:spacing w:line="560" w:lineRule="exact"/>
        <w:ind w:firstLine="643" w:firstLineChars="200"/>
        <w:contextualSpacing/>
        <w:jc w:val="left"/>
        <w:outlineLvl w:val="2"/>
        <w:rPr>
          <w:rFonts w:hint="eastAsia" w:ascii="方正仿宋_GBK" w:hAnsi="方正仿宋_GBK" w:eastAsia="方正仿宋_GBK" w:cs="方正仿宋_GBK"/>
          <w:b/>
          <w:bCs/>
          <w:color w:val="000000"/>
          <w:kern w:val="0"/>
          <w:szCs w:val="32"/>
          <w:shd w:val="clear" w:color="auto" w:fill="FFFFFF"/>
          <w:lang w:val="zh-CN"/>
        </w:rPr>
      </w:pPr>
      <w:bookmarkStart w:id="42" w:name="_Toc19973"/>
      <w:r>
        <w:rPr>
          <w:rFonts w:hint="eastAsia" w:ascii="方正仿宋_GBK" w:hAnsi="方正仿宋_GBK" w:eastAsia="方正仿宋_GBK" w:cs="方正仿宋_GBK"/>
          <w:b/>
          <w:bCs/>
          <w:color w:val="000000"/>
          <w:kern w:val="0"/>
          <w:szCs w:val="32"/>
          <w:shd w:val="clear" w:color="auto" w:fill="FFFFFF"/>
          <w:lang w:val="zh-CN"/>
        </w:rPr>
        <w:t>（一）部门总体收支情况。</w:t>
      </w:r>
      <w:bookmarkEnd w:id="42"/>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rPr>
      </w:pPr>
      <w:r>
        <w:rPr>
          <w:rFonts w:hint="eastAsia" w:ascii="方正仿宋_GBK" w:hAnsi="方正仿宋_GBK" w:eastAsia="方正仿宋_GBK" w:cs="方正仿宋_GBK"/>
          <w:color w:val="000000"/>
          <w:kern w:val="0"/>
          <w:szCs w:val="32"/>
          <w:shd w:val="clear" w:color="auto" w:fill="FFFFFF"/>
        </w:rPr>
        <w:t>1.部门总体收入情况</w:t>
      </w:r>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2022年部门总体收入3877.54万元。与2021年相比，部门总体收入增加2250.03万元，上升138.25%。</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rPr>
      </w:pPr>
      <w:r>
        <w:rPr>
          <w:rFonts w:hint="eastAsia" w:ascii="方正仿宋_GBK" w:hAnsi="方正仿宋_GBK" w:eastAsia="方正仿宋_GBK" w:cs="方正仿宋_GBK"/>
          <w:color w:val="000000"/>
          <w:kern w:val="0"/>
          <w:szCs w:val="32"/>
          <w:shd w:val="clear" w:color="auto" w:fill="FFFFFF"/>
        </w:rPr>
        <w:t>2.部门总体支出情况</w:t>
      </w:r>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2022年部门总体支出3877.54万元。与2021年相比，部门总体支出增加1854.84万元，上升91.70%。</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rPr>
      </w:pPr>
      <w:r>
        <w:rPr>
          <w:rFonts w:hint="eastAsia" w:ascii="方正仿宋_GBK" w:hAnsi="方正仿宋_GBK" w:eastAsia="方正仿宋_GBK" w:cs="方正仿宋_GBK"/>
          <w:color w:val="000000"/>
          <w:kern w:val="0"/>
          <w:szCs w:val="32"/>
          <w:shd w:val="clear" w:color="auto" w:fill="FFFFFF"/>
        </w:rPr>
        <w:t>3.部门总体结转结余情况</w:t>
      </w:r>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2022年部门总体无结转结余。</w:t>
      </w:r>
    </w:p>
    <w:p>
      <w:pPr>
        <w:keepNext w:val="0"/>
        <w:keepLines w:val="0"/>
        <w:pageBreakBefore w:val="0"/>
        <w:widowControl w:val="0"/>
        <w:kinsoku/>
        <w:wordWrap/>
        <w:overflowPunct/>
        <w:topLinePunct w:val="0"/>
        <w:bidi w:val="0"/>
        <w:adjustRightInd w:val="0"/>
        <w:snapToGrid w:val="0"/>
        <w:spacing w:line="560" w:lineRule="exact"/>
        <w:ind w:firstLine="643" w:firstLineChars="200"/>
        <w:contextualSpacing/>
        <w:jc w:val="left"/>
        <w:outlineLvl w:val="2"/>
        <w:rPr>
          <w:rFonts w:hint="eastAsia" w:ascii="方正仿宋_GBK" w:hAnsi="方正仿宋_GBK" w:eastAsia="方正仿宋_GBK" w:cs="方正仿宋_GBK"/>
          <w:b/>
          <w:bCs/>
          <w:color w:val="000000"/>
          <w:kern w:val="0"/>
          <w:szCs w:val="32"/>
          <w:shd w:val="clear" w:color="auto" w:fill="FFFFFF"/>
          <w:lang w:val="zh-CN"/>
        </w:rPr>
      </w:pPr>
      <w:bookmarkStart w:id="43" w:name="_Toc31985"/>
      <w:r>
        <w:rPr>
          <w:rFonts w:hint="eastAsia" w:ascii="方正仿宋_GBK" w:hAnsi="方正仿宋_GBK" w:eastAsia="方正仿宋_GBK" w:cs="方正仿宋_GBK"/>
          <w:b/>
          <w:bCs/>
          <w:color w:val="000000"/>
          <w:kern w:val="0"/>
          <w:szCs w:val="32"/>
          <w:shd w:val="clear" w:color="auto" w:fill="FFFFFF"/>
          <w:lang w:val="zh-CN"/>
        </w:rPr>
        <w:t>（二）部门财政拨款收支情况。</w:t>
      </w:r>
      <w:bookmarkEnd w:id="43"/>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rPr>
      </w:pPr>
      <w:r>
        <w:rPr>
          <w:rFonts w:hint="eastAsia" w:ascii="方正仿宋_GBK" w:hAnsi="方正仿宋_GBK" w:eastAsia="方正仿宋_GBK" w:cs="方正仿宋_GBK"/>
          <w:color w:val="000000"/>
          <w:kern w:val="0"/>
          <w:szCs w:val="32"/>
          <w:shd w:val="clear" w:color="auto" w:fill="FFFFFF"/>
        </w:rPr>
        <w:t>1.部门财政拨款收入情况</w:t>
      </w:r>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2022年部门财政拨款收入3877.54万元。与2021年相比，部门财政拨款收入增加2250.03万元，上升138.25%。</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rPr>
      </w:pPr>
      <w:r>
        <w:rPr>
          <w:rFonts w:hint="eastAsia" w:ascii="方正仿宋_GBK" w:hAnsi="方正仿宋_GBK" w:eastAsia="方正仿宋_GBK" w:cs="方正仿宋_GBK"/>
          <w:color w:val="000000"/>
          <w:kern w:val="0"/>
          <w:szCs w:val="32"/>
          <w:shd w:val="clear" w:color="auto" w:fill="FFFFFF"/>
        </w:rPr>
        <w:t>2.部门财政拨款支出情况</w:t>
      </w:r>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2022年部门财政拨款支出3877.54万元。与2021年相比，部门财政拨款支出增加1854.84万元，上升91.70%。</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rPr>
      </w:pPr>
      <w:r>
        <w:rPr>
          <w:rFonts w:hint="eastAsia" w:ascii="方正仿宋_GBK" w:hAnsi="方正仿宋_GBK" w:eastAsia="方正仿宋_GBK" w:cs="方正仿宋_GBK"/>
          <w:color w:val="000000"/>
          <w:kern w:val="0"/>
          <w:szCs w:val="32"/>
          <w:shd w:val="clear" w:color="auto" w:fill="FFFFFF"/>
        </w:rPr>
        <w:t>3.部门财政拨款结转结余情况</w:t>
      </w:r>
    </w:p>
    <w:p>
      <w:pPr>
        <w:pStyle w:val="13"/>
        <w:keepNext w:val="0"/>
        <w:keepLines w:val="0"/>
        <w:pageBreakBefore w:val="0"/>
        <w:widowControl w:val="0"/>
        <w:kinsoku/>
        <w:wordWrap/>
        <w:overflowPunct/>
        <w:topLinePunct w:val="0"/>
        <w:bidi w:val="0"/>
        <w:ind w:left="0" w:leftChars="0" w:firstLine="640"/>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2022年部门</w:t>
      </w:r>
      <w:r>
        <w:rPr>
          <w:rFonts w:hint="eastAsia" w:ascii="方正仿宋_GBK" w:hAnsi="方正仿宋_GBK" w:eastAsia="方正仿宋_GBK" w:cs="方正仿宋_GBK"/>
          <w:color w:val="000000"/>
          <w:kern w:val="0"/>
          <w:szCs w:val="32"/>
          <w:shd w:val="clear" w:color="auto" w:fill="FFFFFF"/>
        </w:rPr>
        <w:t>财政拨款</w:t>
      </w:r>
      <w:r>
        <w:rPr>
          <w:rFonts w:hint="eastAsia" w:ascii="方正仿宋_GBK" w:hAnsi="方正仿宋_GBK" w:eastAsia="方正仿宋_GBK" w:cs="方正仿宋_GBK"/>
          <w:lang w:val="en-US" w:eastAsia="zh-CN"/>
        </w:rPr>
        <w:t>无结转结余。</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outlineLvl w:val="1"/>
        <w:rPr>
          <w:rFonts w:hint="eastAsia" w:ascii="方正黑体_GBK" w:hAnsi="方正黑体_GBK" w:eastAsia="方正黑体_GBK" w:cs="方正黑体_GBK"/>
          <w:color w:val="000000" w:themeColor="text1"/>
          <w:kern w:val="0"/>
          <w:szCs w:val="32"/>
          <w:shd w:val="clear" w:color="auto" w:fill="FFFFFF"/>
          <w14:textFill>
            <w14:solidFill>
              <w14:schemeClr w14:val="tx1"/>
            </w14:solidFill>
          </w14:textFill>
        </w:rPr>
      </w:pPr>
      <w:bookmarkStart w:id="44" w:name="_Toc27394"/>
      <w:r>
        <w:rPr>
          <w:rFonts w:hint="eastAsia" w:ascii="方正黑体_GBK" w:hAnsi="方正黑体_GBK" w:eastAsia="方正黑体_GBK" w:cs="方正黑体_GBK"/>
          <w:color w:val="000000"/>
          <w:kern w:val="0"/>
          <w:szCs w:val="32"/>
          <w:shd w:val="clear" w:color="auto" w:fill="FFFFFF"/>
        </w:rPr>
        <w:t>三、部门整体绩效分析</w:t>
      </w:r>
      <w:bookmarkEnd w:id="44"/>
    </w:p>
    <w:p>
      <w:pPr>
        <w:keepNext w:val="0"/>
        <w:keepLines w:val="0"/>
        <w:pageBreakBefore w:val="0"/>
        <w:widowControl w:val="0"/>
        <w:kinsoku/>
        <w:wordWrap/>
        <w:overflowPunct/>
        <w:topLinePunct w:val="0"/>
        <w:bidi w:val="0"/>
        <w:adjustRightInd w:val="0"/>
        <w:snapToGrid w:val="0"/>
        <w:spacing w:line="560" w:lineRule="exact"/>
        <w:ind w:firstLine="643" w:firstLineChars="200"/>
        <w:contextualSpacing/>
        <w:jc w:val="left"/>
        <w:outlineLvl w:val="2"/>
        <w:rPr>
          <w:rFonts w:hint="eastAsia" w:ascii="方正仿宋_GBK" w:hAnsi="方正仿宋_GBK" w:eastAsia="方正仿宋_GBK" w:cs="方正仿宋_GBK"/>
          <w:color w:val="000000"/>
          <w:kern w:val="0"/>
          <w:szCs w:val="32"/>
          <w:shd w:val="clear" w:color="auto" w:fill="FFFFFF"/>
          <w:lang w:val="zh-CN"/>
        </w:rPr>
      </w:pPr>
      <w:bookmarkStart w:id="45" w:name="_Toc31550"/>
      <w:r>
        <w:rPr>
          <w:rFonts w:hint="eastAsia" w:ascii="方正仿宋_GBK" w:hAnsi="方正仿宋_GBK" w:eastAsia="方正仿宋_GBK" w:cs="方正仿宋_GBK"/>
          <w:b/>
          <w:bCs/>
          <w:color w:val="000000"/>
          <w:kern w:val="0"/>
          <w:szCs w:val="32"/>
          <w:shd w:val="clear" w:color="auto" w:fill="FFFFFF"/>
          <w:lang w:val="zh-CN"/>
        </w:rPr>
        <w:t>（一）部门预算项目绩效分析。</w:t>
      </w:r>
      <w:bookmarkEnd w:id="45"/>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rPr>
      </w:pPr>
      <w:r>
        <w:rPr>
          <w:rFonts w:hint="eastAsia" w:ascii="方正仿宋_GBK" w:hAnsi="方正仿宋_GBK" w:eastAsia="方正仿宋_GBK" w:cs="方正仿宋_GBK"/>
          <w:color w:val="000000"/>
          <w:kern w:val="0"/>
          <w:szCs w:val="32"/>
          <w:shd w:val="clear" w:color="auto" w:fill="FFFFFF"/>
        </w:rPr>
        <w:t>1.人员类项目绩效分析</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rPr>
      </w:pPr>
      <w:r>
        <w:rPr>
          <w:rFonts w:hint="eastAsia" w:ascii="方正仿宋_GBK" w:hAnsi="方正仿宋_GBK" w:eastAsia="方正仿宋_GBK" w:cs="方正仿宋_GBK"/>
          <w:color w:val="000000"/>
          <w:kern w:val="0"/>
          <w:szCs w:val="32"/>
          <w:shd w:val="clear" w:color="auto" w:fill="FFFFFF"/>
          <w:lang w:val="zh-CN"/>
        </w:rPr>
        <w:t>人员类项目包含人员工资性支出、保险类支出、对个人和家庭的补助等。该项目严格执行相关政策，保障人员工资、保险、其他补助等按时、足额发放，不存在违规使用经费的情况，保障了广大职工的基本利益。</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rPr>
      </w:pPr>
      <w:r>
        <w:rPr>
          <w:rFonts w:hint="eastAsia" w:ascii="方正仿宋_GBK" w:hAnsi="方正仿宋_GBK" w:eastAsia="方正仿宋_GBK" w:cs="方正仿宋_GBK"/>
          <w:color w:val="000000"/>
          <w:kern w:val="0"/>
          <w:szCs w:val="32"/>
          <w:shd w:val="clear" w:color="auto" w:fill="FFFFFF"/>
        </w:rPr>
        <w:t>2.运转类项目绩效分析</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eastAsia="zh-CN"/>
        </w:rPr>
      </w:pPr>
      <w:r>
        <w:rPr>
          <w:rFonts w:hint="eastAsia" w:ascii="方正仿宋_GBK" w:hAnsi="方正仿宋_GBK" w:eastAsia="方正仿宋_GBK" w:cs="方正仿宋_GBK"/>
          <w:color w:val="000000"/>
          <w:kern w:val="0"/>
          <w:szCs w:val="32"/>
          <w:shd w:val="clear" w:color="auto" w:fill="FFFFFF"/>
          <w:lang w:eastAsia="zh-CN"/>
        </w:rPr>
        <w:t>运转类项目包含定额公用经费、工会福利费、公务用车运行维护费、其他交通费用等。该项目预算编制准确率高，基本上无结余，按照规定严格使用“三公”经费等费用，不滥用，不扩大使用范围，保障了部门日常运转。</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eastAsia="zh-CN"/>
        </w:rPr>
      </w:pPr>
      <w:r>
        <w:rPr>
          <w:rFonts w:hint="eastAsia" w:ascii="方正仿宋_GBK" w:hAnsi="方正仿宋_GBK" w:eastAsia="方正仿宋_GBK" w:cs="方正仿宋_GBK"/>
          <w:color w:val="000000"/>
          <w:kern w:val="0"/>
          <w:szCs w:val="32"/>
          <w:shd w:val="clear" w:color="auto" w:fill="FFFFFF"/>
        </w:rPr>
        <w:t>3.特定目标类项目绩效分析</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eastAsia="zh-CN"/>
        </w:rPr>
      </w:pPr>
      <w:r>
        <w:rPr>
          <w:rFonts w:hint="eastAsia" w:ascii="方正仿宋_GBK" w:hAnsi="方正仿宋_GBK" w:eastAsia="方正仿宋_GBK" w:cs="方正仿宋_GBK"/>
          <w:color w:val="000000"/>
          <w:kern w:val="0"/>
          <w:szCs w:val="32"/>
          <w:shd w:val="clear" w:color="auto" w:fill="FFFFFF"/>
          <w:lang w:eastAsia="zh-CN"/>
        </w:rPr>
        <w:t>（</w:t>
      </w:r>
      <w:r>
        <w:rPr>
          <w:rFonts w:hint="eastAsia" w:ascii="方正仿宋_GBK" w:hAnsi="方正仿宋_GBK" w:eastAsia="方正仿宋_GBK" w:cs="方正仿宋_GBK"/>
          <w:color w:val="000000"/>
          <w:kern w:val="0"/>
          <w:szCs w:val="32"/>
          <w:shd w:val="clear" w:color="auto" w:fill="FFFFFF"/>
          <w:lang w:val="en-US" w:eastAsia="zh-CN"/>
        </w:rPr>
        <w:t>1</w:t>
      </w:r>
      <w:r>
        <w:rPr>
          <w:rFonts w:hint="eastAsia" w:ascii="方正仿宋_GBK" w:hAnsi="方正仿宋_GBK" w:eastAsia="方正仿宋_GBK" w:cs="方正仿宋_GBK"/>
          <w:color w:val="000000"/>
          <w:kern w:val="0"/>
          <w:szCs w:val="32"/>
          <w:shd w:val="clear" w:color="auto" w:fill="FFFFFF"/>
          <w:lang w:eastAsia="zh-CN"/>
        </w:rPr>
        <w:t>）</w:t>
      </w:r>
      <w:r>
        <w:rPr>
          <w:rFonts w:hint="eastAsia" w:ascii="方正仿宋_GBK" w:hAnsi="方正仿宋_GBK" w:eastAsia="方正仿宋_GBK" w:cs="方正仿宋_GBK"/>
          <w:color w:val="000000"/>
          <w:kern w:val="0"/>
          <w:szCs w:val="32"/>
          <w:shd w:val="clear" w:color="auto" w:fill="FFFFFF"/>
        </w:rPr>
        <w:t>51160021T000000065971-安全生产综合监管平台运行维护专项经费</w:t>
      </w:r>
      <w:r>
        <w:rPr>
          <w:rFonts w:hint="eastAsia" w:ascii="方正仿宋_GBK" w:hAnsi="方正仿宋_GBK" w:eastAsia="方正仿宋_GBK" w:cs="方正仿宋_GBK"/>
          <w:color w:val="000000"/>
          <w:kern w:val="0"/>
          <w:szCs w:val="32"/>
          <w:shd w:val="clear" w:color="auto" w:fill="FFFFFF"/>
          <w:lang w:eastAsia="zh-CN"/>
        </w:rPr>
        <w:t>。监管平台实现24小时在岗值班值守，同时对全市14户煤矿安全监控系统和国家矿山安全预警系统运行情况进行实时监控、及时响应、精准处置。一年来,共处置瓦斯、一氧化碳、主要通风机停运等超限报警10次，同比下降78.72%。项目全年预算数</w:t>
      </w:r>
      <w:r>
        <w:rPr>
          <w:rFonts w:hint="eastAsia" w:ascii="方正仿宋_GBK" w:hAnsi="方正仿宋_GBK" w:eastAsia="方正仿宋_GBK" w:cs="方正仿宋_GBK"/>
          <w:color w:val="000000"/>
          <w:kern w:val="0"/>
          <w:szCs w:val="32"/>
          <w:shd w:val="clear" w:color="auto" w:fill="FFFFFF"/>
          <w:lang w:val="en-US" w:eastAsia="zh-CN"/>
        </w:rPr>
        <w:t>15</w:t>
      </w:r>
      <w:r>
        <w:rPr>
          <w:rFonts w:hint="eastAsia" w:ascii="方正仿宋_GBK" w:hAnsi="方正仿宋_GBK" w:eastAsia="方正仿宋_GBK" w:cs="方正仿宋_GBK"/>
          <w:color w:val="000000"/>
          <w:kern w:val="0"/>
          <w:szCs w:val="32"/>
          <w:shd w:val="clear" w:color="auto" w:fill="FFFFFF"/>
          <w:lang w:eastAsia="zh-CN"/>
        </w:rPr>
        <w:t>万元，执行数为</w:t>
      </w:r>
      <w:r>
        <w:rPr>
          <w:rFonts w:hint="eastAsia" w:ascii="方正仿宋_GBK" w:hAnsi="方正仿宋_GBK" w:eastAsia="方正仿宋_GBK" w:cs="方正仿宋_GBK"/>
          <w:color w:val="000000"/>
          <w:kern w:val="0"/>
          <w:szCs w:val="32"/>
          <w:shd w:val="clear" w:color="auto" w:fill="FFFFFF"/>
          <w:lang w:val="en-US" w:eastAsia="zh-CN"/>
        </w:rPr>
        <w:t>15</w:t>
      </w:r>
      <w:r>
        <w:rPr>
          <w:rFonts w:hint="eastAsia" w:ascii="方正仿宋_GBK" w:hAnsi="方正仿宋_GBK" w:eastAsia="方正仿宋_GBK" w:cs="方正仿宋_GBK"/>
          <w:color w:val="000000"/>
          <w:kern w:val="0"/>
          <w:szCs w:val="32"/>
          <w:shd w:val="clear" w:color="auto" w:fill="FFFFFF"/>
          <w:lang w:eastAsia="zh-CN"/>
        </w:rPr>
        <w:t>万元，完成预算的</w:t>
      </w:r>
      <w:r>
        <w:rPr>
          <w:rFonts w:hint="eastAsia" w:ascii="方正仿宋_GBK" w:hAnsi="方正仿宋_GBK" w:eastAsia="方正仿宋_GBK" w:cs="方正仿宋_GBK"/>
          <w:color w:val="000000"/>
          <w:kern w:val="0"/>
          <w:szCs w:val="32"/>
          <w:shd w:val="clear" w:color="auto" w:fill="FFFFFF"/>
          <w:lang w:val="en-US" w:eastAsia="zh-CN"/>
        </w:rPr>
        <w:t>100</w:t>
      </w:r>
      <w:r>
        <w:rPr>
          <w:rFonts w:hint="eastAsia" w:ascii="方正仿宋_GBK" w:hAnsi="方正仿宋_GBK" w:eastAsia="方正仿宋_GBK" w:cs="方正仿宋_GBK"/>
          <w:color w:val="000000"/>
          <w:kern w:val="0"/>
          <w:szCs w:val="32"/>
          <w:shd w:val="clear" w:color="auto" w:fill="FFFFFF"/>
          <w:lang w:eastAsia="zh-CN"/>
        </w:rPr>
        <w:t>%，该项目进一步强化了全市矿山安全监管手段，提升了安全生产综合监管能力，有力地保障了矿山企业生命财产安全。</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eastAsia="zh-CN"/>
        </w:rPr>
      </w:pPr>
      <w:r>
        <w:rPr>
          <w:rFonts w:hint="eastAsia" w:ascii="方正仿宋_GBK" w:hAnsi="方正仿宋_GBK" w:eastAsia="方正仿宋_GBK" w:cs="方正仿宋_GBK"/>
          <w:color w:val="000000"/>
          <w:kern w:val="0"/>
          <w:szCs w:val="32"/>
          <w:shd w:val="clear" w:color="auto" w:fill="FFFFFF"/>
          <w:lang w:eastAsia="zh-CN"/>
        </w:rPr>
        <w:t>（</w:t>
      </w:r>
      <w:r>
        <w:rPr>
          <w:rFonts w:hint="eastAsia" w:ascii="方正仿宋_GBK" w:hAnsi="方正仿宋_GBK" w:eastAsia="方正仿宋_GBK" w:cs="方正仿宋_GBK"/>
          <w:color w:val="000000"/>
          <w:kern w:val="0"/>
          <w:szCs w:val="32"/>
          <w:shd w:val="clear" w:color="auto" w:fill="FFFFFF"/>
          <w:lang w:val="en-US" w:eastAsia="zh-CN"/>
        </w:rPr>
        <w:t>2</w:t>
      </w:r>
      <w:r>
        <w:rPr>
          <w:rFonts w:hint="eastAsia" w:ascii="方正仿宋_GBK" w:hAnsi="方正仿宋_GBK" w:eastAsia="方正仿宋_GBK" w:cs="方正仿宋_GBK"/>
          <w:color w:val="000000"/>
          <w:kern w:val="0"/>
          <w:szCs w:val="32"/>
          <w:shd w:val="clear" w:color="auto" w:fill="FFFFFF"/>
          <w:lang w:eastAsia="zh-CN"/>
        </w:rPr>
        <w:t>）51160022T000000425396-风险普查。</w:t>
      </w:r>
      <w:r>
        <w:rPr>
          <w:rFonts w:hint="eastAsia" w:ascii="方正仿宋_GBK" w:hAnsi="方正仿宋_GBK" w:eastAsia="方正仿宋_GBK" w:cs="方正仿宋_GBK"/>
          <w:color w:val="000000"/>
          <w:kern w:val="0"/>
          <w:szCs w:val="32"/>
          <w:shd w:val="clear" w:color="auto" w:fill="FFFFFF"/>
          <w:lang w:val="en-US" w:eastAsia="zh-CN"/>
        </w:rPr>
        <w:t>2022年开展全市自然灾害综合风险普查，全面获取主要灾害致灾信息、承灾体信息、历史灾害信息，摸清灾害风险隐患底数，查明重点区域抗灾能力，进行主要灾害风险评估和综合风险评估，编制各级自然灾害系列风险图；修订主要灾种区划，编制综合风险区划和灾害综合防治区划。</w:t>
      </w:r>
      <w:r>
        <w:rPr>
          <w:rFonts w:hint="eastAsia" w:ascii="方正仿宋_GBK" w:hAnsi="方正仿宋_GBK" w:eastAsia="方正仿宋_GBK" w:cs="方正仿宋_GBK"/>
          <w:color w:val="000000"/>
          <w:kern w:val="0"/>
          <w:szCs w:val="32"/>
          <w:shd w:val="clear" w:color="auto" w:fill="FFFFFF"/>
          <w:lang w:eastAsia="zh-CN"/>
        </w:rPr>
        <w:t>项目全年预算数</w:t>
      </w:r>
      <w:r>
        <w:rPr>
          <w:rFonts w:hint="eastAsia" w:ascii="方正仿宋_GBK" w:hAnsi="方正仿宋_GBK" w:eastAsia="方正仿宋_GBK" w:cs="方正仿宋_GBK"/>
          <w:color w:val="000000"/>
          <w:kern w:val="0"/>
          <w:szCs w:val="32"/>
          <w:shd w:val="clear" w:color="auto" w:fill="FFFFFF"/>
          <w:lang w:val="en-US" w:eastAsia="zh-CN"/>
        </w:rPr>
        <w:t>35.23</w:t>
      </w:r>
      <w:r>
        <w:rPr>
          <w:rFonts w:hint="eastAsia" w:ascii="方正仿宋_GBK" w:hAnsi="方正仿宋_GBK" w:eastAsia="方正仿宋_GBK" w:cs="方正仿宋_GBK"/>
          <w:color w:val="000000"/>
          <w:kern w:val="0"/>
          <w:szCs w:val="32"/>
          <w:shd w:val="clear" w:color="auto" w:fill="FFFFFF"/>
          <w:lang w:eastAsia="zh-CN"/>
        </w:rPr>
        <w:t>万元，执行数为</w:t>
      </w:r>
      <w:r>
        <w:rPr>
          <w:rFonts w:hint="eastAsia" w:ascii="方正仿宋_GBK" w:hAnsi="方正仿宋_GBK" w:eastAsia="方正仿宋_GBK" w:cs="方正仿宋_GBK"/>
          <w:color w:val="000000"/>
          <w:kern w:val="0"/>
          <w:szCs w:val="32"/>
          <w:shd w:val="clear" w:color="auto" w:fill="FFFFFF"/>
          <w:lang w:val="en-US" w:eastAsia="zh-CN"/>
        </w:rPr>
        <w:t>4.89</w:t>
      </w:r>
      <w:r>
        <w:rPr>
          <w:rFonts w:hint="eastAsia" w:ascii="方正仿宋_GBK" w:hAnsi="方正仿宋_GBK" w:eastAsia="方正仿宋_GBK" w:cs="方正仿宋_GBK"/>
          <w:color w:val="000000"/>
          <w:kern w:val="0"/>
          <w:szCs w:val="32"/>
          <w:shd w:val="clear" w:color="auto" w:fill="FFFFFF"/>
          <w:lang w:eastAsia="zh-CN"/>
        </w:rPr>
        <w:t>万元，完成预算的</w:t>
      </w:r>
      <w:r>
        <w:rPr>
          <w:rFonts w:hint="eastAsia" w:ascii="方正仿宋_GBK" w:hAnsi="方正仿宋_GBK" w:eastAsia="方正仿宋_GBK" w:cs="方正仿宋_GBK"/>
          <w:color w:val="000000"/>
          <w:kern w:val="0"/>
          <w:szCs w:val="32"/>
          <w:shd w:val="clear" w:color="auto" w:fill="FFFFFF"/>
          <w:lang w:val="en-US" w:eastAsia="zh-CN"/>
        </w:rPr>
        <w:t>13.87</w:t>
      </w:r>
      <w:r>
        <w:rPr>
          <w:rFonts w:hint="eastAsia" w:ascii="方正仿宋_GBK" w:hAnsi="方正仿宋_GBK" w:eastAsia="方正仿宋_GBK" w:cs="方正仿宋_GBK"/>
          <w:color w:val="000000"/>
          <w:kern w:val="0"/>
          <w:szCs w:val="32"/>
          <w:shd w:val="clear" w:color="auto" w:fill="FFFFFF"/>
          <w:lang w:eastAsia="zh-CN"/>
        </w:rPr>
        <w:t>%，该项目为两年实施期按合同约定，剩余部分资金于</w:t>
      </w:r>
      <w:r>
        <w:rPr>
          <w:rFonts w:hint="eastAsia" w:ascii="方正仿宋_GBK" w:hAnsi="方正仿宋_GBK" w:eastAsia="方正仿宋_GBK" w:cs="方正仿宋_GBK"/>
          <w:color w:val="000000"/>
          <w:kern w:val="0"/>
          <w:szCs w:val="32"/>
          <w:shd w:val="clear" w:color="auto" w:fill="FFFFFF"/>
          <w:lang w:val="en-US" w:eastAsia="zh-CN"/>
        </w:rPr>
        <w:t>2023年度支付</w:t>
      </w:r>
      <w:r>
        <w:rPr>
          <w:rFonts w:hint="eastAsia" w:ascii="方正仿宋_GBK" w:hAnsi="方正仿宋_GBK" w:eastAsia="方正仿宋_GBK" w:cs="方正仿宋_GBK"/>
          <w:color w:val="000000"/>
          <w:kern w:val="0"/>
          <w:szCs w:val="32"/>
          <w:shd w:val="clear" w:color="auto" w:fill="FFFFFF"/>
          <w:lang w:eastAsia="zh-CN"/>
        </w:rPr>
        <w:t>，该项目</w:t>
      </w:r>
      <w:r>
        <w:rPr>
          <w:rFonts w:hint="eastAsia" w:ascii="方正仿宋_GBK" w:hAnsi="方正仿宋_GBK" w:eastAsia="方正仿宋_GBK" w:cs="方正仿宋_GBK"/>
          <w:color w:val="000000"/>
          <w:kern w:val="0"/>
          <w:szCs w:val="32"/>
          <w:shd w:val="clear" w:color="auto" w:fill="FFFFFF"/>
          <w:lang w:val="en-US" w:eastAsia="zh-CN"/>
        </w:rPr>
        <w:t>2022</w:t>
      </w:r>
      <w:r>
        <w:rPr>
          <w:rFonts w:hint="eastAsia" w:ascii="方正仿宋_GBK" w:hAnsi="方正仿宋_GBK" w:eastAsia="方正仿宋_GBK" w:cs="方正仿宋_GBK"/>
          <w:color w:val="000000"/>
          <w:kern w:val="0"/>
          <w:szCs w:val="32"/>
          <w:shd w:val="clear" w:color="auto" w:fill="FFFFFF"/>
          <w:lang w:eastAsia="zh-CN"/>
        </w:rPr>
        <w:t>年度项目目标已完成，为全市有效开展自然灾害防治和应急管理、切实保障经济社会高质量发展提供权威的灾害风险信息和科学决策依据。</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eastAsia="zh-CN"/>
        </w:rPr>
      </w:pPr>
      <w:r>
        <w:rPr>
          <w:rFonts w:hint="eastAsia" w:ascii="方正仿宋_GBK" w:hAnsi="方正仿宋_GBK" w:eastAsia="方正仿宋_GBK" w:cs="方正仿宋_GBK"/>
          <w:color w:val="000000"/>
          <w:kern w:val="0"/>
          <w:szCs w:val="32"/>
          <w:shd w:val="clear" w:color="auto" w:fill="FFFFFF"/>
          <w:lang w:eastAsia="zh-CN"/>
        </w:rPr>
        <w:t>（</w:t>
      </w:r>
      <w:r>
        <w:rPr>
          <w:rFonts w:hint="eastAsia" w:ascii="方正仿宋_GBK" w:hAnsi="方正仿宋_GBK" w:eastAsia="方正仿宋_GBK" w:cs="方正仿宋_GBK"/>
          <w:color w:val="000000"/>
          <w:kern w:val="0"/>
          <w:szCs w:val="32"/>
          <w:shd w:val="clear" w:color="auto" w:fill="FFFFFF"/>
          <w:lang w:val="en-US" w:eastAsia="zh-CN"/>
        </w:rPr>
        <w:t>3</w:t>
      </w:r>
      <w:r>
        <w:rPr>
          <w:rFonts w:hint="eastAsia" w:ascii="方正仿宋_GBK" w:hAnsi="方正仿宋_GBK" w:eastAsia="方正仿宋_GBK" w:cs="方正仿宋_GBK"/>
          <w:color w:val="000000"/>
          <w:kern w:val="0"/>
          <w:szCs w:val="32"/>
          <w:shd w:val="clear" w:color="auto" w:fill="FFFFFF"/>
          <w:lang w:eastAsia="zh-CN"/>
        </w:rPr>
        <w:t>）51160022T000000425402-执法专项行动。</w:t>
      </w:r>
      <w:r>
        <w:rPr>
          <w:rFonts w:hint="eastAsia" w:ascii="方正仿宋_GBK" w:hAnsi="方正仿宋_GBK" w:eastAsia="方正仿宋_GBK" w:cs="方正仿宋_GBK"/>
          <w:color w:val="000000"/>
          <w:kern w:val="0"/>
          <w:szCs w:val="32"/>
          <w:shd w:val="clear" w:color="auto" w:fill="FFFFFF"/>
          <w:lang w:val="en-US" w:eastAsia="zh-CN"/>
        </w:rPr>
        <w:t>2022年我局对71家企业开展了专项执法检查，打击查处安全生产非法违法生产经营行为，督促企业落实安全主体责任。</w:t>
      </w:r>
      <w:r>
        <w:rPr>
          <w:rFonts w:hint="eastAsia" w:ascii="方正仿宋_GBK" w:hAnsi="方正仿宋_GBK" w:eastAsia="方正仿宋_GBK" w:cs="方正仿宋_GBK"/>
          <w:color w:val="000000"/>
          <w:kern w:val="0"/>
          <w:szCs w:val="32"/>
          <w:shd w:val="clear" w:color="auto" w:fill="FFFFFF"/>
          <w:lang w:eastAsia="zh-CN"/>
        </w:rPr>
        <w:t>项目全年预算数</w:t>
      </w:r>
      <w:r>
        <w:rPr>
          <w:rFonts w:hint="eastAsia" w:ascii="方正仿宋_GBK" w:hAnsi="方正仿宋_GBK" w:eastAsia="方正仿宋_GBK" w:cs="方正仿宋_GBK"/>
          <w:color w:val="000000"/>
          <w:kern w:val="0"/>
          <w:szCs w:val="32"/>
          <w:shd w:val="clear" w:color="auto" w:fill="FFFFFF"/>
          <w:lang w:val="en-US" w:eastAsia="zh-CN"/>
        </w:rPr>
        <w:t>69.98</w:t>
      </w:r>
      <w:r>
        <w:rPr>
          <w:rFonts w:hint="eastAsia" w:ascii="方正仿宋_GBK" w:hAnsi="方正仿宋_GBK" w:eastAsia="方正仿宋_GBK" w:cs="方正仿宋_GBK"/>
          <w:color w:val="000000"/>
          <w:kern w:val="0"/>
          <w:szCs w:val="32"/>
          <w:shd w:val="clear" w:color="auto" w:fill="FFFFFF"/>
          <w:lang w:eastAsia="zh-CN"/>
        </w:rPr>
        <w:t>万元，执行数为</w:t>
      </w:r>
      <w:r>
        <w:rPr>
          <w:rFonts w:hint="eastAsia" w:ascii="方正仿宋_GBK" w:hAnsi="方正仿宋_GBK" w:eastAsia="方正仿宋_GBK" w:cs="方正仿宋_GBK"/>
          <w:color w:val="000000"/>
          <w:kern w:val="0"/>
          <w:szCs w:val="32"/>
          <w:shd w:val="clear" w:color="auto" w:fill="FFFFFF"/>
          <w:lang w:val="en-US" w:eastAsia="zh-CN"/>
        </w:rPr>
        <w:t>69.98</w:t>
      </w:r>
      <w:r>
        <w:rPr>
          <w:rFonts w:hint="eastAsia" w:ascii="方正仿宋_GBK" w:hAnsi="方正仿宋_GBK" w:eastAsia="方正仿宋_GBK" w:cs="方正仿宋_GBK"/>
          <w:color w:val="000000"/>
          <w:kern w:val="0"/>
          <w:szCs w:val="32"/>
          <w:shd w:val="clear" w:color="auto" w:fill="FFFFFF"/>
          <w:lang w:eastAsia="zh-CN"/>
        </w:rPr>
        <w:t>万元，完成预算的</w:t>
      </w:r>
      <w:r>
        <w:rPr>
          <w:rFonts w:hint="eastAsia" w:ascii="方正仿宋_GBK" w:hAnsi="方正仿宋_GBK" w:eastAsia="方正仿宋_GBK" w:cs="方正仿宋_GBK"/>
          <w:color w:val="000000"/>
          <w:kern w:val="0"/>
          <w:szCs w:val="32"/>
          <w:shd w:val="clear" w:color="auto" w:fill="FFFFFF"/>
          <w:lang w:val="en-US" w:eastAsia="zh-CN"/>
        </w:rPr>
        <w:t>100</w:t>
      </w:r>
      <w:r>
        <w:rPr>
          <w:rFonts w:hint="eastAsia" w:ascii="方正仿宋_GBK" w:hAnsi="方正仿宋_GBK" w:eastAsia="方正仿宋_GBK" w:cs="方正仿宋_GBK"/>
          <w:color w:val="000000"/>
          <w:kern w:val="0"/>
          <w:szCs w:val="32"/>
          <w:shd w:val="clear" w:color="auto" w:fill="FFFFFF"/>
          <w:lang w:eastAsia="zh-CN"/>
        </w:rPr>
        <w:t>%，该项目提高了企业、单位和场所的安全生产管理水平，加强了安全生产教育和培训，普及了安全生产知识。通过督促企业落实主体责任，指导企业全面管控风险，落实各项安全防控措施，切实消除了安全隐患。</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eastAsia="zh-CN"/>
        </w:rPr>
      </w:pPr>
      <w:r>
        <w:rPr>
          <w:rFonts w:hint="eastAsia" w:ascii="方正仿宋_GBK" w:hAnsi="方正仿宋_GBK" w:eastAsia="方正仿宋_GBK" w:cs="方正仿宋_GBK"/>
          <w:color w:val="000000"/>
          <w:kern w:val="0"/>
          <w:szCs w:val="32"/>
          <w:shd w:val="clear" w:color="auto" w:fill="FFFFFF"/>
          <w:lang w:eastAsia="zh-CN"/>
        </w:rPr>
        <w:t>（</w:t>
      </w:r>
      <w:r>
        <w:rPr>
          <w:rFonts w:hint="eastAsia" w:ascii="方正仿宋_GBK" w:hAnsi="方正仿宋_GBK" w:eastAsia="方正仿宋_GBK" w:cs="方正仿宋_GBK"/>
          <w:color w:val="000000"/>
          <w:kern w:val="0"/>
          <w:szCs w:val="32"/>
          <w:shd w:val="clear" w:color="auto" w:fill="FFFFFF"/>
          <w:lang w:val="en-US" w:eastAsia="zh-CN"/>
        </w:rPr>
        <w:t>4</w:t>
      </w:r>
      <w:r>
        <w:rPr>
          <w:rFonts w:hint="eastAsia" w:ascii="方正仿宋_GBK" w:hAnsi="方正仿宋_GBK" w:eastAsia="方正仿宋_GBK" w:cs="方正仿宋_GBK"/>
          <w:color w:val="000000"/>
          <w:kern w:val="0"/>
          <w:szCs w:val="32"/>
          <w:shd w:val="clear" w:color="auto" w:fill="FFFFFF"/>
          <w:lang w:eastAsia="zh-CN"/>
        </w:rPr>
        <w:t>）51160022T000000425403-灾害信息员培训。2022年广安市举办4场市级灾害信息员培训，共计培训225名灾害信息员，其中县级221名。项目全年预算数</w:t>
      </w:r>
      <w:r>
        <w:rPr>
          <w:rFonts w:hint="eastAsia" w:ascii="方正仿宋_GBK" w:hAnsi="方正仿宋_GBK" w:eastAsia="方正仿宋_GBK" w:cs="方正仿宋_GBK"/>
          <w:color w:val="000000"/>
          <w:kern w:val="0"/>
          <w:szCs w:val="32"/>
          <w:shd w:val="clear" w:color="auto" w:fill="FFFFFF"/>
          <w:lang w:val="en-US" w:eastAsia="zh-CN"/>
        </w:rPr>
        <w:t>5</w:t>
      </w:r>
      <w:r>
        <w:rPr>
          <w:rFonts w:hint="eastAsia" w:ascii="方正仿宋_GBK" w:hAnsi="方正仿宋_GBK" w:eastAsia="方正仿宋_GBK" w:cs="方正仿宋_GBK"/>
          <w:color w:val="000000"/>
          <w:kern w:val="0"/>
          <w:szCs w:val="32"/>
          <w:shd w:val="clear" w:color="auto" w:fill="FFFFFF"/>
          <w:lang w:eastAsia="zh-CN"/>
        </w:rPr>
        <w:t>万元，执行数为</w:t>
      </w:r>
      <w:r>
        <w:rPr>
          <w:rFonts w:hint="eastAsia" w:ascii="方正仿宋_GBK" w:hAnsi="方正仿宋_GBK" w:eastAsia="方正仿宋_GBK" w:cs="方正仿宋_GBK"/>
          <w:color w:val="000000"/>
          <w:kern w:val="0"/>
          <w:szCs w:val="32"/>
          <w:shd w:val="clear" w:color="auto" w:fill="FFFFFF"/>
          <w:lang w:val="en-US" w:eastAsia="zh-CN"/>
        </w:rPr>
        <w:t>4.25</w:t>
      </w:r>
      <w:r>
        <w:rPr>
          <w:rFonts w:hint="eastAsia" w:ascii="方正仿宋_GBK" w:hAnsi="方正仿宋_GBK" w:eastAsia="方正仿宋_GBK" w:cs="方正仿宋_GBK"/>
          <w:color w:val="000000"/>
          <w:kern w:val="0"/>
          <w:szCs w:val="32"/>
          <w:shd w:val="clear" w:color="auto" w:fill="FFFFFF"/>
          <w:lang w:eastAsia="zh-CN"/>
        </w:rPr>
        <w:t>万元，完成预算的</w:t>
      </w:r>
      <w:r>
        <w:rPr>
          <w:rFonts w:hint="eastAsia" w:ascii="方正仿宋_GBK" w:hAnsi="方正仿宋_GBK" w:eastAsia="方正仿宋_GBK" w:cs="方正仿宋_GBK"/>
          <w:color w:val="000000"/>
          <w:kern w:val="0"/>
          <w:szCs w:val="32"/>
          <w:shd w:val="clear" w:color="auto" w:fill="FFFFFF"/>
          <w:lang w:val="en-US" w:eastAsia="zh-CN"/>
        </w:rPr>
        <w:t>85.10</w:t>
      </w:r>
      <w:r>
        <w:rPr>
          <w:rFonts w:hint="eastAsia" w:ascii="方正仿宋_GBK" w:hAnsi="方正仿宋_GBK" w:eastAsia="方正仿宋_GBK" w:cs="方正仿宋_GBK"/>
          <w:color w:val="000000"/>
          <w:kern w:val="0"/>
          <w:szCs w:val="32"/>
          <w:shd w:val="clear" w:color="auto" w:fill="FFFFFF"/>
          <w:lang w:eastAsia="zh-CN"/>
        </w:rPr>
        <w:t>%，该项目通过举办灾害信息员培训，提高了基层灾害信息员防灾救灾报灾能力。</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eastAsia="zh-CN"/>
        </w:rPr>
      </w:pPr>
      <w:r>
        <w:rPr>
          <w:rFonts w:hint="eastAsia" w:ascii="方正仿宋_GBK" w:hAnsi="方正仿宋_GBK" w:eastAsia="方正仿宋_GBK" w:cs="方正仿宋_GBK"/>
          <w:color w:val="000000"/>
          <w:kern w:val="0"/>
          <w:szCs w:val="32"/>
          <w:shd w:val="clear" w:color="auto" w:fill="FFFFFF"/>
          <w:lang w:eastAsia="zh-CN"/>
        </w:rPr>
        <w:t>（</w:t>
      </w:r>
      <w:r>
        <w:rPr>
          <w:rFonts w:hint="eastAsia" w:ascii="方正仿宋_GBK" w:hAnsi="方正仿宋_GBK" w:eastAsia="方正仿宋_GBK" w:cs="方正仿宋_GBK"/>
          <w:color w:val="000000"/>
          <w:kern w:val="0"/>
          <w:szCs w:val="32"/>
          <w:shd w:val="clear" w:color="auto" w:fill="FFFFFF"/>
          <w:lang w:val="en-US" w:eastAsia="zh-CN"/>
        </w:rPr>
        <w:t>5</w:t>
      </w:r>
      <w:r>
        <w:rPr>
          <w:rFonts w:hint="eastAsia" w:ascii="方正仿宋_GBK" w:hAnsi="方正仿宋_GBK" w:eastAsia="方正仿宋_GBK" w:cs="方正仿宋_GBK"/>
          <w:color w:val="000000"/>
          <w:kern w:val="0"/>
          <w:szCs w:val="32"/>
          <w:shd w:val="clear" w:color="auto" w:fill="FFFFFF"/>
          <w:lang w:eastAsia="zh-CN"/>
        </w:rPr>
        <w:t>）51160022T000000425404-森林防灭火专项经费。</w:t>
      </w:r>
      <w:r>
        <w:rPr>
          <w:rFonts w:hint="eastAsia" w:ascii="方正仿宋_GBK" w:hAnsi="方正仿宋_GBK" w:eastAsia="方正仿宋_GBK" w:cs="方正仿宋_GBK"/>
          <w:color w:val="000000"/>
          <w:kern w:val="0"/>
          <w:szCs w:val="32"/>
          <w:shd w:val="clear" w:color="auto" w:fill="FFFFFF"/>
          <w:lang w:val="en-US" w:eastAsia="zh-CN"/>
        </w:rPr>
        <w:t>2022年多次召开市委常委会、市政府常务会组织学习贯彻党中央、国务院和省委省政府关于森林防灭火工作决策部署，防火期内常态化开展森林防灭火督导检查，积极开展森林防火宣传，着力营造全民动员、群策群力抓防火的良好氛围。</w:t>
      </w:r>
      <w:r>
        <w:rPr>
          <w:rFonts w:hint="eastAsia" w:ascii="方正仿宋_GBK" w:hAnsi="方正仿宋_GBK" w:eastAsia="方正仿宋_GBK" w:cs="方正仿宋_GBK"/>
          <w:color w:val="000000"/>
          <w:kern w:val="0"/>
          <w:szCs w:val="32"/>
          <w:shd w:val="clear" w:color="auto" w:fill="FFFFFF"/>
          <w:lang w:eastAsia="zh-CN"/>
        </w:rPr>
        <w:t>项目全年预算数</w:t>
      </w:r>
      <w:r>
        <w:rPr>
          <w:rFonts w:hint="eastAsia" w:ascii="方正仿宋_GBK" w:hAnsi="方正仿宋_GBK" w:eastAsia="方正仿宋_GBK" w:cs="方正仿宋_GBK"/>
          <w:color w:val="000000"/>
          <w:kern w:val="0"/>
          <w:szCs w:val="32"/>
          <w:shd w:val="clear" w:color="auto" w:fill="FFFFFF"/>
          <w:lang w:val="en-US" w:eastAsia="zh-CN"/>
        </w:rPr>
        <w:t>10</w:t>
      </w:r>
      <w:r>
        <w:rPr>
          <w:rFonts w:hint="eastAsia" w:ascii="方正仿宋_GBK" w:hAnsi="方正仿宋_GBK" w:eastAsia="方正仿宋_GBK" w:cs="方正仿宋_GBK"/>
          <w:color w:val="000000"/>
          <w:kern w:val="0"/>
          <w:szCs w:val="32"/>
          <w:shd w:val="clear" w:color="auto" w:fill="FFFFFF"/>
          <w:lang w:eastAsia="zh-CN"/>
        </w:rPr>
        <w:t>万元，执行数为</w:t>
      </w:r>
      <w:r>
        <w:rPr>
          <w:rFonts w:hint="eastAsia" w:ascii="方正仿宋_GBK" w:hAnsi="方正仿宋_GBK" w:eastAsia="方正仿宋_GBK" w:cs="方正仿宋_GBK"/>
          <w:color w:val="000000"/>
          <w:kern w:val="0"/>
          <w:szCs w:val="32"/>
          <w:shd w:val="clear" w:color="auto" w:fill="FFFFFF"/>
          <w:lang w:val="en-US" w:eastAsia="zh-CN"/>
        </w:rPr>
        <w:t>9.34</w:t>
      </w:r>
      <w:r>
        <w:rPr>
          <w:rFonts w:hint="eastAsia" w:ascii="方正仿宋_GBK" w:hAnsi="方正仿宋_GBK" w:eastAsia="方正仿宋_GBK" w:cs="方正仿宋_GBK"/>
          <w:color w:val="000000"/>
          <w:kern w:val="0"/>
          <w:szCs w:val="32"/>
          <w:shd w:val="clear" w:color="auto" w:fill="FFFFFF"/>
          <w:lang w:eastAsia="zh-CN"/>
        </w:rPr>
        <w:t>万元，完成预算的</w:t>
      </w:r>
      <w:r>
        <w:rPr>
          <w:rFonts w:hint="eastAsia" w:ascii="方正仿宋_GBK" w:hAnsi="方正仿宋_GBK" w:eastAsia="方正仿宋_GBK" w:cs="方正仿宋_GBK"/>
          <w:color w:val="000000"/>
          <w:kern w:val="0"/>
          <w:szCs w:val="32"/>
          <w:shd w:val="clear" w:color="auto" w:fill="FFFFFF"/>
          <w:lang w:val="en-US" w:eastAsia="zh-CN"/>
        </w:rPr>
        <w:t>93.38</w:t>
      </w:r>
      <w:r>
        <w:rPr>
          <w:rFonts w:hint="eastAsia" w:ascii="方正仿宋_GBK" w:hAnsi="方正仿宋_GBK" w:eastAsia="方正仿宋_GBK" w:cs="方正仿宋_GBK"/>
          <w:color w:val="000000"/>
          <w:kern w:val="0"/>
          <w:szCs w:val="32"/>
          <w:shd w:val="clear" w:color="auto" w:fill="FFFFFF"/>
          <w:lang w:eastAsia="zh-CN"/>
        </w:rPr>
        <w:t>%，该项目多次召开专题会议，定期研究部署森林防灭火工作，建立完善责任体系，严格落实省委省政府和市委市政府有关要求，常态化开展督导检查，定期开展森林防灭火培训，提升森林火情、火灾应对处置能力。</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eastAsia="zh-CN"/>
        </w:rPr>
      </w:pPr>
      <w:r>
        <w:rPr>
          <w:rFonts w:hint="eastAsia" w:ascii="方正仿宋_GBK" w:hAnsi="方正仿宋_GBK" w:eastAsia="方正仿宋_GBK" w:cs="方正仿宋_GBK"/>
          <w:color w:val="000000"/>
          <w:kern w:val="0"/>
          <w:szCs w:val="32"/>
          <w:shd w:val="clear" w:color="auto" w:fill="FFFFFF"/>
          <w:lang w:val="en-US" w:eastAsia="zh-CN"/>
        </w:rPr>
        <w:t>（6）51160022T000000430003-安全生产月活动经费。购买安全生产宣传品 ,开展启动仪式及集中咨询日等系列宣传活动。</w:t>
      </w:r>
      <w:r>
        <w:rPr>
          <w:rFonts w:hint="eastAsia" w:ascii="方正仿宋_GBK" w:hAnsi="方正仿宋_GBK" w:eastAsia="方正仿宋_GBK" w:cs="方正仿宋_GBK"/>
          <w:color w:val="000000"/>
          <w:kern w:val="0"/>
          <w:szCs w:val="32"/>
          <w:shd w:val="clear" w:color="auto" w:fill="FFFFFF"/>
          <w:lang w:eastAsia="zh-CN"/>
        </w:rPr>
        <w:t>项目全年预算数</w:t>
      </w:r>
      <w:r>
        <w:rPr>
          <w:rFonts w:hint="eastAsia" w:ascii="方正仿宋_GBK" w:hAnsi="方正仿宋_GBK" w:eastAsia="方正仿宋_GBK" w:cs="方正仿宋_GBK"/>
          <w:color w:val="000000"/>
          <w:kern w:val="0"/>
          <w:szCs w:val="32"/>
          <w:shd w:val="clear" w:color="auto" w:fill="FFFFFF"/>
          <w:lang w:val="en-US" w:eastAsia="zh-CN"/>
        </w:rPr>
        <w:t>5</w:t>
      </w:r>
      <w:r>
        <w:rPr>
          <w:rFonts w:hint="eastAsia" w:ascii="方正仿宋_GBK" w:hAnsi="方正仿宋_GBK" w:eastAsia="方正仿宋_GBK" w:cs="方正仿宋_GBK"/>
          <w:color w:val="000000"/>
          <w:kern w:val="0"/>
          <w:szCs w:val="32"/>
          <w:shd w:val="clear" w:color="auto" w:fill="FFFFFF"/>
          <w:lang w:eastAsia="zh-CN"/>
        </w:rPr>
        <w:t>万元，执行数为</w:t>
      </w:r>
      <w:r>
        <w:rPr>
          <w:rFonts w:hint="eastAsia" w:ascii="方正仿宋_GBK" w:hAnsi="方正仿宋_GBK" w:eastAsia="方正仿宋_GBK" w:cs="方正仿宋_GBK"/>
          <w:color w:val="000000"/>
          <w:kern w:val="0"/>
          <w:szCs w:val="32"/>
          <w:shd w:val="clear" w:color="auto" w:fill="FFFFFF"/>
          <w:lang w:val="en-US" w:eastAsia="zh-CN"/>
        </w:rPr>
        <w:t>5</w:t>
      </w:r>
      <w:r>
        <w:rPr>
          <w:rFonts w:hint="eastAsia" w:ascii="方正仿宋_GBK" w:hAnsi="方正仿宋_GBK" w:eastAsia="方正仿宋_GBK" w:cs="方正仿宋_GBK"/>
          <w:color w:val="000000"/>
          <w:kern w:val="0"/>
          <w:szCs w:val="32"/>
          <w:shd w:val="clear" w:color="auto" w:fill="FFFFFF"/>
          <w:lang w:eastAsia="zh-CN"/>
        </w:rPr>
        <w:t>万元，完成预算的</w:t>
      </w:r>
      <w:r>
        <w:rPr>
          <w:rFonts w:hint="eastAsia" w:ascii="方正仿宋_GBK" w:hAnsi="方正仿宋_GBK" w:eastAsia="方正仿宋_GBK" w:cs="方正仿宋_GBK"/>
          <w:color w:val="000000"/>
          <w:kern w:val="0"/>
          <w:szCs w:val="32"/>
          <w:shd w:val="clear" w:color="auto" w:fill="FFFFFF"/>
          <w:lang w:val="en-US" w:eastAsia="zh-CN"/>
        </w:rPr>
        <w:t>100</w:t>
      </w:r>
      <w:r>
        <w:rPr>
          <w:rFonts w:hint="eastAsia" w:ascii="方正仿宋_GBK" w:hAnsi="方正仿宋_GBK" w:eastAsia="方正仿宋_GBK" w:cs="方正仿宋_GBK"/>
          <w:color w:val="000000"/>
          <w:kern w:val="0"/>
          <w:szCs w:val="32"/>
          <w:shd w:val="clear" w:color="auto" w:fill="FFFFFF"/>
          <w:lang w:eastAsia="zh-CN"/>
        </w:rPr>
        <w:t>%，该项目达到了预期效果，全面提高了全民安全素质、增强了全民应急意识、提升了防灾减灾救灾能力、遏制了安全事故的发生，促进了全市安全形势持续稳定好转。</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eastAsia="zh-CN"/>
        </w:rPr>
      </w:pPr>
      <w:r>
        <w:rPr>
          <w:rFonts w:hint="eastAsia" w:ascii="方正仿宋_GBK" w:hAnsi="方正仿宋_GBK" w:eastAsia="方正仿宋_GBK" w:cs="方正仿宋_GBK"/>
          <w:color w:val="000000"/>
          <w:kern w:val="0"/>
          <w:szCs w:val="32"/>
          <w:shd w:val="clear" w:color="auto" w:fill="FFFFFF"/>
          <w:lang w:eastAsia="zh-CN"/>
        </w:rPr>
        <w:t>（</w:t>
      </w:r>
      <w:r>
        <w:rPr>
          <w:rFonts w:hint="eastAsia" w:ascii="方正仿宋_GBK" w:hAnsi="方正仿宋_GBK" w:eastAsia="方正仿宋_GBK" w:cs="方正仿宋_GBK"/>
          <w:color w:val="000000"/>
          <w:kern w:val="0"/>
          <w:szCs w:val="32"/>
          <w:shd w:val="clear" w:color="auto" w:fill="FFFFFF"/>
          <w:lang w:val="en-US" w:eastAsia="zh-CN"/>
        </w:rPr>
        <w:t>7</w:t>
      </w:r>
      <w:r>
        <w:rPr>
          <w:rFonts w:hint="eastAsia" w:ascii="方正仿宋_GBK" w:hAnsi="方正仿宋_GBK" w:eastAsia="方正仿宋_GBK" w:cs="方正仿宋_GBK"/>
          <w:color w:val="000000"/>
          <w:kern w:val="0"/>
          <w:szCs w:val="32"/>
          <w:shd w:val="clear" w:color="auto" w:fill="FFFFFF"/>
          <w:lang w:eastAsia="zh-CN"/>
        </w:rPr>
        <w:t>）51160022T000000434218-防汛抗旱指挥部办公室工作经费。全市防汛抗旱工作顺利高效开展。项目全年预算数</w:t>
      </w:r>
      <w:r>
        <w:rPr>
          <w:rFonts w:hint="eastAsia" w:ascii="方正仿宋_GBK" w:hAnsi="方正仿宋_GBK" w:eastAsia="方正仿宋_GBK" w:cs="方正仿宋_GBK"/>
          <w:color w:val="000000"/>
          <w:kern w:val="0"/>
          <w:szCs w:val="32"/>
          <w:shd w:val="clear" w:color="auto" w:fill="FFFFFF"/>
          <w:lang w:val="en-US" w:eastAsia="zh-CN"/>
        </w:rPr>
        <w:t>30</w:t>
      </w:r>
      <w:r>
        <w:rPr>
          <w:rFonts w:hint="eastAsia" w:ascii="方正仿宋_GBK" w:hAnsi="方正仿宋_GBK" w:eastAsia="方正仿宋_GBK" w:cs="方正仿宋_GBK"/>
          <w:color w:val="000000"/>
          <w:kern w:val="0"/>
          <w:szCs w:val="32"/>
          <w:shd w:val="clear" w:color="auto" w:fill="FFFFFF"/>
          <w:lang w:eastAsia="zh-CN"/>
        </w:rPr>
        <w:t>万元，执行数为</w:t>
      </w:r>
      <w:r>
        <w:rPr>
          <w:rFonts w:hint="eastAsia" w:ascii="方正仿宋_GBK" w:hAnsi="方正仿宋_GBK" w:eastAsia="方正仿宋_GBK" w:cs="方正仿宋_GBK"/>
          <w:color w:val="000000"/>
          <w:kern w:val="0"/>
          <w:szCs w:val="32"/>
          <w:shd w:val="clear" w:color="auto" w:fill="FFFFFF"/>
          <w:lang w:val="en-US" w:eastAsia="zh-CN"/>
        </w:rPr>
        <w:t>25.27</w:t>
      </w:r>
      <w:r>
        <w:rPr>
          <w:rFonts w:hint="eastAsia" w:ascii="方正仿宋_GBK" w:hAnsi="方正仿宋_GBK" w:eastAsia="方正仿宋_GBK" w:cs="方正仿宋_GBK"/>
          <w:color w:val="000000"/>
          <w:kern w:val="0"/>
          <w:szCs w:val="32"/>
          <w:shd w:val="clear" w:color="auto" w:fill="FFFFFF"/>
          <w:lang w:eastAsia="zh-CN"/>
        </w:rPr>
        <w:t>万元，完成预算的</w:t>
      </w:r>
      <w:r>
        <w:rPr>
          <w:rFonts w:hint="eastAsia" w:ascii="方正仿宋_GBK" w:hAnsi="方正仿宋_GBK" w:eastAsia="方正仿宋_GBK" w:cs="方正仿宋_GBK"/>
          <w:color w:val="000000"/>
          <w:kern w:val="0"/>
          <w:szCs w:val="32"/>
          <w:shd w:val="clear" w:color="auto" w:fill="FFFFFF"/>
          <w:lang w:val="en-US" w:eastAsia="zh-CN"/>
        </w:rPr>
        <w:t>84.23</w:t>
      </w:r>
      <w:r>
        <w:rPr>
          <w:rFonts w:hint="eastAsia" w:ascii="方正仿宋_GBK" w:hAnsi="方正仿宋_GBK" w:eastAsia="方正仿宋_GBK" w:cs="方正仿宋_GBK"/>
          <w:color w:val="000000"/>
          <w:kern w:val="0"/>
          <w:szCs w:val="32"/>
          <w:shd w:val="clear" w:color="auto" w:fill="FFFFFF"/>
          <w:lang w:eastAsia="zh-CN"/>
        </w:rPr>
        <w:t>%，该项目完成了全年防汛工作，有力保障了全市人民生命安全。</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eastAsia="zh-CN"/>
        </w:rPr>
      </w:pPr>
      <w:r>
        <w:rPr>
          <w:rFonts w:hint="eastAsia" w:ascii="方正仿宋_GBK" w:hAnsi="方正仿宋_GBK" w:eastAsia="方正仿宋_GBK" w:cs="方正仿宋_GBK"/>
          <w:color w:val="000000"/>
          <w:kern w:val="0"/>
          <w:szCs w:val="32"/>
          <w:shd w:val="clear" w:color="auto" w:fill="FFFFFF"/>
          <w:lang w:eastAsia="zh-CN"/>
        </w:rPr>
        <w:t>（</w:t>
      </w:r>
      <w:r>
        <w:rPr>
          <w:rFonts w:hint="eastAsia" w:ascii="方正仿宋_GBK" w:hAnsi="方正仿宋_GBK" w:eastAsia="方正仿宋_GBK" w:cs="方正仿宋_GBK"/>
          <w:color w:val="000000"/>
          <w:kern w:val="0"/>
          <w:szCs w:val="32"/>
          <w:shd w:val="clear" w:color="auto" w:fill="FFFFFF"/>
          <w:lang w:val="en-US" w:eastAsia="zh-CN"/>
        </w:rPr>
        <w:t>8</w:t>
      </w:r>
      <w:r>
        <w:rPr>
          <w:rFonts w:hint="eastAsia" w:ascii="方正仿宋_GBK" w:hAnsi="方正仿宋_GBK" w:eastAsia="方正仿宋_GBK" w:cs="方正仿宋_GBK"/>
          <w:color w:val="000000"/>
          <w:kern w:val="0"/>
          <w:szCs w:val="32"/>
          <w:shd w:val="clear" w:color="auto" w:fill="FFFFFF"/>
          <w:lang w:eastAsia="zh-CN"/>
        </w:rPr>
        <w:t>）51160022T000005839879-代管资金项目。企业的质保金、职工的五险一金及个税等费用均通过该项目进行核算管理。项目全年预算数</w:t>
      </w:r>
      <w:r>
        <w:rPr>
          <w:rFonts w:hint="eastAsia" w:ascii="方正仿宋_GBK" w:hAnsi="方正仿宋_GBK" w:eastAsia="方正仿宋_GBK" w:cs="方正仿宋_GBK"/>
          <w:color w:val="000000"/>
          <w:kern w:val="0"/>
          <w:szCs w:val="32"/>
          <w:shd w:val="clear" w:color="auto" w:fill="FFFFFF"/>
          <w:lang w:val="en-US" w:eastAsia="zh-CN"/>
        </w:rPr>
        <w:t>53.02</w:t>
      </w:r>
      <w:r>
        <w:rPr>
          <w:rFonts w:hint="eastAsia" w:ascii="方正仿宋_GBK" w:hAnsi="方正仿宋_GBK" w:eastAsia="方正仿宋_GBK" w:cs="方正仿宋_GBK"/>
          <w:color w:val="000000"/>
          <w:kern w:val="0"/>
          <w:szCs w:val="32"/>
          <w:shd w:val="clear" w:color="auto" w:fill="FFFFFF"/>
          <w:lang w:eastAsia="zh-CN"/>
        </w:rPr>
        <w:t>万元，执行数为</w:t>
      </w:r>
      <w:r>
        <w:rPr>
          <w:rFonts w:hint="eastAsia" w:ascii="方正仿宋_GBK" w:hAnsi="方正仿宋_GBK" w:eastAsia="方正仿宋_GBK" w:cs="方正仿宋_GBK"/>
          <w:color w:val="000000"/>
          <w:kern w:val="0"/>
          <w:szCs w:val="32"/>
          <w:shd w:val="clear" w:color="auto" w:fill="FFFFFF"/>
          <w:lang w:val="en-US" w:eastAsia="zh-CN"/>
        </w:rPr>
        <w:t>20.94</w:t>
      </w:r>
      <w:r>
        <w:rPr>
          <w:rFonts w:hint="eastAsia" w:ascii="方正仿宋_GBK" w:hAnsi="方正仿宋_GBK" w:eastAsia="方正仿宋_GBK" w:cs="方正仿宋_GBK"/>
          <w:color w:val="000000"/>
          <w:kern w:val="0"/>
          <w:szCs w:val="32"/>
          <w:shd w:val="clear" w:color="auto" w:fill="FFFFFF"/>
          <w:lang w:eastAsia="zh-CN"/>
        </w:rPr>
        <w:t>万元，完成预算的</w:t>
      </w:r>
      <w:r>
        <w:rPr>
          <w:rFonts w:hint="eastAsia" w:ascii="方正仿宋_GBK" w:hAnsi="方正仿宋_GBK" w:eastAsia="方正仿宋_GBK" w:cs="方正仿宋_GBK"/>
          <w:color w:val="000000"/>
          <w:kern w:val="0"/>
          <w:szCs w:val="32"/>
          <w:shd w:val="clear" w:color="auto" w:fill="FFFFFF"/>
          <w:lang w:val="en-US" w:eastAsia="zh-CN"/>
        </w:rPr>
        <w:t>39.49</w:t>
      </w:r>
      <w:r>
        <w:rPr>
          <w:rFonts w:hint="eastAsia" w:ascii="方正仿宋_GBK" w:hAnsi="方正仿宋_GBK" w:eastAsia="方正仿宋_GBK" w:cs="方正仿宋_GBK"/>
          <w:color w:val="000000"/>
          <w:kern w:val="0"/>
          <w:szCs w:val="32"/>
          <w:shd w:val="clear" w:color="auto" w:fill="FFFFFF"/>
          <w:lang w:eastAsia="zh-CN"/>
        </w:rPr>
        <w:t>%，该项目未完成的主要原因是多个企业仍处于履约质保期内，故质保金未达到退还条件。</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eastAsia="zh-CN"/>
        </w:rPr>
      </w:pPr>
      <w:r>
        <w:rPr>
          <w:rFonts w:hint="eastAsia" w:ascii="方正仿宋_GBK" w:hAnsi="方正仿宋_GBK" w:eastAsia="方正仿宋_GBK" w:cs="方正仿宋_GBK"/>
          <w:color w:val="000000"/>
          <w:kern w:val="0"/>
          <w:szCs w:val="32"/>
          <w:shd w:val="clear" w:color="auto" w:fill="FFFFFF"/>
          <w:lang w:eastAsia="zh-CN"/>
        </w:rPr>
        <w:t>（</w:t>
      </w:r>
      <w:r>
        <w:rPr>
          <w:rFonts w:hint="eastAsia" w:ascii="方正仿宋_GBK" w:hAnsi="方正仿宋_GBK" w:eastAsia="方正仿宋_GBK" w:cs="方正仿宋_GBK"/>
          <w:color w:val="000000"/>
          <w:kern w:val="0"/>
          <w:szCs w:val="32"/>
          <w:shd w:val="clear" w:color="auto" w:fill="FFFFFF"/>
          <w:lang w:val="en-US" w:eastAsia="zh-CN"/>
        </w:rPr>
        <w:t>9</w:t>
      </w:r>
      <w:r>
        <w:rPr>
          <w:rFonts w:hint="eastAsia" w:ascii="方正仿宋_GBK" w:hAnsi="方正仿宋_GBK" w:eastAsia="方正仿宋_GBK" w:cs="方正仿宋_GBK"/>
          <w:color w:val="000000"/>
          <w:kern w:val="0"/>
          <w:szCs w:val="32"/>
          <w:shd w:val="clear" w:color="auto" w:fill="FFFFFF"/>
          <w:lang w:eastAsia="zh-CN"/>
        </w:rPr>
        <w:t>）51160022T000005878400-专家费。聘请专家参与隐患排查、安全生产执法检查、项目“三同时”评审等工作。项目全年预算数</w:t>
      </w:r>
      <w:r>
        <w:rPr>
          <w:rFonts w:hint="eastAsia" w:ascii="方正仿宋_GBK" w:hAnsi="方正仿宋_GBK" w:eastAsia="方正仿宋_GBK" w:cs="方正仿宋_GBK"/>
          <w:color w:val="000000"/>
          <w:kern w:val="0"/>
          <w:szCs w:val="32"/>
          <w:shd w:val="clear" w:color="auto" w:fill="FFFFFF"/>
          <w:lang w:val="en-US" w:eastAsia="zh-CN"/>
        </w:rPr>
        <w:t>152.47</w:t>
      </w:r>
      <w:r>
        <w:rPr>
          <w:rFonts w:hint="eastAsia" w:ascii="方正仿宋_GBK" w:hAnsi="方正仿宋_GBK" w:eastAsia="方正仿宋_GBK" w:cs="方正仿宋_GBK"/>
          <w:color w:val="000000"/>
          <w:kern w:val="0"/>
          <w:szCs w:val="32"/>
          <w:shd w:val="clear" w:color="auto" w:fill="FFFFFF"/>
          <w:lang w:eastAsia="zh-CN"/>
        </w:rPr>
        <w:t>万元，执行数为</w:t>
      </w:r>
      <w:r>
        <w:rPr>
          <w:rFonts w:hint="eastAsia" w:ascii="方正仿宋_GBK" w:hAnsi="方正仿宋_GBK" w:eastAsia="方正仿宋_GBK" w:cs="方正仿宋_GBK"/>
          <w:color w:val="000000"/>
          <w:kern w:val="0"/>
          <w:szCs w:val="32"/>
          <w:shd w:val="clear" w:color="auto" w:fill="FFFFFF"/>
          <w:lang w:val="en-US" w:eastAsia="zh-CN"/>
        </w:rPr>
        <w:t>150.93</w:t>
      </w:r>
      <w:r>
        <w:rPr>
          <w:rFonts w:hint="eastAsia" w:ascii="方正仿宋_GBK" w:hAnsi="方正仿宋_GBK" w:eastAsia="方正仿宋_GBK" w:cs="方正仿宋_GBK"/>
          <w:color w:val="000000"/>
          <w:kern w:val="0"/>
          <w:szCs w:val="32"/>
          <w:shd w:val="clear" w:color="auto" w:fill="FFFFFF"/>
          <w:lang w:eastAsia="zh-CN"/>
        </w:rPr>
        <w:t>万元，完成预算的</w:t>
      </w:r>
      <w:r>
        <w:rPr>
          <w:rFonts w:hint="eastAsia" w:ascii="方正仿宋_GBK" w:hAnsi="方正仿宋_GBK" w:eastAsia="方正仿宋_GBK" w:cs="方正仿宋_GBK"/>
          <w:color w:val="000000"/>
          <w:kern w:val="0"/>
          <w:szCs w:val="32"/>
          <w:shd w:val="clear" w:color="auto" w:fill="FFFFFF"/>
          <w:lang w:val="en-US" w:eastAsia="zh-CN"/>
        </w:rPr>
        <w:t>98.99</w:t>
      </w:r>
      <w:r>
        <w:rPr>
          <w:rFonts w:hint="eastAsia" w:ascii="方正仿宋_GBK" w:hAnsi="方正仿宋_GBK" w:eastAsia="方正仿宋_GBK" w:cs="方正仿宋_GBK"/>
          <w:color w:val="000000"/>
          <w:kern w:val="0"/>
          <w:szCs w:val="32"/>
          <w:shd w:val="clear" w:color="auto" w:fill="FFFFFF"/>
          <w:lang w:eastAsia="zh-CN"/>
        </w:rPr>
        <w:t>%，该项目聘请专家对计划中企业进行100%全覆盖，充分发挥社会化服务机构和专家团队在日常安全生产管理工作中的协助作用，织密企业安全风险防控网，提升企业的本质安全水平。</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eastAsia="zh-CN"/>
        </w:rPr>
      </w:pPr>
      <w:r>
        <w:rPr>
          <w:rFonts w:hint="eastAsia" w:ascii="方正仿宋_GBK" w:hAnsi="方正仿宋_GBK" w:eastAsia="方正仿宋_GBK" w:cs="方正仿宋_GBK"/>
          <w:color w:val="000000"/>
          <w:kern w:val="0"/>
          <w:szCs w:val="32"/>
          <w:shd w:val="clear" w:color="auto" w:fill="FFFFFF"/>
          <w:lang w:eastAsia="zh-CN"/>
        </w:rPr>
        <w:t>（</w:t>
      </w:r>
      <w:r>
        <w:rPr>
          <w:rFonts w:hint="eastAsia" w:ascii="方正仿宋_GBK" w:hAnsi="方正仿宋_GBK" w:eastAsia="方正仿宋_GBK" w:cs="方正仿宋_GBK"/>
          <w:color w:val="000000"/>
          <w:kern w:val="0"/>
          <w:szCs w:val="32"/>
          <w:shd w:val="clear" w:color="auto" w:fill="FFFFFF"/>
          <w:lang w:val="en-US" w:eastAsia="zh-CN"/>
        </w:rPr>
        <w:t>10</w:t>
      </w:r>
      <w:r>
        <w:rPr>
          <w:rFonts w:hint="eastAsia" w:ascii="方正仿宋_GBK" w:hAnsi="方正仿宋_GBK" w:eastAsia="方正仿宋_GBK" w:cs="方正仿宋_GBK"/>
          <w:color w:val="000000"/>
          <w:kern w:val="0"/>
          <w:szCs w:val="32"/>
          <w:shd w:val="clear" w:color="auto" w:fill="FFFFFF"/>
          <w:lang w:eastAsia="zh-CN"/>
        </w:rPr>
        <w:t>）51160022T000006014420-辅助安全人员执法经费。支付辅助安全人员工资、保险等费用。项目全年预算数</w:t>
      </w:r>
      <w:r>
        <w:rPr>
          <w:rFonts w:hint="eastAsia" w:ascii="方正仿宋_GBK" w:hAnsi="方正仿宋_GBK" w:eastAsia="方正仿宋_GBK" w:cs="方正仿宋_GBK"/>
          <w:color w:val="000000"/>
          <w:kern w:val="0"/>
          <w:szCs w:val="32"/>
          <w:shd w:val="clear" w:color="auto" w:fill="FFFFFF"/>
          <w:lang w:val="en-US" w:eastAsia="zh-CN"/>
        </w:rPr>
        <w:t>136</w:t>
      </w:r>
      <w:r>
        <w:rPr>
          <w:rFonts w:hint="eastAsia" w:ascii="方正仿宋_GBK" w:hAnsi="方正仿宋_GBK" w:eastAsia="方正仿宋_GBK" w:cs="方正仿宋_GBK"/>
          <w:color w:val="000000"/>
          <w:kern w:val="0"/>
          <w:szCs w:val="32"/>
          <w:shd w:val="clear" w:color="auto" w:fill="FFFFFF"/>
          <w:lang w:eastAsia="zh-CN"/>
        </w:rPr>
        <w:t>万元，执行数为</w:t>
      </w:r>
      <w:r>
        <w:rPr>
          <w:rFonts w:hint="eastAsia" w:ascii="方正仿宋_GBK" w:hAnsi="方正仿宋_GBK" w:eastAsia="方正仿宋_GBK" w:cs="方正仿宋_GBK"/>
          <w:color w:val="000000"/>
          <w:kern w:val="0"/>
          <w:szCs w:val="32"/>
          <w:shd w:val="clear" w:color="auto" w:fill="FFFFFF"/>
          <w:lang w:val="en-US" w:eastAsia="zh-CN"/>
        </w:rPr>
        <w:t>136</w:t>
      </w:r>
      <w:r>
        <w:rPr>
          <w:rFonts w:hint="eastAsia" w:ascii="方正仿宋_GBK" w:hAnsi="方正仿宋_GBK" w:eastAsia="方正仿宋_GBK" w:cs="方正仿宋_GBK"/>
          <w:color w:val="000000"/>
          <w:kern w:val="0"/>
          <w:szCs w:val="32"/>
          <w:shd w:val="clear" w:color="auto" w:fill="FFFFFF"/>
          <w:lang w:eastAsia="zh-CN"/>
        </w:rPr>
        <w:t>万元，完成预算的</w:t>
      </w:r>
      <w:r>
        <w:rPr>
          <w:rFonts w:hint="eastAsia" w:ascii="方正仿宋_GBK" w:hAnsi="方正仿宋_GBK" w:eastAsia="方正仿宋_GBK" w:cs="方正仿宋_GBK"/>
          <w:color w:val="000000"/>
          <w:kern w:val="0"/>
          <w:szCs w:val="32"/>
          <w:shd w:val="clear" w:color="auto" w:fill="FFFFFF"/>
          <w:lang w:val="en-US" w:eastAsia="zh-CN"/>
        </w:rPr>
        <w:t>100</w:t>
      </w:r>
      <w:r>
        <w:rPr>
          <w:rFonts w:hint="eastAsia" w:ascii="方正仿宋_GBK" w:hAnsi="方正仿宋_GBK" w:eastAsia="方正仿宋_GBK" w:cs="方正仿宋_GBK"/>
          <w:color w:val="000000"/>
          <w:kern w:val="0"/>
          <w:szCs w:val="32"/>
          <w:shd w:val="clear" w:color="auto" w:fill="FFFFFF"/>
          <w:lang w:eastAsia="zh-CN"/>
        </w:rPr>
        <w:t>%，该项目共聘请辅助安全人员20名，协助我局较好完成安全监管执法任务。</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eastAsia="zh-CN"/>
        </w:rPr>
      </w:pPr>
      <w:r>
        <w:rPr>
          <w:rFonts w:hint="eastAsia" w:ascii="方正仿宋_GBK" w:hAnsi="方正仿宋_GBK" w:eastAsia="方正仿宋_GBK" w:cs="方正仿宋_GBK"/>
          <w:color w:val="000000"/>
          <w:kern w:val="0"/>
          <w:szCs w:val="32"/>
          <w:shd w:val="clear" w:color="auto" w:fill="FFFFFF"/>
          <w:lang w:eastAsia="zh-CN"/>
        </w:rPr>
        <w:t>（</w:t>
      </w:r>
      <w:r>
        <w:rPr>
          <w:rFonts w:hint="eastAsia" w:ascii="方正仿宋_GBK" w:hAnsi="方正仿宋_GBK" w:eastAsia="方正仿宋_GBK" w:cs="方正仿宋_GBK"/>
          <w:color w:val="000000"/>
          <w:kern w:val="0"/>
          <w:szCs w:val="32"/>
          <w:shd w:val="clear" w:color="auto" w:fill="FFFFFF"/>
          <w:lang w:val="en-US" w:eastAsia="zh-CN"/>
        </w:rPr>
        <w:t>11</w:t>
      </w:r>
      <w:r>
        <w:rPr>
          <w:rFonts w:hint="eastAsia" w:ascii="方正仿宋_GBK" w:hAnsi="方正仿宋_GBK" w:eastAsia="方正仿宋_GBK" w:cs="方正仿宋_GBK"/>
          <w:color w:val="000000"/>
          <w:kern w:val="0"/>
          <w:szCs w:val="32"/>
          <w:shd w:val="clear" w:color="auto" w:fill="FFFFFF"/>
          <w:lang w:eastAsia="zh-CN"/>
        </w:rPr>
        <w:t>）51160022T000006014446-委托业务费。</w:t>
      </w:r>
      <w:r>
        <w:rPr>
          <w:rFonts w:hint="eastAsia" w:ascii="方正仿宋_GBK" w:hAnsi="方正仿宋_GBK" w:eastAsia="方正仿宋_GBK" w:cs="方正仿宋_GBK"/>
          <w:color w:val="000000"/>
          <w:kern w:val="0"/>
          <w:szCs w:val="32"/>
          <w:shd w:val="clear" w:color="auto" w:fill="FFFFFF"/>
          <w:lang w:val="en-US" w:eastAsia="zh-CN"/>
        </w:rPr>
        <w:t>2022年完成对4户国有重点煤矿分别开展1次解剖式检查，对4户生产矿井开展煤矿安全生产标准化管理体系达标情况进行动态考评，考评结果为合格。对8家企业开展了安全生产执法检查，开展72件次项目“三同时”评审，开展培训2次，开展日常检查246次。</w:t>
      </w:r>
      <w:r>
        <w:rPr>
          <w:rFonts w:hint="eastAsia" w:ascii="方正仿宋_GBK" w:hAnsi="方正仿宋_GBK" w:eastAsia="方正仿宋_GBK" w:cs="方正仿宋_GBK"/>
          <w:color w:val="000000"/>
          <w:kern w:val="0"/>
          <w:szCs w:val="32"/>
          <w:shd w:val="clear" w:color="auto" w:fill="FFFFFF"/>
          <w:lang w:eastAsia="zh-CN"/>
        </w:rPr>
        <w:t>项目全年预算数</w:t>
      </w:r>
      <w:r>
        <w:rPr>
          <w:rFonts w:hint="eastAsia" w:ascii="方正仿宋_GBK" w:hAnsi="方正仿宋_GBK" w:eastAsia="方正仿宋_GBK" w:cs="方正仿宋_GBK"/>
          <w:color w:val="000000"/>
          <w:kern w:val="0"/>
          <w:szCs w:val="32"/>
          <w:shd w:val="clear" w:color="auto" w:fill="FFFFFF"/>
          <w:lang w:val="en-US" w:eastAsia="zh-CN"/>
        </w:rPr>
        <w:t>95.86</w:t>
      </w:r>
      <w:r>
        <w:rPr>
          <w:rFonts w:hint="eastAsia" w:ascii="方正仿宋_GBK" w:hAnsi="方正仿宋_GBK" w:eastAsia="方正仿宋_GBK" w:cs="方正仿宋_GBK"/>
          <w:color w:val="000000"/>
          <w:kern w:val="0"/>
          <w:szCs w:val="32"/>
          <w:shd w:val="clear" w:color="auto" w:fill="FFFFFF"/>
          <w:lang w:eastAsia="zh-CN"/>
        </w:rPr>
        <w:t>万元，执行数为</w:t>
      </w:r>
      <w:r>
        <w:rPr>
          <w:rFonts w:hint="eastAsia" w:ascii="方正仿宋_GBK" w:hAnsi="方正仿宋_GBK" w:eastAsia="方正仿宋_GBK" w:cs="方正仿宋_GBK"/>
          <w:color w:val="000000"/>
          <w:kern w:val="0"/>
          <w:szCs w:val="32"/>
          <w:shd w:val="clear" w:color="auto" w:fill="FFFFFF"/>
          <w:lang w:val="en-US" w:eastAsia="zh-CN"/>
        </w:rPr>
        <w:t>95.86</w:t>
      </w:r>
      <w:r>
        <w:rPr>
          <w:rFonts w:hint="eastAsia" w:ascii="方正仿宋_GBK" w:hAnsi="方正仿宋_GBK" w:eastAsia="方正仿宋_GBK" w:cs="方正仿宋_GBK"/>
          <w:color w:val="000000"/>
          <w:kern w:val="0"/>
          <w:szCs w:val="32"/>
          <w:shd w:val="clear" w:color="auto" w:fill="FFFFFF"/>
          <w:lang w:eastAsia="zh-CN"/>
        </w:rPr>
        <w:t>万元，完成预算的</w:t>
      </w:r>
      <w:r>
        <w:rPr>
          <w:rFonts w:hint="eastAsia" w:ascii="方正仿宋_GBK" w:hAnsi="方正仿宋_GBK" w:eastAsia="方正仿宋_GBK" w:cs="方正仿宋_GBK"/>
          <w:color w:val="000000"/>
          <w:kern w:val="0"/>
          <w:szCs w:val="32"/>
          <w:shd w:val="clear" w:color="auto" w:fill="FFFFFF"/>
          <w:lang w:val="en-US" w:eastAsia="zh-CN"/>
        </w:rPr>
        <w:t>100</w:t>
      </w:r>
      <w:r>
        <w:rPr>
          <w:rFonts w:hint="eastAsia" w:ascii="方正仿宋_GBK" w:hAnsi="方正仿宋_GBK" w:eastAsia="方正仿宋_GBK" w:cs="方正仿宋_GBK"/>
          <w:color w:val="000000"/>
          <w:kern w:val="0"/>
          <w:szCs w:val="32"/>
          <w:shd w:val="clear" w:color="auto" w:fill="FFFFFF"/>
          <w:lang w:eastAsia="zh-CN"/>
        </w:rPr>
        <w:t>%，该项目有效解决监管人员不足，能力不够等问题。</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eastAsia="zh-CN"/>
        </w:rPr>
      </w:pPr>
      <w:r>
        <w:rPr>
          <w:rFonts w:hint="eastAsia" w:ascii="方正仿宋_GBK" w:hAnsi="方正仿宋_GBK" w:eastAsia="方正仿宋_GBK" w:cs="方正仿宋_GBK"/>
          <w:color w:val="000000"/>
          <w:kern w:val="0"/>
          <w:szCs w:val="32"/>
          <w:shd w:val="clear" w:color="auto" w:fill="FFFFFF"/>
          <w:lang w:eastAsia="zh-CN"/>
        </w:rPr>
        <w:t>（</w:t>
      </w:r>
      <w:r>
        <w:rPr>
          <w:rFonts w:hint="eastAsia" w:ascii="方正仿宋_GBK" w:hAnsi="方正仿宋_GBK" w:eastAsia="方正仿宋_GBK" w:cs="方正仿宋_GBK"/>
          <w:color w:val="000000"/>
          <w:kern w:val="0"/>
          <w:szCs w:val="32"/>
          <w:shd w:val="clear" w:color="auto" w:fill="FFFFFF"/>
          <w:lang w:val="en-US" w:eastAsia="zh-CN"/>
        </w:rPr>
        <w:t>12</w:t>
      </w:r>
      <w:r>
        <w:rPr>
          <w:rFonts w:hint="eastAsia" w:ascii="方正仿宋_GBK" w:hAnsi="方正仿宋_GBK" w:eastAsia="方正仿宋_GBK" w:cs="方正仿宋_GBK"/>
          <w:color w:val="000000"/>
          <w:kern w:val="0"/>
          <w:szCs w:val="32"/>
          <w:shd w:val="clear" w:color="auto" w:fill="FFFFFF"/>
          <w:lang w:eastAsia="zh-CN"/>
        </w:rPr>
        <w:t>）51160022T000006055284-安全生产专项资金。该项目需要将清单制管理系统与安全生产综合监管平台融合。项目全年预算数</w:t>
      </w:r>
      <w:r>
        <w:rPr>
          <w:rFonts w:hint="eastAsia" w:ascii="方正仿宋_GBK" w:hAnsi="方正仿宋_GBK" w:eastAsia="方正仿宋_GBK" w:cs="方正仿宋_GBK"/>
          <w:color w:val="000000"/>
          <w:kern w:val="0"/>
          <w:szCs w:val="32"/>
          <w:shd w:val="clear" w:color="auto" w:fill="FFFFFF"/>
          <w:lang w:val="en-US" w:eastAsia="zh-CN"/>
        </w:rPr>
        <w:t>97</w:t>
      </w:r>
      <w:r>
        <w:rPr>
          <w:rFonts w:hint="eastAsia" w:ascii="方正仿宋_GBK" w:hAnsi="方正仿宋_GBK" w:eastAsia="方正仿宋_GBK" w:cs="方正仿宋_GBK"/>
          <w:color w:val="000000"/>
          <w:kern w:val="0"/>
          <w:szCs w:val="32"/>
          <w:shd w:val="clear" w:color="auto" w:fill="FFFFFF"/>
          <w:lang w:eastAsia="zh-CN"/>
        </w:rPr>
        <w:t>万元，执行数为</w:t>
      </w:r>
      <w:r>
        <w:rPr>
          <w:rFonts w:hint="eastAsia" w:ascii="方正仿宋_GBK" w:hAnsi="方正仿宋_GBK" w:eastAsia="方正仿宋_GBK" w:cs="方正仿宋_GBK"/>
          <w:color w:val="000000"/>
          <w:kern w:val="0"/>
          <w:szCs w:val="32"/>
          <w:shd w:val="clear" w:color="auto" w:fill="FFFFFF"/>
          <w:lang w:val="en-US" w:eastAsia="zh-CN"/>
        </w:rPr>
        <w:t>10</w:t>
      </w:r>
      <w:r>
        <w:rPr>
          <w:rFonts w:hint="eastAsia" w:ascii="方正仿宋_GBK" w:hAnsi="方正仿宋_GBK" w:eastAsia="方正仿宋_GBK" w:cs="方正仿宋_GBK"/>
          <w:color w:val="000000"/>
          <w:kern w:val="0"/>
          <w:szCs w:val="32"/>
          <w:shd w:val="clear" w:color="auto" w:fill="FFFFFF"/>
          <w:lang w:eastAsia="zh-CN"/>
        </w:rPr>
        <w:t>万元，完成预算的</w:t>
      </w:r>
      <w:r>
        <w:rPr>
          <w:rFonts w:hint="eastAsia" w:ascii="方正仿宋_GBK" w:hAnsi="方正仿宋_GBK" w:eastAsia="方正仿宋_GBK" w:cs="方正仿宋_GBK"/>
          <w:color w:val="000000"/>
          <w:kern w:val="0"/>
          <w:szCs w:val="32"/>
          <w:shd w:val="clear" w:color="auto" w:fill="FFFFFF"/>
          <w:lang w:val="en-US" w:eastAsia="zh-CN"/>
        </w:rPr>
        <w:t>10.31</w:t>
      </w:r>
      <w:r>
        <w:rPr>
          <w:rFonts w:hint="eastAsia" w:ascii="方正仿宋_GBK" w:hAnsi="方正仿宋_GBK" w:eastAsia="方正仿宋_GBK" w:cs="方正仿宋_GBK"/>
          <w:color w:val="000000"/>
          <w:kern w:val="0"/>
          <w:szCs w:val="32"/>
          <w:shd w:val="clear" w:color="auto" w:fill="FFFFFF"/>
          <w:lang w:eastAsia="zh-CN"/>
        </w:rPr>
        <w:t>%，该项目未完成的主要原因是因前期将清单制管理系统与安全生产综合监管平台融合，经过调研、论证、协调会等方式对安全生产综合监管平台相关内容确定，目前该项目正在进行招标工作。</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eastAsia="zh-CN"/>
        </w:rPr>
      </w:pPr>
      <w:r>
        <w:rPr>
          <w:rFonts w:hint="eastAsia" w:ascii="方正仿宋_GBK" w:hAnsi="方正仿宋_GBK" w:eastAsia="方正仿宋_GBK" w:cs="方正仿宋_GBK"/>
          <w:color w:val="000000"/>
          <w:kern w:val="0"/>
          <w:szCs w:val="32"/>
          <w:shd w:val="clear" w:color="auto" w:fill="FFFFFF"/>
          <w:lang w:eastAsia="zh-CN"/>
        </w:rPr>
        <w:t>（</w:t>
      </w:r>
      <w:r>
        <w:rPr>
          <w:rFonts w:hint="eastAsia" w:ascii="方正仿宋_GBK" w:hAnsi="方正仿宋_GBK" w:eastAsia="方正仿宋_GBK" w:cs="方正仿宋_GBK"/>
          <w:color w:val="000000"/>
          <w:kern w:val="0"/>
          <w:szCs w:val="32"/>
          <w:shd w:val="clear" w:color="auto" w:fill="FFFFFF"/>
          <w:lang w:val="en-US" w:eastAsia="zh-CN"/>
        </w:rPr>
        <w:t>13</w:t>
      </w:r>
      <w:r>
        <w:rPr>
          <w:rFonts w:hint="eastAsia" w:ascii="方正仿宋_GBK" w:hAnsi="方正仿宋_GBK" w:eastAsia="方正仿宋_GBK" w:cs="方正仿宋_GBK"/>
          <w:color w:val="000000"/>
          <w:kern w:val="0"/>
          <w:szCs w:val="32"/>
          <w:shd w:val="clear" w:color="auto" w:fill="FFFFFF"/>
          <w:lang w:eastAsia="zh-CN"/>
        </w:rPr>
        <w:t>）51160022T000006055342-中省抗洪抢险资金。</w:t>
      </w:r>
      <w:r>
        <w:rPr>
          <w:rFonts w:hint="eastAsia" w:ascii="方正仿宋_GBK" w:hAnsi="方正仿宋_GBK" w:eastAsia="方正仿宋_GBK" w:cs="方正仿宋_GBK"/>
          <w:color w:val="000000"/>
          <w:kern w:val="0"/>
          <w:szCs w:val="32"/>
          <w:shd w:val="clear" w:color="auto" w:fill="FFFFFF"/>
          <w:lang w:val="en-US" w:eastAsia="zh-CN"/>
        </w:rPr>
        <w:t>2022年</w:t>
      </w:r>
      <w:r>
        <w:rPr>
          <w:rFonts w:hint="eastAsia" w:ascii="方正仿宋_GBK" w:hAnsi="方正仿宋_GBK" w:eastAsia="方正仿宋_GBK" w:cs="方正仿宋_GBK"/>
          <w:color w:val="000000"/>
          <w:kern w:val="0"/>
          <w:szCs w:val="32"/>
          <w:shd w:val="clear" w:color="auto" w:fill="FFFFFF"/>
          <w:lang w:eastAsia="zh-CN"/>
        </w:rPr>
        <w:t>分两批采购，第一批防汛物资已支付53.39万元，剩余质保金3.41万元待质保期满后予以支付；第二批采购防汛物资应使用23.2万元，未支付。项目全年预算数</w:t>
      </w:r>
      <w:r>
        <w:rPr>
          <w:rFonts w:hint="eastAsia" w:ascii="方正仿宋_GBK" w:hAnsi="方正仿宋_GBK" w:eastAsia="方正仿宋_GBK" w:cs="方正仿宋_GBK"/>
          <w:color w:val="000000"/>
          <w:kern w:val="0"/>
          <w:szCs w:val="32"/>
          <w:shd w:val="clear" w:color="auto" w:fill="FFFFFF"/>
          <w:lang w:val="en-US" w:eastAsia="zh-CN"/>
        </w:rPr>
        <w:t>80</w:t>
      </w:r>
      <w:r>
        <w:rPr>
          <w:rFonts w:hint="eastAsia" w:ascii="方正仿宋_GBK" w:hAnsi="方正仿宋_GBK" w:eastAsia="方正仿宋_GBK" w:cs="方正仿宋_GBK"/>
          <w:color w:val="000000"/>
          <w:kern w:val="0"/>
          <w:szCs w:val="32"/>
          <w:shd w:val="clear" w:color="auto" w:fill="FFFFFF"/>
          <w:lang w:eastAsia="zh-CN"/>
        </w:rPr>
        <w:t>万元，执行数为</w:t>
      </w:r>
      <w:r>
        <w:rPr>
          <w:rFonts w:hint="eastAsia" w:ascii="方正仿宋_GBK" w:hAnsi="方正仿宋_GBK" w:eastAsia="方正仿宋_GBK" w:cs="方正仿宋_GBK"/>
          <w:color w:val="000000"/>
          <w:kern w:val="0"/>
          <w:szCs w:val="32"/>
          <w:shd w:val="clear" w:color="auto" w:fill="FFFFFF"/>
          <w:lang w:val="en-US" w:eastAsia="zh-CN"/>
        </w:rPr>
        <w:t>53.39</w:t>
      </w:r>
      <w:r>
        <w:rPr>
          <w:rFonts w:hint="eastAsia" w:ascii="方正仿宋_GBK" w:hAnsi="方正仿宋_GBK" w:eastAsia="方正仿宋_GBK" w:cs="方正仿宋_GBK"/>
          <w:color w:val="000000"/>
          <w:kern w:val="0"/>
          <w:szCs w:val="32"/>
          <w:shd w:val="clear" w:color="auto" w:fill="FFFFFF"/>
          <w:lang w:eastAsia="zh-CN"/>
        </w:rPr>
        <w:t>万元，完成预算的</w:t>
      </w:r>
      <w:r>
        <w:rPr>
          <w:rFonts w:hint="eastAsia" w:ascii="方正仿宋_GBK" w:hAnsi="方正仿宋_GBK" w:eastAsia="方正仿宋_GBK" w:cs="方正仿宋_GBK"/>
          <w:color w:val="000000"/>
          <w:kern w:val="0"/>
          <w:szCs w:val="32"/>
          <w:shd w:val="clear" w:color="auto" w:fill="FFFFFF"/>
          <w:lang w:val="en-US" w:eastAsia="zh-CN"/>
        </w:rPr>
        <w:t>66.74</w:t>
      </w:r>
      <w:r>
        <w:rPr>
          <w:rFonts w:hint="eastAsia" w:ascii="方正仿宋_GBK" w:hAnsi="方正仿宋_GBK" w:eastAsia="方正仿宋_GBK" w:cs="方正仿宋_GBK"/>
          <w:color w:val="000000"/>
          <w:kern w:val="0"/>
          <w:szCs w:val="32"/>
          <w:shd w:val="clear" w:color="auto" w:fill="FFFFFF"/>
          <w:lang w:eastAsia="zh-CN"/>
        </w:rPr>
        <w:t>%，该项目完成了全年项目目标任务，提升了我市防汛减灾能力。</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eastAsia="zh-CN"/>
        </w:rPr>
      </w:pPr>
      <w:r>
        <w:rPr>
          <w:rFonts w:hint="eastAsia" w:ascii="方正仿宋_GBK" w:hAnsi="方正仿宋_GBK" w:eastAsia="方正仿宋_GBK" w:cs="方正仿宋_GBK"/>
          <w:color w:val="000000"/>
          <w:kern w:val="0"/>
          <w:szCs w:val="32"/>
          <w:shd w:val="clear" w:color="auto" w:fill="FFFFFF"/>
          <w:lang w:eastAsia="zh-CN"/>
        </w:rPr>
        <w:t>（</w:t>
      </w:r>
      <w:r>
        <w:rPr>
          <w:rFonts w:hint="eastAsia" w:ascii="方正仿宋_GBK" w:hAnsi="方正仿宋_GBK" w:eastAsia="方正仿宋_GBK" w:cs="方正仿宋_GBK"/>
          <w:color w:val="000000"/>
          <w:kern w:val="0"/>
          <w:szCs w:val="32"/>
          <w:shd w:val="clear" w:color="auto" w:fill="FFFFFF"/>
          <w:lang w:val="en-US" w:eastAsia="zh-CN"/>
        </w:rPr>
        <w:t>14</w:t>
      </w:r>
      <w:r>
        <w:rPr>
          <w:rFonts w:hint="eastAsia" w:ascii="方正仿宋_GBK" w:hAnsi="方正仿宋_GBK" w:eastAsia="方正仿宋_GBK" w:cs="方正仿宋_GBK"/>
          <w:color w:val="000000"/>
          <w:kern w:val="0"/>
          <w:szCs w:val="32"/>
          <w:shd w:val="clear" w:color="auto" w:fill="FFFFFF"/>
          <w:lang w:eastAsia="zh-CN"/>
        </w:rPr>
        <w:t>）51160022T000006055402-安全生产目标管理奖励资金。补充安全生产监管工作经费，弥补安全生产监管资金不足的问题。项目全年预算数</w:t>
      </w:r>
      <w:r>
        <w:rPr>
          <w:rFonts w:hint="eastAsia" w:ascii="方正仿宋_GBK" w:hAnsi="方正仿宋_GBK" w:eastAsia="方正仿宋_GBK" w:cs="方正仿宋_GBK"/>
          <w:color w:val="000000"/>
          <w:kern w:val="0"/>
          <w:szCs w:val="32"/>
          <w:shd w:val="clear" w:color="auto" w:fill="FFFFFF"/>
          <w:lang w:val="en-US" w:eastAsia="zh-CN"/>
        </w:rPr>
        <w:t>10</w:t>
      </w:r>
      <w:r>
        <w:rPr>
          <w:rFonts w:hint="eastAsia" w:ascii="方正仿宋_GBK" w:hAnsi="方正仿宋_GBK" w:eastAsia="方正仿宋_GBK" w:cs="方正仿宋_GBK"/>
          <w:color w:val="000000"/>
          <w:kern w:val="0"/>
          <w:szCs w:val="32"/>
          <w:shd w:val="clear" w:color="auto" w:fill="FFFFFF"/>
          <w:lang w:eastAsia="zh-CN"/>
        </w:rPr>
        <w:t>万元，执行数为</w:t>
      </w:r>
      <w:r>
        <w:rPr>
          <w:rFonts w:hint="eastAsia" w:ascii="方正仿宋_GBK" w:hAnsi="方正仿宋_GBK" w:eastAsia="方正仿宋_GBK" w:cs="方正仿宋_GBK"/>
          <w:color w:val="000000"/>
          <w:kern w:val="0"/>
          <w:szCs w:val="32"/>
          <w:shd w:val="clear" w:color="auto" w:fill="FFFFFF"/>
          <w:lang w:val="en-US" w:eastAsia="zh-CN"/>
        </w:rPr>
        <w:t>10</w:t>
      </w:r>
      <w:r>
        <w:rPr>
          <w:rFonts w:hint="eastAsia" w:ascii="方正仿宋_GBK" w:hAnsi="方正仿宋_GBK" w:eastAsia="方正仿宋_GBK" w:cs="方正仿宋_GBK"/>
          <w:color w:val="000000"/>
          <w:kern w:val="0"/>
          <w:szCs w:val="32"/>
          <w:shd w:val="clear" w:color="auto" w:fill="FFFFFF"/>
          <w:lang w:eastAsia="zh-CN"/>
        </w:rPr>
        <w:t>万元，完成预算的</w:t>
      </w:r>
      <w:r>
        <w:rPr>
          <w:rFonts w:hint="eastAsia" w:ascii="方正仿宋_GBK" w:hAnsi="方正仿宋_GBK" w:eastAsia="方正仿宋_GBK" w:cs="方正仿宋_GBK"/>
          <w:color w:val="000000"/>
          <w:kern w:val="0"/>
          <w:szCs w:val="32"/>
          <w:shd w:val="clear" w:color="auto" w:fill="FFFFFF"/>
          <w:lang w:val="en-US" w:eastAsia="zh-CN"/>
        </w:rPr>
        <w:t>100</w:t>
      </w:r>
      <w:r>
        <w:rPr>
          <w:rFonts w:hint="eastAsia" w:ascii="方正仿宋_GBK" w:hAnsi="方正仿宋_GBK" w:eastAsia="方正仿宋_GBK" w:cs="方正仿宋_GBK"/>
          <w:color w:val="000000"/>
          <w:kern w:val="0"/>
          <w:szCs w:val="32"/>
          <w:shd w:val="clear" w:color="auto" w:fill="FFFFFF"/>
          <w:lang w:eastAsia="zh-CN"/>
        </w:rPr>
        <w:t>%，该项目有效弥补安全生产监管资金不足的问题。</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eastAsia="zh-CN"/>
        </w:rPr>
      </w:pPr>
      <w:r>
        <w:rPr>
          <w:rFonts w:hint="eastAsia" w:ascii="方正仿宋_GBK" w:hAnsi="方正仿宋_GBK" w:eastAsia="方正仿宋_GBK" w:cs="方正仿宋_GBK"/>
          <w:color w:val="000000"/>
          <w:kern w:val="0"/>
          <w:szCs w:val="32"/>
          <w:shd w:val="clear" w:color="auto" w:fill="FFFFFF"/>
          <w:lang w:eastAsia="zh-CN"/>
        </w:rPr>
        <w:t>（</w:t>
      </w:r>
      <w:r>
        <w:rPr>
          <w:rFonts w:hint="eastAsia" w:ascii="方正仿宋_GBK" w:hAnsi="方正仿宋_GBK" w:eastAsia="方正仿宋_GBK" w:cs="方正仿宋_GBK"/>
          <w:color w:val="000000"/>
          <w:kern w:val="0"/>
          <w:szCs w:val="32"/>
          <w:shd w:val="clear" w:color="auto" w:fill="FFFFFF"/>
          <w:lang w:val="en-US" w:eastAsia="zh-CN"/>
        </w:rPr>
        <w:t>15</w:t>
      </w:r>
      <w:r>
        <w:rPr>
          <w:rFonts w:hint="eastAsia" w:ascii="方正仿宋_GBK" w:hAnsi="方正仿宋_GBK" w:eastAsia="方正仿宋_GBK" w:cs="方正仿宋_GBK"/>
          <w:color w:val="000000"/>
          <w:kern w:val="0"/>
          <w:szCs w:val="32"/>
          <w:shd w:val="clear" w:color="auto" w:fill="FFFFFF"/>
          <w:lang w:eastAsia="zh-CN"/>
        </w:rPr>
        <w:t>）51160022T000006208492-招商引资奖补资金。</w:t>
      </w:r>
      <w:r>
        <w:rPr>
          <w:rFonts w:hint="eastAsia" w:ascii="方正仿宋_GBK" w:hAnsi="方正仿宋_GBK" w:eastAsia="方正仿宋_GBK" w:cs="方正仿宋_GBK"/>
          <w:color w:val="000000"/>
          <w:kern w:val="0"/>
          <w:szCs w:val="32"/>
          <w:shd w:val="clear" w:color="auto" w:fill="FFFFFF"/>
          <w:lang w:val="en-US" w:eastAsia="zh-CN"/>
        </w:rPr>
        <w:t>2022年，我局对重大招商引资项目引进、主导产业发展做出重大贡献。</w:t>
      </w:r>
      <w:r>
        <w:rPr>
          <w:rFonts w:hint="eastAsia" w:ascii="方正仿宋_GBK" w:hAnsi="方正仿宋_GBK" w:eastAsia="方正仿宋_GBK" w:cs="方正仿宋_GBK"/>
          <w:color w:val="000000"/>
          <w:kern w:val="0"/>
          <w:szCs w:val="32"/>
          <w:shd w:val="clear" w:color="auto" w:fill="FFFFFF"/>
          <w:lang w:eastAsia="zh-CN"/>
        </w:rPr>
        <w:t>项目全年预算数</w:t>
      </w:r>
      <w:r>
        <w:rPr>
          <w:rFonts w:hint="eastAsia" w:ascii="方正仿宋_GBK" w:hAnsi="方正仿宋_GBK" w:eastAsia="方正仿宋_GBK" w:cs="方正仿宋_GBK"/>
          <w:color w:val="000000"/>
          <w:kern w:val="0"/>
          <w:szCs w:val="32"/>
          <w:shd w:val="clear" w:color="auto" w:fill="FFFFFF"/>
          <w:lang w:val="en-US" w:eastAsia="zh-CN"/>
        </w:rPr>
        <w:t>10</w:t>
      </w:r>
      <w:r>
        <w:rPr>
          <w:rFonts w:hint="eastAsia" w:ascii="方正仿宋_GBK" w:hAnsi="方正仿宋_GBK" w:eastAsia="方正仿宋_GBK" w:cs="方正仿宋_GBK"/>
          <w:color w:val="000000"/>
          <w:kern w:val="0"/>
          <w:szCs w:val="32"/>
          <w:shd w:val="clear" w:color="auto" w:fill="FFFFFF"/>
          <w:lang w:eastAsia="zh-CN"/>
        </w:rPr>
        <w:t>万元，执行数为</w:t>
      </w:r>
      <w:r>
        <w:rPr>
          <w:rFonts w:hint="eastAsia" w:ascii="方正仿宋_GBK" w:hAnsi="方正仿宋_GBK" w:eastAsia="方正仿宋_GBK" w:cs="方正仿宋_GBK"/>
          <w:color w:val="000000"/>
          <w:kern w:val="0"/>
          <w:szCs w:val="32"/>
          <w:shd w:val="clear" w:color="auto" w:fill="FFFFFF"/>
          <w:lang w:val="en-US" w:eastAsia="zh-CN"/>
        </w:rPr>
        <w:t>10</w:t>
      </w:r>
      <w:r>
        <w:rPr>
          <w:rFonts w:hint="eastAsia" w:ascii="方正仿宋_GBK" w:hAnsi="方正仿宋_GBK" w:eastAsia="方正仿宋_GBK" w:cs="方正仿宋_GBK"/>
          <w:color w:val="000000"/>
          <w:kern w:val="0"/>
          <w:szCs w:val="32"/>
          <w:shd w:val="clear" w:color="auto" w:fill="FFFFFF"/>
          <w:lang w:eastAsia="zh-CN"/>
        </w:rPr>
        <w:t>万元，完成预算的</w:t>
      </w:r>
      <w:r>
        <w:rPr>
          <w:rFonts w:hint="eastAsia" w:ascii="方正仿宋_GBK" w:hAnsi="方正仿宋_GBK" w:eastAsia="方正仿宋_GBK" w:cs="方正仿宋_GBK"/>
          <w:color w:val="000000"/>
          <w:kern w:val="0"/>
          <w:szCs w:val="32"/>
          <w:shd w:val="clear" w:color="auto" w:fill="FFFFFF"/>
          <w:lang w:val="en-US" w:eastAsia="zh-CN"/>
        </w:rPr>
        <w:t>100</w:t>
      </w:r>
      <w:r>
        <w:rPr>
          <w:rFonts w:hint="eastAsia" w:ascii="方正仿宋_GBK" w:hAnsi="方正仿宋_GBK" w:eastAsia="方正仿宋_GBK" w:cs="方正仿宋_GBK"/>
          <w:color w:val="000000"/>
          <w:kern w:val="0"/>
          <w:szCs w:val="32"/>
          <w:shd w:val="clear" w:color="auto" w:fill="FFFFFF"/>
          <w:lang w:eastAsia="zh-CN"/>
        </w:rPr>
        <w:t>%，该项目对重大招商引资项目引进、主导产业发展做出重大贡献。</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eastAsia="zh-CN"/>
        </w:rPr>
      </w:pPr>
      <w:r>
        <w:rPr>
          <w:rFonts w:hint="eastAsia" w:ascii="方正仿宋_GBK" w:hAnsi="方正仿宋_GBK" w:eastAsia="方正仿宋_GBK" w:cs="方正仿宋_GBK"/>
          <w:color w:val="000000"/>
          <w:kern w:val="0"/>
          <w:szCs w:val="32"/>
          <w:shd w:val="clear" w:color="auto" w:fill="FFFFFF"/>
          <w:lang w:eastAsia="zh-CN"/>
        </w:rPr>
        <w:t>（</w:t>
      </w:r>
      <w:r>
        <w:rPr>
          <w:rFonts w:hint="eastAsia" w:ascii="方正仿宋_GBK" w:hAnsi="方正仿宋_GBK" w:eastAsia="方正仿宋_GBK" w:cs="方正仿宋_GBK"/>
          <w:color w:val="000000"/>
          <w:kern w:val="0"/>
          <w:szCs w:val="32"/>
          <w:shd w:val="clear" w:color="auto" w:fill="FFFFFF"/>
          <w:lang w:val="en-US" w:eastAsia="zh-CN"/>
        </w:rPr>
        <w:t>16</w:t>
      </w:r>
      <w:r>
        <w:rPr>
          <w:rFonts w:hint="eastAsia" w:ascii="方正仿宋_GBK" w:hAnsi="方正仿宋_GBK" w:eastAsia="方正仿宋_GBK" w:cs="方正仿宋_GBK"/>
          <w:color w:val="000000"/>
          <w:kern w:val="0"/>
          <w:szCs w:val="32"/>
          <w:shd w:val="clear" w:color="auto" w:fill="FFFFFF"/>
          <w:lang w:eastAsia="zh-CN"/>
        </w:rPr>
        <w:t>）51160022T000006693405-综合行政执法制式服装及标志经费。2022年共采购55套综合行政执法制式服装。项目全年预算数</w:t>
      </w:r>
      <w:r>
        <w:rPr>
          <w:rFonts w:hint="eastAsia" w:ascii="方正仿宋_GBK" w:hAnsi="方正仿宋_GBK" w:eastAsia="方正仿宋_GBK" w:cs="方正仿宋_GBK"/>
          <w:color w:val="000000"/>
          <w:kern w:val="0"/>
          <w:szCs w:val="32"/>
          <w:shd w:val="clear" w:color="auto" w:fill="FFFFFF"/>
          <w:lang w:val="en-US" w:eastAsia="zh-CN"/>
        </w:rPr>
        <w:t>20.10</w:t>
      </w:r>
      <w:r>
        <w:rPr>
          <w:rFonts w:hint="eastAsia" w:ascii="方正仿宋_GBK" w:hAnsi="方正仿宋_GBK" w:eastAsia="方正仿宋_GBK" w:cs="方正仿宋_GBK"/>
          <w:color w:val="000000"/>
          <w:kern w:val="0"/>
          <w:szCs w:val="32"/>
          <w:shd w:val="clear" w:color="auto" w:fill="FFFFFF"/>
          <w:lang w:eastAsia="zh-CN"/>
        </w:rPr>
        <w:t>万元，执行数为</w:t>
      </w:r>
      <w:r>
        <w:rPr>
          <w:rFonts w:hint="eastAsia" w:ascii="方正仿宋_GBK" w:hAnsi="方正仿宋_GBK" w:eastAsia="方正仿宋_GBK" w:cs="方正仿宋_GBK"/>
          <w:color w:val="000000"/>
          <w:kern w:val="0"/>
          <w:szCs w:val="32"/>
          <w:shd w:val="clear" w:color="auto" w:fill="FFFFFF"/>
          <w:lang w:val="en-US" w:eastAsia="zh-CN"/>
        </w:rPr>
        <w:t>20.10</w:t>
      </w:r>
      <w:r>
        <w:rPr>
          <w:rFonts w:hint="eastAsia" w:ascii="方正仿宋_GBK" w:hAnsi="方正仿宋_GBK" w:eastAsia="方正仿宋_GBK" w:cs="方正仿宋_GBK"/>
          <w:color w:val="000000"/>
          <w:kern w:val="0"/>
          <w:szCs w:val="32"/>
          <w:shd w:val="clear" w:color="auto" w:fill="FFFFFF"/>
          <w:lang w:eastAsia="zh-CN"/>
        </w:rPr>
        <w:t>万元，完成预算的</w:t>
      </w:r>
      <w:r>
        <w:rPr>
          <w:rFonts w:hint="eastAsia" w:ascii="方正仿宋_GBK" w:hAnsi="方正仿宋_GBK" w:eastAsia="方正仿宋_GBK" w:cs="方正仿宋_GBK"/>
          <w:color w:val="000000"/>
          <w:kern w:val="0"/>
          <w:szCs w:val="32"/>
          <w:shd w:val="clear" w:color="auto" w:fill="FFFFFF"/>
          <w:lang w:val="en-US" w:eastAsia="zh-CN"/>
        </w:rPr>
        <w:t>100</w:t>
      </w:r>
      <w:r>
        <w:rPr>
          <w:rFonts w:hint="eastAsia" w:ascii="方正仿宋_GBK" w:hAnsi="方正仿宋_GBK" w:eastAsia="方正仿宋_GBK" w:cs="方正仿宋_GBK"/>
          <w:color w:val="000000"/>
          <w:kern w:val="0"/>
          <w:szCs w:val="32"/>
          <w:shd w:val="clear" w:color="auto" w:fill="FFFFFF"/>
          <w:lang w:eastAsia="zh-CN"/>
        </w:rPr>
        <w:t>%，该项目采购了综合行政执法制式服装，标志着我们规范执法步入新台阶，为执法奠定了有力基础。</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eastAsia="zh-CN"/>
        </w:rPr>
      </w:pPr>
      <w:r>
        <w:rPr>
          <w:rFonts w:hint="eastAsia" w:ascii="方正仿宋_GBK" w:hAnsi="方正仿宋_GBK" w:eastAsia="方正仿宋_GBK" w:cs="方正仿宋_GBK"/>
          <w:color w:val="000000"/>
          <w:kern w:val="0"/>
          <w:szCs w:val="32"/>
          <w:shd w:val="clear" w:color="auto" w:fill="FFFFFF"/>
          <w:lang w:eastAsia="zh-CN"/>
        </w:rPr>
        <w:t>（</w:t>
      </w:r>
      <w:r>
        <w:rPr>
          <w:rFonts w:hint="eastAsia" w:ascii="方正仿宋_GBK" w:hAnsi="方正仿宋_GBK" w:eastAsia="方正仿宋_GBK" w:cs="方正仿宋_GBK"/>
          <w:color w:val="000000"/>
          <w:kern w:val="0"/>
          <w:szCs w:val="32"/>
          <w:shd w:val="clear" w:color="auto" w:fill="FFFFFF"/>
          <w:lang w:val="en-US" w:eastAsia="zh-CN"/>
        </w:rPr>
        <w:t>17</w:t>
      </w:r>
      <w:r>
        <w:rPr>
          <w:rFonts w:hint="eastAsia" w:ascii="方正仿宋_GBK" w:hAnsi="方正仿宋_GBK" w:eastAsia="方正仿宋_GBK" w:cs="方正仿宋_GBK"/>
          <w:color w:val="000000"/>
          <w:kern w:val="0"/>
          <w:szCs w:val="32"/>
          <w:shd w:val="clear" w:color="auto" w:fill="FFFFFF"/>
          <w:lang w:eastAsia="zh-CN"/>
        </w:rPr>
        <w:t>）51160023T000007656324-中央自然灾害救灾资金。2022年解决城乡居民用水困难，购买、租赁应急储水、净水、供水设备，组织人员保障城乡居民生活用水等任务已完成。项目全年预算数</w:t>
      </w:r>
      <w:r>
        <w:rPr>
          <w:rFonts w:hint="eastAsia" w:ascii="方正仿宋_GBK" w:hAnsi="方正仿宋_GBK" w:eastAsia="方正仿宋_GBK" w:cs="方正仿宋_GBK"/>
          <w:color w:val="000000"/>
          <w:kern w:val="0"/>
          <w:szCs w:val="32"/>
          <w:shd w:val="clear" w:color="auto" w:fill="FFFFFF"/>
          <w:lang w:val="en-US" w:eastAsia="zh-CN"/>
        </w:rPr>
        <w:t>80</w:t>
      </w:r>
      <w:r>
        <w:rPr>
          <w:rFonts w:hint="eastAsia" w:ascii="方正仿宋_GBK" w:hAnsi="方正仿宋_GBK" w:eastAsia="方正仿宋_GBK" w:cs="方正仿宋_GBK"/>
          <w:color w:val="000000"/>
          <w:kern w:val="0"/>
          <w:szCs w:val="32"/>
          <w:shd w:val="clear" w:color="auto" w:fill="FFFFFF"/>
          <w:lang w:eastAsia="zh-CN"/>
        </w:rPr>
        <w:t>万元，执行数为</w:t>
      </w:r>
      <w:r>
        <w:rPr>
          <w:rFonts w:hint="eastAsia" w:ascii="方正仿宋_GBK" w:hAnsi="方正仿宋_GBK" w:eastAsia="方正仿宋_GBK" w:cs="方正仿宋_GBK"/>
          <w:color w:val="000000"/>
          <w:kern w:val="0"/>
          <w:szCs w:val="32"/>
          <w:shd w:val="clear" w:color="auto" w:fill="FFFFFF"/>
          <w:lang w:val="en-US" w:eastAsia="zh-CN"/>
        </w:rPr>
        <w:t>0</w:t>
      </w:r>
      <w:r>
        <w:rPr>
          <w:rFonts w:hint="eastAsia" w:ascii="方正仿宋_GBK" w:hAnsi="方正仿宋_GBK" w:eastAsia="方正仿宋_GBK" w:cs="方正仿宋_GBK"/>
          <w:color w:val="000000"/>
          <w:kern w:val="0"/>
          <w:szCs w:val="32"/>
          <w:shd w:val="clear" w:color="auto" w:fill="FFFFFF"/>
          <w:lang w:eastAsia="zh-CN"/>
        </w:rPr>
        <w:t>万元，完成预算的</w:t>
      </w:r>
      <w:r>
        <w:rPr>
          <w:rFonts w:hint="eastAsia" w:ascii="方正仿宋_GBK" w:hAnsi="方正仿宋_GBK" w:eastAsia="方正仿宋_GBK" w:cs="方正仿宋_GBK"/>
          <w:color w:val="000000"/>
          <w:kern w:val="0"/>
          <w:szCs w:val="32"/>
          <w:shd w:val="clear" w:color="auto" w:fill="FFFFFF"/>
          <w:lang w:val="en-US" w:eastAsia="zh-CN"/>
        </w:rPr>
        <w:t>0</w:t>
      </w:r>
      <w:r>
        <w:rPr>
          <w:rFonts w:hint="eastAsia" w:ascii="方正仿宋_GBK" w:hAnsi="方正仿宋_GBK" w:eastAsia="方正仿宋_GBK" w:cs="方正仿宋_GBK"/>
          <w:color w:val="000000"/>
          <w:kern w:val="0"/>
          <w:szCs w:val="32"/>
          <w:shd w:val="clear" w:color="auto" w:fill="FFFFFF"/>
          <w:lang w:eastAsia="zh-CN"/>
        </w:rPr>
        <w:t>%，该项目由于中央资金下达较晚，无法完成支付。</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eastAsia="zh-CN"/>
        </w:rPr>
      </w:pPr>
      <w:r>
        <w:rPr>
          <w:rFonts w:hint="eastAsia" w:ascii="方正仿宋_GBK" w:hAnsi="方正仿宋_GBK" w:eastAsia="方正仿宋_GBK" w:cs="方正仿宋_GBK"/>
          <w:color w:val="000000"/>
          <w:kern w:val="0"/>
          <w:szCs w:val="32"/>
          <w:shd w:val="clear" w:color="auto" w:fill="FFFFFF"/>
          <w:lang w:eastAsia="zh-CN"/>
        </w:rPr>
        <w:t>（</w:t>
      </w:r>
      <w:r>
        <w:rPr>
          <w:rFonts w:hint="eastAsia" w:ascii="方正仿宋_GBK" w:hAnsi="方正仿宋_GBK" w:eastAsia="方正仿宋_GBK" w:cs="方正仿宋_GBK"/>
          <w:color w:val="000000"/>
          <w:kern w:val="0"/>
          <w:szCs w:val="32"/>
          <w:shd w:val="clear" w:color="auto" w:fill="FFFFFF"/>
          <w:lang w:val="en-US" w:eastAsia="zh-CN"/>
        </w:rPr>
        <w:t>18</w:t>
      </w:r>
      <w:r>
        <w:rPr>
          <w:rFonts w:hint="eastAsia" w:ascii="方正仿宋_GBK" w:hAnsi="方正仿宋_GBK" w:eastAsia="方正仿宋_GBK" w:cs="方正仿宋_GBK"/>
          <w:color w:val="000000"/>
          <w:kern w:val="0"/>
          <w:szCs w:val="32"/>
          <w:shd w:val="clear" w:color="auto" w:fill="FFFFFF"/>
          <w:lang w:eastAsia="zh-CN"/>
        </w:rPr>
        <w:t>）51160023T000008113248-安委会巡查专项工作经费。通过省安委会巡查摸清近2年全市安全生产情况，巡查检查反馈问题 431 个,完成整改 431 个。项目全年预算数</w:t>
      </w:r>
      <w:r>
        <w:rPr>
          <w:rFonts w:hint="eastAsia" w:ascii="方正仿宋_GBK" w:hAnsi="方正仿宋_GBK" w:eastAsia="方正仿宋_GBK" w:cs="方正仿宋_GBK"/>
          <w:color w:val="000000"/>
          <w:kern w:val="0"/>
          <w:szCs w:val="32"/>
          <w:shd w:val="clear" w:color="auto" w:fill="FFFFFF"/>
          <w:lang w:val="en-US" w:eastAsia="zh-CN"/>
        </w:rPr>
        <w:t>9.82</w:t>
      </w:r>
      <w:r>
        <w:rPr>
          <w:rFonts w:hint="eastAsia" w:ascii="方正仿宋_GBK" w:hAnsi="方正仿宋_GBK" w:eastAsia="方正仿宋_GBK" w:cs="方正仿宋_GBK"/>
          <w:color w:val="000000"/>
          <w:kern w:val="0"/>
          <w:szCs w:val="32"/>
          <w:shd w:val="clear" w:color="auto" w:fill="FFFFFF"/>
          <w:lang w:eastAsia="zh-CN"/>
        </w:rPr>
        <w:t>万元，执行数为</w:t>
      </w:r>
      <w:r>
        <w:rPr>
          <w:rFonts w:hint="eastAsia" w:ascii="方正仿宋_GBK" w:hAnsi="方正仿宋_GBK" w:eastAsia="方正仿宋_GBK" w:cs="方正仿宋_GBK"/>
          <w:color w:val="000000"/>
          <w:kern w:val="0"/>
          <w:szCs w:val="32"/>
          <w:shd w:val="clear" w:color="auto" w:fill="FFFFFF"/>
          <w:lang w:val="en-US" w:eastAsia="zh-CN"/>
        </w:rPr>
        <w:t>9.82</w:t>
      </w:r>
      <w:r>
        <w:rPr>
          <w:rFonts w:hint="eastAsia" w:ascii="方正仿宋_GBK" w:hAnsi="方正仿宋_GBK" w:eastAsia="方正仿宋_GBK" w:cs="方正仿宋_GBK"/>
          <w:color w:val="000000"/>
          <w:kern w:val="0"/>
          <w:szCs w:val="32"/>
          <w:shd w:val="clear" w:color="auto" w:fill="FFFFFF"/>
          <w:lang w:eastAsia="zh-CN"/>
        </w:rPr>
        <w:t>万元，完成预算的</w:t>
      </w:r>
      <w:r>
        <w:rPr>
          <w:rFonts w:hint="eastAsia" w:ascii="方正仿宋_GBK" w:hAnsi="方正仿宋_GBK" w:eastAsia="方正仿宋_GBK" w:cs="方正仿宋_GBK"/>
          <w:color w:val="000000"/>
          <w:kern w:val="0"/>
          <w:szCs w:val="32"/>
          <w:shd w:val="clear" w:color="auto" w:fill="FFFFFF"/>
          <w:lang w:val="en-US" w:eastAsia="zh-CN"/>
        </w:rPr>
        <w:t>100</w:t>
      </w:r>
      <w:r>
        <w:rPr>
          <w:rFonts w:hint="eastAsia" w:ascii="方正仿宋_GBK" w:hAnsi="方正仿宋_GBK" w:eastAsia="方正仿宋_GBK" w:cs="方正仿宋_GBK"/>
          <w:color w:val="000000"/>
          <w:kern w:val="0"/>
          <w:szCs w:val="32"/>
          <w:shd w:val="clear" w:color="auto" w:fill="FFFFFF"/>
          <w:lang w:eastAsia="zh-CN"/>
        </w:rPr>
        <w:t>%，该项目扎实开展安全生产专项整治行动，聚焦重点行业、重点部位、重点时段，全面推进各项任务措施落实,全面管控安全风险,全面排查整治安全隐患,坚决防范遏制较大事故发生，确保全市安全生产形势稳定。</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eastAsia="zh-CN"/>
        </w:rPr>
      </w:pPr>
      <w:r>
        <w:rPr>
          <w:rFonts w:hint="eastAsia" w:ascii="方正仿宋_GBK" w:hAnsi="方正仿宋_GBK" w:eastAsia="方正仿宋_GBK" w:cs="方正仿宋_GBK"/>
          <w:color w:val="000000"/>
          <w:kern w:val="0"/>
          <w:szCs w:val="32"/>
          <w:shd w:val="clear" w:color="auto" w:fill="FFFFFF"/>
          <w:lang w:eastAsia="zh-CN"/>
        </w:rPr>
        <w:t>（</w:t>
      </w:r>
      <w:r>
        <w:rPr>
          <w:rFonts w:hint="eastAsia" w:ascii="方正仿宋_GBK" w:hAnsi="方正仿宋_GBK" w:eastAsia="方正仿宋_GBK" w:cs="方正仿宋_GBK"/>
          <w:color w:val="000000"/>
          <w:kern w:val="0"/>
          <w:szCs w:val="32"/>
          <w:shd w:val="clear" w:color="auto" w:fill="FFFFFF"/>
          <w:lang w:val="en-US" w:eastAsia="zh-CN"/>
        </w:rPr>
        <w:t>19</w:t>
      </w:r>
      <w:r>
        <w:rPr>
          <w:rFonts w:hint="eastAsia" w:ascii="方正仿宋_GBK" w:hAnsi="方正仿宋_GBK" w:eastAsia="方正仿宋_GBK" w:cs="方正仿宋_GBK"/>
          <w:color w:val="000000"/>
          <w:kern w:val="0"/>
          <w:szCs w:val="32"/>
          <w:shd w:val="clear" w:color="auto" w:fill="FFFFFF"/>
          <w:lang w:eastAsia="zh-CN"/>
        </w:rPr>
        <w:t>）51160023T000008578140-安全生产举报奖励资金。2022年度市应急管理局接受安全生产重大事故隐患举报事件1起，奖励0.2万元。项目全年预算数</w:t>
      </w:r>
      <w:r>
        <w:rPr>
          <w:rFonts w:hint="eastAsia" w:ascii="方正仿宋_GBK" w:hAnsi="方正仿宋_GBK" w:eastAsia="方正仿宋_GBK" w:cs="方正仿宋_GBK"/>
          <w:color w:val="000000"/>
          <w:kern w:val="0"/>
          <w:szCs w:val="32"/>
          <w:shd w:val="clear" w:color="auto" w:fill="FFFFFF"/>
          <w:lang w:val="en-US" w:eastAsia="zh-CN"/>
        </w:rPr>
        <w:t>0.2</w:t>
      </w:r>
      <w:r>
        <w:rPr>
          <w:rFonts w:hint="eastAsia" w:ascii="方正仿宋_GBK" w:hAnsi="方正仿宋_GBK" w:eastAsia="方正仿宋_GBK" w:cs="方正仿宋_GBK"/>
          <w:color w:val="000000"/>
          <w:kern w:val="0"/>
          <w:szCs w:val="32"/>
          <w:shd w:val="clear" w:color="auto" w:fill="FFFFFF"/>
          <w:lang w:eastAsia="zh-CN"/>
        </w:rPr>
        <w:t>万元，执行数为</w:t>
      </w:r>
      <w:r>
        <w:rPr>
          <w:rFonts w:hint="eastAsia" w:ascii="方正仿宋_GBK" w:hAnsi="方正仿宋_GBK" w:eastAsia="方正仿宋_GBK" w:cs="方正仿宋_GBK"/>
          <w:color w:val="000000"/>
          <w:kern w:val="0"/>
          <w:szCs w:val="32"/>
          <w:shd w:val="clear" w:color="auto" w:fill="FFFFFF"/>
          <w:lang w:val="en-US" w:eastAsia="zh-CN"/>
        </w:rPr>
        <w:t>0.2</w:t>
      </w:r>
      <w:r>
        <w:rPr>
          <w:rFonts w:hint="eastAsia" w:ascii="方正仿宋_GBK" w:hAnsi="方正仿宋_GBK" w:eastAsia="方正仿宋_GBK" w:cs="方正仿宋_GBK"/>
          <w:color w:val="000000"/>
          <w:kern w:val="0"/>
          <w:szCs w:val="32"/>
          <w:shd w:val="clear" w:color="auto" w:fill="FFFFFF"/>
          <w:lang w:eastAsia="zh-CN"/>
        </w:rPr>
        <w:t>万元，完成预算的</w:t>
      </w:r>
      <w:r>
        <w:rPr>
          <w:rFonts w:hint="eastAsia" w:ascii="方正仿宋_GBK" w:hAnsi="方正仿宋_GBK" w:eastAsia="方正仿宋_GBK" w:cs="方正仿宋_GBK"/>
          <w:color w:val="000000"/>
          <w:kern w:val="0"/>
          <w:szCs w:val="32"/>
          <w:shd w:val="clear" w:color="auto" w:fill="FFFFFF"/>
          <w:lang w:val="en-US" w:eastAsia="zh-CN"/>
        </w:rPr>
        <w:t>100</w:t>
      </w:r>
      <w:r>
        <w:rPr>
          <w:rFonts w:hint="eastAsia" w:ascii="方正仿宋_GBK" w:hAnsi="方正仿宋_GBK" w:eastAsia="方正仿宋_GBK" w:cs="方正仿宋_GBK"/>
          <w:color w:val="000000"/>
          <w:kern w:val="0"/>
          <w:szCs w:val="32"/>
          <w:shd w:val="clear" w:color="auto" w:fill="FFFFFF"/>
          <w:lang w:eastAsia="zh-CN"/>
        </w:rPr>
        <w:t>%，该项目建全安全生产领域的社会监督制度，鼓励举报重大事故隐患和安全生产违法行为，提升了职工群众参与、支持安全生产工作的积极性，激励广大群众“敢举报、愿举报”，使有奖举报成为新形势下安全生产工作的重要抓手，为全市安全发展作出更大贡献。</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eastAsia="zh-CN"/>
        </w:rPr>
      </w:pPr>
      <w:r>
        <w:rPr>
          <w:rFonts w:hint="eastAsia" w:ascii="方正仿宋_GBK" w:hAnsi="方正仿宋_GBK" w:eastAsia="方正仿宋_GBK" w:cs="方正仿宋_GBK"/>
          <w:color w:val="000000"/>
          <w:kern w:val="0"/>
          <w:szCs w:val="32"/>
          <w:shd w:val="clear" w:color="auto" w:fill="FFFFFF"/>
          <w:lang w:eastAsia="zh-CN"/>
        </w:rPr>
        <w:t>（</w:t>
      </w:r>
      <w:r>
        <w:rPr>
          <w:rFonts w:hint="eastAsia" w:ascii="方正仿宋_GBK" w:hAnsi="方正仿宋_GBK" w:eastAsia="方正仿宋_GBK" w:cs="方正仿宋_GBK"/>
          <w:color w:val="000000"/>
          <w:kern w:val="0"/>
          <w:szCs w:val="32"/>
          <w:shd w:val="clear" w:color="auto" w:fill="FFFFFF"/>
          <w:lang w:val="en-US" w:eastAsia="zh-CN"/>
        </w:rPr>
        <w:t>20</w:t>
      </w:r>
      <w:r>
        <w:rPr>
          <w:rFonts w:hint="eastAsia" w:ascii="方正仿宋_GBK" w:hAnsi="方正仿宋_GBK" w:eastAsia="方正仿宋_GBK" w:cs="方正仿宋_GBK"/>
          <w:color w:val="000000"/>
          <w:kern w:val="0"/>
          <w:szCs w:val="32"/>
          <w:shd w:val="clear" w:color="auto" w:fill="FFFFFF"/>
          <w:lang w:eastAsia="zh-CN"/>
        </w:rPr>
        <w:t>）51160023T000008625086-引进高层次人才和选调生住房与搬迁安置补助。2022年12月，财政局下达人才安家费后及时支付到选调生个人账户。项目全年预算数</w:t>
      </w:r>
      <w:r>
        <w:rPr>
          <w:rFonts w:hint="eastAsia" w:ascii="方正仿宋_GBK" w:hAnsi="方正仿宋_GBK" w:eastAsia="方正仿宋_GBK" w:cs="方正仿宋_GBK"/>
          <w:color w:val="000000"/>
          <w:kern w:val="0"/>
          <w:szCs w:val="32"/>
          <w:shd w:val="clear" w:color="auto" w:fill="FFFFFF"/>
          <w:lang w:val="en-US" w:eastAsia="zh-CN"/>
        </w:rPr>
        <w:t>2</w:t>
      </w:r>
      <w:r>
        <w:rPr>
          <w:rFonts w:hint="eastAsia" w:ascii="方正仿宋_GBK" w:hAnsi="方正仿宋_GBK" w:eastAsia="方正仿宋_GBK" w:cs="方正仿宋_GBK"/>
          <w:color w:val="000000"/>
          <w:kern w:val="0"/>
          <w:szCs w:val="32"/>
          <w:shd w:val="clear" w:color="auto" w:fill="FFFFFF"/>
          <w:lang w:eastAsia="zh-CN"/>
        </w:rPr>
        <w:t>万元，执行数为</w:t>
      </w:r>
      <w:r>
        <w:rPr>
          <w:rFonts w:hint="eastAsia" w:ascii="方正仿宋_GBK" w:hAnsi="方正仿宋_GBK" w:eastAsia="方正仿宋_GBK" w:cs="方正仿宋_GBK"/>
          <w:color w:val="000000"/>
          <w:kern w:val="0"/>
          <w:szCs w:val="32"/>
          <w:shd w:val="clear" w:color="auto" w:fill="FFFFFF"/>
          <w:lang w:val="en-US" w:eastAsia="zh-CN"/>
        </w:rPr>
        <w:t>2</w:t>
      </w:r>
      <w:r>
        <w:rPr>
          <w:rFonts w:hint="eastAsia" w:ascii="方正仿宋_GBK" w:hAnsi="方正仿宋_GBK" w:eastAsia="方正仿宋_GBK" w:cs="方正仿宋_GBK"/>
          <w:color w:val="000000"/>
          <w:kern w:val="0"/>
          <w:szCs w:val="32"/>
          <w:shd w:val="clear" w:color="auto" w:fill="FFFFFF"/>
          <w:lang w:eastAsia="zh-CN"/>
        </w:rPr>
        <w:t>万元，完成预算的</w:t>
      </w:r>
      <w:r>
        <w:rPr>
          <w:rFonts w:hint="eastAsia" w:ascii="方正仿宋_GBK" w:hAnsi="方正仿宋_GBK" w:eastAsia="方正仿宋_GBK" w:cs="方正仿宋_GBK"/>
          <w:color w:val="000000"/>
          <w:kern w:val="0"/>
          <w:szCs w:val="32"/>
          <w:shd w:val="clear" w:color="auto" w:fill="FFFFFF"/>
          <w:lang w:val="en-US" w:eastAsia="zh-CN"/>
        </w:rPr>
        <w:t>100</w:t>
      </w:r>
      <w:r>
        <w:rPr>
          <w:rFonts w:hint="eastAsia" w:ascii="方正仿宋_GBK" w:hAnsi="方正仿宋_GBK" w:eastAsia="方正仿宋_GBK" w:cs="方正仿宋_GBK"/>
          <w:color w:val="000000"/>
          <w:kern w:val="0"/>
          <w:szCs w:val="32"/>
          <w:shd w:val="clear" w:color="auto" w:fill="FFFFFF"/>
          <w:lang w:eastAsia="zh-CN"/>
        </w:rPr>
        <w:t>%，该项目保障了引进人才权益。</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eastAsia="zh-CN"/>
        </w:rPr>
      </w:pPr>
      <w:r>
        <w:rPr>
          <w:rFonts w:hint="eastAsia" w:ascii="方正仿宋_GBK" w:hAnsi="方正仿宋_GBK" w:eastAsia="方正仿宋_GBK" w:cs="方正仿宋_GBK"/>
          <w:color w:val="000000"/>
          <w:kern w:val="0"/>
          <w:szCs w:val="32"/>
          <w:shd w:val="clear" w:color="auto" w:fill="FFFFFF"/>
          <w:lang w:eastAsia="zh-CN"/>
        </w:rPr>
        <w:t>（</w:t>
      </w:r>
      <w:r>
        <w:rPr>
          <w:rFonts w:hint="eastAsia" w:ascii="方正仿宋_GBK" w:hAnsi="方正仿宋_GBK" w:eastAsia="方正仿宋_GBK" w:cs="方正仿宋_GBK"/>
          <w:color w:val="000000"/>
          <w:kern w:val="0"/>
          <w:szCs w:val="32"/>
          <w:shd w:val="clear" w:color="auto" w:fill="FFFFFF"/>
          <w:lang w:val="en-US" w:eastAsia="zh-CN"/>
        </w:rPr>
        <w:t>21</w:t>
      </w:r>
      <w:r>
        <w:rPr>
          <w:rFonts w:hint="eastAsia" w:ascii="方正仿宋_GBK" w:hAnsi="方正仿宋_GBK" w:eastAsia="方正仿宋_GBK" w:cs="方正仿宋_GBK"/>
          <w:color w:val="000000"/>
          <w:kern w:val="0"/>
          <w:szCs w:val="32"/>
          <w:shd w:val="clear" w:color="auto" w:fill="FFFFFF"/>
          <w:lang w:eastAsia="zh-CN"/>
        </w:rPr>
        <w:t>）51160023T000008695953-武警广安支队营房营具资金。项目全年预算数</w:t>
      </w:r>
      <w:r>
        <w:rPr>
          <w:rFonts w:hint="eastAsia" w:ascii="方正仿宋_GBK" w:hAnsi="方正仿宋_GBK" w:eastAsia="方正仿宋_GBK" w:cs="方正仿宋_GBK"/>
          <w:color w:val="000000"/>
          <w:kern w:val="0"/>
          <w:szCs w:val="32"/>
          <w:shd w:val="clear" w:color="auto" w:fill="FFFFFF"/>
          <w:lang w:val="en-US" w:eastAsia="zh-CN"/>
        </w:rPr>
        <w:t>255.56</w:t>
      </w:r>
      <w:r>
        <w:rPr>
          <w:rFonts w:hint="eastAsia" w:ascii="方正仿宋_GBK" w:hAnsi="方正仿宋_GBK" w:eastAsia="方正仿宋_GBK" w:cs="方正仿宋_GBK"/>
          <w:color w:val="000000"/>
          <w:kern w:val="0"/>
          <w:szCs w:val="32"/>
          <w:shd w:val="clear" w:color="auto" w:fill="FFFFFF"/>
          <w:lang w:eastAsia="zh-CN"/>
        </w:rPr>
        <w:t>万元，执行数为</w:t>
      </w:r>
      <w:r>
        <w:rPr>
          <w:rFonts w:hint="eastAsia" w:ascii="方正仿宋_GBK" w:hAnsi="方正仿宋_GBK" w:eastAsia="方正仿宋_GBK" w:cs="方正仿宋_GBK"/>
          <w:color w:val="000000"/>
          <w:kern w:val="0"/>
          <w:szCs w:val="32"/>
          <w:shd w:val="clear" w:color="auto" w:fill="FFFFFF"/>
          <w:lang w:val="en-US" w:eastAsia="zh-CN"/>
        </w:rPr>
        <w:t>0</w:t>
      </w:r>
      <w:r>
        <w:rPr>
          <w:rFonts w:hint="eastAsia" w:ascii="方正仿宋_GBK" w:hAnsi="方正仿宋_GBK" w:eastAsia="方正仿宋_GBK" w:cs="方正仿宋_GBK"/>
          <w:color w:val="000000"/>
          <w:kern w:val="0"/>
          <w:szCs w:val="32"/>
          <w:shd w:val="clear" w:color="auto" w:fill="FFFFFF"/>
          <w:lang w:eastAsia="zh-CN"/>
        </w:rPr>
        <w:t>万元，完成预算的</w:t>
      </w:r>
      <w:r>
        <w:rPr>
          <w:rFonts w:hint="eastAsia" w:ascii="方正仿宋_GBK" w:hAnsi="方正仿宋_GBK" w:eastAsia="方正仿宋_GBK" w:cs="方正仿宋_GBK"/>
          <w:color w:val="000000"/>
          <w:kern w:val="0"/>
          <w:szCs w:val="32"/>
          <w:shd w:val="clear" w:color="auto" w:fill="FFFFFF"/>
          <w:lang w:val="en-US" w:eastAsia="zh-CN"/>
        </w:rPr>
        <w:t>0</w:t>
      </w:r>
      <w:r>
        <w:rPr>
          <w:rFonts w:hint="eastAsia" w:ascii="方正仿宋_GBK" w:hAnsi="方正仿宋_GBK" w:eastAsia="方正仿宋_GBK" w:cs="方正仿宋_GBK"/>
          <w:color w:val="000000"/>
          <w:kern w:val="0"/>
          <w:szCs w:val="32"/>
          <w:shd w:val="clear" w:color="auto" w:fill="FFFFFF"/>
          <w:lang w:eastAsia="zh-CN"/>
        </w:rPr>
        <w:t>%，该项目由于资金下达较晚（2022.12.28下达），采购项目未实施完成，无法达到资金支付条件。</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eastAsia="zh-CN"/>
        </w:rPr>
      </w:pPr>
      <w:r>
        <w:rPr>
          <w:rFonts w:hint="eastAsia" w:ascii="方正仿宋_GBK" w:hAnsi="方正仿宋_GBK" w:eastAsia="方正仿宋_GBK" w:cs="方正仿宋_GBK"/>
          <w:color w:val="000000"/>
          <w:kern w:val="0"/>
          <w:szCs w:val="32"/>
          <w:shd w:val="clear" w:color="auto" w:fill="FFFFFF"/>
          <w:lang w:eastAsia="zh-CN"/>
        </w:rPr>
        <w:t>（</w:t>
      </w:r>
      <w:r>
        <w:rPr>
          <w:rFonts w:hint="eastAsia" w:ascii="方正仿宋_GBK" w:hAnsi="方正仿宋_GBK" w:eastAsia="方正仿宋_GBK" w:cs="方正仿宋_GBK"/>
          <w:color w:val="000000"/>
          <w:kern w:val="0"/>
          <w:szCs w:val="32"/>
          <w:shd w:val="clear" w:color="auto" w:fill="FFFFFF"/>
          <w:lang w:val="en-US" w:eastAsia="zh-CN"/>
        </w:rPr>
        <w:t>22</w:t>
      </w:r>
      <w:r>
        <w:rPr>
          <w:rFonts w:hint="eastAsia" w:ascii="方正仿宋_GBK" w:hAnsi="方正仿宋_GBK" w:eastAsia="方正仿宋_GBK" w:cs="方正仿宋_GBK"/>
          <w:color w:val="000000"/>
          <w:kern w:val="0"/>
          <w:szCs w:val="32"/>
          <w:shd w:val="clear" w:color="auto" w:fill="FFFFFF"/>
          <w:lang w:eastAsia="zh-CN"/>
        </w:rPr>
        <w:t>）51160023T000008736712-广安市安全生产监管、应急救援暨党建工作教育培训经费。2022年10月下旬至11月上旬，组织全市相关部门、各县（市、区）政府及应急管理系统人员赴西华大学郫都校区应急管理学院开展为期5天（共2期）的安全生产监管、应急救援暨党建工作教育培训班。项目全年预算数</w:t>
      </w:r>
      <w:r>
        <w:rPr>
          <w:rFonts w:hint="eastAsia" w:ascii="方正仿宋_GBK" w:hAnsi="方正仿宋_GBK" w:eastAsia="方正仿宋_GBK" w:cs="方正仿宋_GBK"/>
          <w:color w:val="000000"/>
          <w:kern w:val="0"/>
          <w:szCs w:val="32"/>
          <w:shd w:val="clear" w:color="auto" w:fill="FFFFFF"/>
          <w:lang w:val="en-US" w:eastAsia="zh-CN"/>
        </w:rPr>
        <w:t>14.30</w:t>
      </w:r>
      <w:r>
        <w:rPr>
          <w:rFonts w:hint="eastAsia" w:ascii="方正仿宋_GBK" w:hAnsi="方正仿宋_GBK" w:eastAsia="方正仿宋_GBK" w:cs="方正仿宋_GBK"/>
          <w:color w:val="000000"/>
          <w:kern w:val="0"/>
          <w:szCs w:val="32"/>
          <w:shd w:val="clear" w:color="auto" w:fill="FFFFFF"/>
          <w:lang w:eastAsia="zh-CN"/>
        </w:rPr>
        <w:t>万元，执行数为</w:t>
      </w:r>
      <w:r>
        <w:rPr>
          <w:rFonts w:hint="eastAsia" w:ascii="方正仿宋_GBK" w:hAnsi="方正仿宋_GBK" w:eastAsia="方正仿宋_GBK" w:cs="方正仿宋_GBK"/>
          <w:color w:val="000000"/>
          <w:kern w:val="0"/>
          <w:szCs w:val="32"/>
          <w:shd w:val="clear" w:color="auto" w:fill="FFFFFF"/>
          <w:lang w:val="en-US" w:eastAsia="zh-CN"/>
        </w:rPr>
        <w:t>0</w:t>
      </w:r>
      <w:r>
        <w:rPr>
          <w:rFonts w:hint="eastAsia" w:ascii="方正仿宋_GBK" w:hAnsi="方正仿宋_GBK" w:eastAsia="方正仿宋_GBK" w:cs="方正仿宋_GBK"/>
          <w:color w:val="000000"/>
          <w:kern w:val="0"/>
          <w:szCs w:val="32"/>
          <w:shd w:val="clear" w:color="auto" w:fill="FFFFFF"/>
          <w:lang w:eastAsia="zh-CN"/>
        </w:rPr>
        <w:t>万元，完成预算的</w:t>
      </w:r>
      <w:r>
        <w:rPr>
          <w:rFonts w:hint="eastAsia" w:ascii="方正仿宋_GBK" w:hAnsi="方正仿宋_GBK" w:eastAsia="方正仿宋_GBK" w:cs="方正仿宋_GBK"/>
          <w:color w:val="000000"/>
          <w:kern w:val="0"/>
          <w:szCs w:val="32"/>
          <w:shd w:val="clear" w:color="auto" w:fill="FFFFFF"/>
          <w:lang w:val="en-US" w:eastAsia="zh-CN"/>
        </w:rPr>
        <w:t>0</w:t>
      </w:r>
      <w:r>
        <w:rPr>
          <w:rFonts w:hint="eastAsia" w:ascii="方正仿宋_GBK" w:hAnsi="方正仿宋_GBK" w:eastAsia="方正仿宋_GBK" w:cs="方正仿宋_GBK"/>
          <w:color w:val="000000"/>
          <w:kern w:val="0"/>
          <w:szCs w:val="32"/>
          <w:shd w:val="clear" w:color="auto" w:fill="FFFFFF"/>
          <w:lang w:eastAsia="zh-CN"/>
        </w:rPr>
        <w:t>%，该项目由于资金下达较晚无法实现支付，但项目绩效指标已完成。</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eastAsia="zh-CN"/>
        </w:rPr>
      </w:pPr>
      <w:r>
        <w:rPr>
          <w:rFonts w:hint="eastAsia" w:ascii="方正仿宋_GBK" w:hAnsi="方正仿宋_GBK" w:eastAsia="方正仿宋_GBK" w:cs="方正仿宋_GBK"/>
          <w:color w:val="000000"/>
          <w:kern w:val="0"/>
          <w:szCs w:val="32"/>
          <w:shd w:val="clear" w:color="auto" w:fill="FFFFFF"/>
          <w:lang w:eastAsia="zh-CN"/>
        </w:rPr>
        <w:t>（</w:t>
      </w:r>
      <w:r>
        <w:rPr>
          <w:rFonts w:hint="eastAsia" w:ascii="方正仿宋_GBK" w:hAnsi="方正仿宋_GBK" w:eastAsia="方正仿宋_GBK" w:cs="方正仿宋_GBK"/>
          <w:color w:val="000000"/>
          <w:kern w:val="0"/>
          <w:szCs w:val="32"/>
          <w:shd w:val="clear" w:color="auto" w:fill="FFFFFF"/>
          <w:lang w:val="en-US" w:eastAsia="zh-CN"/>
        </w:rPr>
        <w:t>23</w:t>
      </w:r>
      <w:r>
        <w:rPr>
          <w:rFonts w:hint="eastAsia" w:ascii="方正仿宋_GBK" w:hAnsi="方正仿宋_GBK" w:eastAsia="方正仿宋_GBK" w:cs="方正仿宋_GBK"/>
          <w:color w:val="000000"/>
          <w:kern w:val="0"/>
          <w:szCs w:val="32"/>
          <w:shd w:val="clear" w:color="auto" w:fill="FFFFFF"/>
          <w:lang w:eastAsia="zh-CN"/>
        </w:rPr>
        <w:t>）51160022T000000345560-市矿山救护大队定额补助。支临聘人员的工资保险费224万元，支临聘人员的体检费、差旅费和工会经费等运行经费24</w:t>
      </w:r>
      <w:r>
        <w:rPr>
          <w:rFonts w:hint="eastAsia" w:ascii="方正仿宋_GBK" w:hAnsi="方正仿宋_GBK" w:eastAsia="方正仿宋_GBK" w:cs="方正仿宋_GBK"/>
          <w:color w:val="000000"/>
          <w:kern w:val="0"/>
          <w:szCs w:val="32"/>
          <w:shd w:val="clear" w:color="auto" w:fill="FFFFFF"/>
          <w:lang w:val="en-US" w:eastAsia="zh-CN"/>
        </w:rPr>
        <w:t>.98万</w:t>
      </w:r>
      <w:r>
        <w:rPr>
          <w:rFonts w:hint="eastAsia" w:ascii="方正仿宋_GBK" w:hAnsi="方正仿宋_GBK" w:eastAsia="方正仿宋_GBK" w:cs="方正仿宋_GBK"/>
          <w:color w:val="000000"/>
          <w:kern w:val="0"/>
          <w:szCs w:val="32"/>
          <w:shd w:val="clear" w:color="auto" w:fill="FFFFFF"/>
          <w:lang w:eastAsia="zh-CN"/>
        </w:rPr>
        <w:t>元。项目全年预算数</w:t>
      </w:r>
      <w:r>
        <w:rPr>
          <w:rFonts w:hint="eastAsia" w:ascii="方正仿宋_GBK" w:hAnsi="方正仿宋_GBK" w:eastAsia="方正仿宋_GBK" w:cs="方正仿宋_GBK"/>
          <w:color w:val="000000"/>
          <w:kern w:val="0"/>
          <w:szCs w:val="32"/>
          <w:shd w:val="clear" w:color="auto" w:fill="FFFFFF"/>
          <w:lang w:val="en-US" w:eastAsia="zh-CN"/>
        </w:rPr>
        <w:t>249</w:t>
      </w:r>
      <w:r>
        <w:rPr>
          <w:rFonts w:hint="eastAsia" w:ascii="方正仿宋_GBK" w:hAnsi="方正仿宋_GBK" w:eastAsia="方正仿宋_GBK" w:cs="方正仿宋_GBK"/>
          <w:color w:val="000000"/>
          <w:kern w:val="0"/>
          <w:szCs w:val="32"/>
          <w:shd w:val="clear" w:color="auto" w:fill="FFFFFF"/>
          <w:lang w:eastAsia="zh-CN"/>
        </w:rPr>
        <w:t>万元，执行数为</w:t>
      </w:r>
      <w:r>
        <w:rPr>
          <w:rFonts w:hint="eastAsia" w:ascii="方正仿宋_GBK" w:hAnsi="方正仿宋_GBK" w:eastAsia="方正仿宋_GBK" w:cs="方正仿宋_GBK"/>
          <w:color w:val="000000"/>
          <w:kern w:val="0"/>
          <w:szCs w:val="32"/>
          <w:shd w:val="clear" w:color="auto" w:fill="FFFFFF"/>
          <w:lang w:val="en-US" w:eastAsia="zh-CN"/>
        </w:rPr>
        <w:t>248.98</w:t>
      </w:r>
      <w:r>
        <w:rPr>
          <w:rFonts w:hint="eastAsia" w:ascii="方正仿宋_GBK" w:hAnsi="方正仿宋_GBK" w:eastAsia="方正仿宋_GBK" w:cs="方正仿宋_GBK"/>
          <w:color w:val="000000"/>
          <w:kern w:val="0"/>
          <w:szCs w:val="32"/>
          <w:shd w:val="clear" w:color="auto" w:fill="FFFFFF"/>
          <w:lang w:eastAsia="zh-CN"/>
        </w:rPr>
        <w:t>万元，完成预算的</w:t>
      </w:r>
      <w:r>
        <w:rPr>
          <w:rFonts w:hint="eastAsia" w:ascii="方正仿宋_GBK" w:hAnsi="方正仿宋_GBK" w:eastAsia="方正仿宋_GBK" w:cs="方正仿宋_GBK"/>
          <w:color w:val="000000"/>
          <w:kern w:val="0"/>
          <w:szCs w:val="32"/>
          <w:shd w:val="clear" w:color="auto" w:fill="FFFFFF"/>
          <w:lang w:val="en-US" w:eastAsia="zh-CN"/>
        </w:rPr>
        <w:t>99.99</w:t>
      </w:r>
      <w:r>
        <w:rPr>
          <w:rFonts w:hint="eastAsia" w:ascii="方正仿宋_GBK" w:hAnsi="方正仿宋_GBK" w:eastAsia="方正仿宋_GBK" w:cs="方正仿宋_GBK"/>
          <w:color w:val="000000"/>
          <w:kern w:val="0"/>
          <w:szCs w:val="32"/>
          <w:shd w:val="clear" w:color="auto" w:fill="FFFFFF"/>
          <w:lang w:eastAsia="zh-CN"/>
        </w:rPr>
        <w:t>%，该项目完成了临聘救护队员的工资福利的发放，稳定了救援队伍，正常有序的开展了救援工作。</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eastAsia="zh-CN"/>
        </w:rPr>
      </w:pPr>
      <w:r>
        <w:rPr>
          <w:rFonts w:hint="eastAsia" w:ascii="方正仿宋_GBK" w:hAnsi="方正仿宋_GBK" w:eastAsia="方正仿宋_GBK" w:cs="方正仿宋_GBK"/>
          <w:color w:val="000000"/>
          <w:kern w:val="0"/>
          <w:szCs w:val="32"/>
          <w:shd w:val="clear" w:color="auto" w:fill="FFFFFF"/>
          <w:lang w:eastAsia="zh-CN"/>
        </w:rPr>
        <w:t>（</w:t>
      </w:r>
      <w:r>
        <w:rPr>
          <w:rFonts w:hint="eastAsia" w:ascii="方正仿宋_GBK" w:hAnsi="方正仿宋_GBK" w:eastAsia="方正仿宋_GBK" w:cs="方正仿宋_GBK"/>
          <w:color w:val="000000"/>
          <w:kern w:val="0"/>
          <w:szCs w:val="32"/>
          <w:shd w:val="clear" w:color="auto" w:fill="FFFFFF"/>
          <w:lang w:val="en-US" w:eastAsia="zh-CN"/>
        </w:rPr>
        <w:t>24</w:t>
      </w:r>
      <w:r>
        <w:rPr>
          <w:rFonts w:hint="eastAsia" w:ascii="方正仿宋_GBK" w:hAnsi="方正仿宋_GBK" w:eastAsia="方正仿宋_GBK" w:cs="方正仿宋_GBK"/>
          <w:color w:val="000000"/>
          <w:kern w:val="0"/>
          <w:szCs w:val="32"/>
          <w:shd w:val="clear" w:color="auto" w:fill="FFFFFF"/>
          <w:lang w:eastAsia="zh-CN"/>
        </w:rPr>
        <w:t>）51160022T000006420422-代管资金。</w:t>
      </w:r>
      <w:r>
        <w:rPr>
          <w:rFonts w:hint="eastAsia" w:ascii="方正仿宋_GBK" w:hAnsi="方正仿宋_GBK" w:eastAsia="方正仿宋_GBK" w:cs="方正仿宋_GBK"/>
          <w:color w:val="000000"/>
          <w:kern w:val="0"/>
          <w:szCs w:val="32"/>
          <w:shd w:val="clear" w:color="auto" w:fill="FFFFFF"/>
          <w:lang w:val="en-US" w:eastAsia="zh-CN"/>
        </w:rPr>
        <w:t>2022年</w:t>
      </w:r>
      <w:r>
        <w:rPr>
          <w:rFonts w:hint="eastAsia" w:ascii="方正仿宋_GBK" w:hAnsi="方正仿宋_GBK" w:eastAsia="方正仿宋_GBK" w:cs="方正仿宋_GBK"/>
          <w:color w:val="000000"/>
          <w:kern w:val="0"/>
          <w:szCs w:val="32"/>
          <w:shd w:val="clear" w:color="auto" w:fill="FFFFFF"/>
          <w:lang w:eastAsia="zh-CN"/>
        </w:rPr>
        <w:t>收取职工伙食费，支付食堂食材。项目全年预算数</w:t>
      </w:r>
      <w:r>
        <w:rPr>
          <w:rFonts w:hint="eastAsia" w:ascii="方正仿宋_GBK" w:hAnsi="方正仿宋_GBK" w:eastAsia="方正仿宋_GBK" w:cs="方正仿宋_GBK"/>
          <w:color w:val="000000"/>
          <w:kern w:val="0"/>
          <w:szCs w:val="32"/>
          <w:shd w:val="clear" w:color="auto" w:fill="FFFFFF"/>
          <w:lang w:val="en-US" w:eastAsia="zh-CN"/>
        </w:rPr>
        <w:t>6.04</w:t>
      </w:r>
      <w:r>
        <w:rPr>
          <w:rFonts w:hint="eastAsia" w:ascii="方正仿宋_GBK" w:hAnsi="方正仿宋_GBK" w:eastAsia="方正仿宋_GBK" w:cs="方正仿宋_GBK"/>
          <w:color w:val="000000"/>
          <w:kern w:val="0"/>
          <w:szCs w:val="32"/>
          <w:shd w:val="clear" w:color="auto" w:fill="FFFFFF"/>
          <w:lang w:eastAsia="zh-CN"/>
        </w:rPr>
        <w:t>万元，执行数为</w:t>
      </w:r>
      <w:r>
        <w:rPr>
          <w:rFonts w:hint="eastAsia" w:ascii="方正仿宋_GBK" w:hAnsi="方正仿宋_GBK" w:eastAsia="方正仿宋_GBK" w:cs="方正仿宋_GBK"/>
          <w:color w:val="000000"/>
          <w:kern w:val="0"/>
          <w:szCs w:val="32"/>
          <w:shd w:val="clear" w:color="auto" w:fill="FFFFFF"/>
          <w:lang w:val="en-US" w:eastAsia="zh-CN"/>
        </w:rPr>
        <w:t>5.13</w:t>
      </w:r>
      <w:r>
        <w:rPr>
          <w:rFonts w:hint="eastAsia" w:ascii="方正仿宋_GBK" w:hAnsi="方正仿宋_GBK" w:eastAsia="方正仿宋_GBK" w:cs="方正仿宋_GBK"/>
          <w:color w:val="000000"/>
          <w:kern w:val="0"/>
          <w:szCs w:val="32"/>
          <w:shd w:val="clear" w:color="auto" w:fill="FFFFFF"/>
          <w:lang w:eastAsia="zh-CN"/>
        </w:rPr>
        <w:t>万元，完成预算的</w:t>
      </w:r>
      <w:r>
        <w:rPr>
          <w:rFonts w:hint="eastAsia" w:ascii="方正仿宋_GBK" w:hAnsi="方正仿宋_GBK" w:eastAsia="方正仿宋_GBK" w:cs="方正仿宋_GBK"/>
          <w:color w:val="000000"/>
          <w:kern w:val="0"/>
          <w:szCs w:val="32"/>
          <w:shd w:val="clear" w:color="auto" w:fill="FFFFFF"/>
          <w:lang w:val="en-US" w:eastAsia="zh-CN"/>
        </w:rPr>
        <w:t>84.83</w:t>
      </w:r>
      <w:r>
        <w:rPr>
          <w:rFonts w:hint="eastAsia" w:ascii="方正仿宋_GBK" w:hAnsi="方正仿宋_GBK" w:eastAsia="方正仿宋_GBK" w:cs="方正仿宋_GBK"/>
          <w:color w:val="000000"/>
          <w:kern w:val="0"/>
          <w:szCs w:val="32"/>
          <w:shd w:val="clear" w:color="auto" w:fill="FFFFFF"/>
          <w:lang w:eastAsia="zh-CN"/>
        </w:rPr>
        <w:t>%，该项目代收职工医疗保险个人承担部分和差旅费完成了100%，收的职工伙食费完成了84.83%。</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val="en-US" w:eastAsia="zh-CN"/>
        </w:rPr>
      </w:pPr>
      <w:r>
        <w:rPr>
          <w:rFonts w:hint="eastAsia" w:ascii="方正仿宋_GBK" w:hAnsi="方正仿宋_GBK" w:eastAsia="方正仿宋_GBK" w:cs="方正仿宋_GBK"/>
          <w:color w:val="000000"/>
          <w:kern w:val="0"/>
          <w:szCs w:val="32"/>
          <w:shd w:val="clear" w:color="auto" w:fill="FFFFFF"/>
          <w:lang w:val="en-US" w:eastAsia="zh-CN"/>
        </w:rPr>
        <w:t>（25）51160023T000007584505-训练场地改造工程。该项目为往年项目，训练场地硬化黑化、篮球场塑胶以及训练设施改造已完工，项目总成本39.15万元，其尾款10.71万元本年已完成支付。</w:t>
      </w:r>
      <w:r>
        <w:rPr>
          <w:rFonts w:hint="eastAsia" w:ascii="方正仿宋_GBK" w:hAnsi="方正仿宋_GBK" w:eastAsia="方正仿宋_GBK" w:cs="方正仿宋_GBK"/>
          <w:color w:val="000000"/>
          <w:kern w:val="0"/>
          <w:szCs w:val="32"/>
          <w:shd w:val="clear" w:color="auto" w:fill="FFFFFF"/>
          <w:lang w:eastAsia="zh-CN"/>
        </w:rPr>
        <w:t>项目全年预算数</w:t>
      </w:r>
      <w:r>
        <w:rPr>
          <w:rFonts w:hint="eastAsia" w:ascii="方正仿宋_GBK" w:hAnsi="方正仿宋_GBK" w:eastAsia="方正仿宋_GBK" w:cs="方正仿宋_GBK"/>
          <w:color w:val="000000"/>
          <w:kern w:val="0"/>
          <w:szCs w:val="32"/>
          <w:shd w:val="clear" w:color="auto" w:fill="FFFFFF"/>
          <w:lang w:val="en-US" w:eastAsia="zh-CN"/>
        </w:rPr>
        <w:t>10.71</w:t>
      </w:r>
      <w:r>
        <w:rPr>
          <w:rFonts w:hint="eastAsia" w:ascii="方正仿宋_GBK" w:hAnsi="方正仿宋_GBK" w:eastAsia="方正仿宋_GBK" w:cs="方正仿宋_GBK"/>
          <w:color w:val="000000"/>
          <w:kern w:val="0"/>
          <w:szCs w:val="32"/>
          <w:shd w:val="clear" w:color="auto" w:fill="FFFFFF"/>
          <w:lang w:eastAsia="zh-CN"/>
        </w:rPr>
        <w:t>万元，执行数为</w:t>
      </w:r>
      <w:r>
        <w:rPr>
          <w:rFonts w:hint="eastAsia" w:ascii="方正仿宋_GBK" w:hAnsi="方正仿宋_GBK" w:eastAsia="方正仿宋_GBK" w:cs="方正仿宋_GBK"/>
          <w:color w:val="000000"/>
          <w:kern w:val="0"/>
          <w:szCs w:val="32"/>
          <w:shd w:val="clear" w:color="auto" w:fill="FFFFFF"/>
          <w:lang w:val="en-US" w:eastAsia="zh-CN"/>
        </w:rPr>
        <w:t>10.71</w:t>
      </w:r>
      <w:r>
        <w:rPr>
          <w:rFonts w:hint="eastAsia" w:ascii="方正仿宋_GBK" w:hAnsi="方正仿宋_GBK" w:eastAsia="方正仿宋_GBK" w:cs="方正仿宋_GBK"/>
          <w:color w:val="000000"/>
          <w:kern w:val="0"/>
          <w:szCs w:val="32"/>
          <w:shd w:val="clear" w:color="auto" w:fill="FFFFFF"/>
          <w:lang w:eastAsia="zh-CN"/>
        </w:rPr>
        <w:t>万元，完成预算的</w:t>
      </w:r>
      <w:r>
        <w:rPr>
          <w:rFonts w:hint="eastAsia" w:ascii="方正仿宋_GBK" w:hAnsi="方正仿宋_GBK" w:eastAsia="方正仿宋_GBK" w:cs="方正仿宋_GBK"/>
          <w:color w:val="000000"/>
          <w:kern w:val="0"/>
          <w:szCs w:val="32"/>
          <w:shd w:val="clear" w:color="auto" w:fill="FFFFFF"/>
          <w:lang w:val="en-US" w:eastAsia="zh-CN"/>
        </w:rPr>
        <w:t>100</w:t>
      </w:r>
      <w:r>
        <w:rPr>
          <w:rFonts w:hint="eastAsia" w:ascii="方正仿宋_GBK" w:hAnsi="方正仿宋_GBK" w:eastAsia="方正仿宋_GBK" w:cs="方正仿宋_GBK"/>
          <w:color w:val="000000"/>
          <w:kern w:val="0"/>
          <w:szCs w:val="32"/>
          <w:shd w:val="clear" w:color="auto" w:fill="FFFFFF"/>
          <w:lang w:eastAsia="zh-CN"/>
        </w:rPr>
        <w:t>%，该项目完成了训练场地的硬化黑化，篮球场塑胶化以及训练设施改造。并投入了使用，日常的训练进行了有序的开展。</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 w:val="32"/>
          <w:szCs w:val="32"/>
          <w:shd w:val="clear" w:color="auto" w:fill="FFFFFF"/>
          <w:lang w:val="en-US" w:eastAsia="zh-CN" w:bidi="ar-SA"/>
        </w:rPr>
      </w:pPr>
      <w:r>
        <w:rPr>
          <w:rFonts w:hint="eastAsia" w:ascii="方正仿宋_GBK" w:hAnsi="方正仿宋_GBK" w:eastAsia="方正仿宋_GBK" w:cs="方正仿宋_GBK"/>
          <w:color w:val="000000"/>
          <w:kern w:val="0"/>
          <w:sz w:val="32"/>
          <w:szCs w:val="32"/>
          <w:shd w:val="clear" w:color="auto" w:fill="FFFFFF"/>
          <w:lang w:val="en-US" w:eastAsia="zh-CN" w:bidi="ar-SA"/>
        </w:rPr>
        <w:t>（26）51160022T000005752901-市应急指挥中心建设项目。</w:t>
      </w:r>
      <w:r>
        <w:rPr>
          <w:rFonts w:hint="eastAsia" w:ascii="方正仿宋_GBK" w:hAnsi="方正仿宋_GBK" w:eastAsia="方正仿宋_GBK" w:cs="方正仿宋_GBK"/>
          <w:color w:val="000000"/>
          <w:kern w:val="0"/>
          <w:szCs w:val="32"/>
          <w:shd w:val="clear" w:color="auto" w:fill="FFFFFF"/>
          <w:lang w:val="en-US" w:eastAsia="zh-CN"/>
        </w:rPr>
        <w:t>该项目为广安市应急指挥中心土建项目，占地面积460.8平方米，建筑面积2688平方米。</w:t>
      </w:r>
      <w:r>
        <w:rPr>
          <w:rFonts w:hint="eastAsia" w:ascii="方正仿宋_GBK" w:hAnsi="方正仿宋_GBK" w:eastAsia="方正仿宋_GBK" w:cs="方正仿宋_GBK"/>
          <w:color w:val="000000"/>
          <w:kern w:val="0"/>
          <w:szCs w:val="32"/>
          <w:shd w:val="clear" w:color="auto" w:fill="FFFFFF"/>
          <w:lang w:eastAsia="zh-CN"/>
        </w:rPr>
        <w:t>项目全年预算数</w:t>
      </w:r>
      <w:r>
        <w:rPr>
          <w:rFonts w:hint="eastAsia" w:ascii="方正仿宋_GBK" w:hAnsi="方正仿宋_GBK" w:eastAsia="方正仿宋_GBK" w:cs="方正仿宋_GBK"/>
          <w:color w:val="000000"/>
          <w:kern w:val="0"/>
          <w:szCs w:val="32"/>
          <w:shd w:val="clear" w:color="auto" w:fill="FFFFFF"/>
          <w:lang w:val="en-US" w:eastAsia="zh-CN"/>
        </w:rPr>
        <w:t>273</w:t>
      </w:r>
      <w:r>
        <w:rPr>
          <w:rFonts w:hint="eastAsia" w:ascii="方正仿宋_GBK" w:hAnsi="方正仿宋_GBK" w:eastAsia="方正仿宋_GBK" w:cs="方正仿宋_GBK"/>
          <w:color w:val="000000"/>
          <w:kern w:val="0"/>
          <w:szCs w:val="32"/>
          <w:shd w:val="clear" w:color="auto" w:fill="FFFFFF"/>
          <w:lang w:eastAsia="zh-CN"/>
        </w:rPr>
        <w:t>万元，执行数为</w:t>
      </w:r>
      <w:r>
        <w:rPr>
          <w:rFonts w:hint="eastAsia" w:ascii="方正仿宋_GBK" w:hAnsi="方正仿宋_GBK" w:eastAsia="方正仿宋_GBK" w:cs="方正仿宋_GBK"/>
          <w:color w:val="000000"/>
          <w:kern w:val="0"/>
          <w:szCs w:val="32"/>
          <w:shd w:val="clear" w:color="auto" w:fill="FFFFFF"/>
          <w:lang w:val="en-US" w:eastAsia="zh-CN"/>
        </w:rPr>
        <w:t>0</w:t>
      </w:r>
      <w:r>
        <w:rPr>
          <w:rFonts w:hint="eastAsia" w:ascii="方正仿宋_GBK" w:hAnsi="方正仿宋_GBK" w:eastAsia="方正仿宋_GBK" w:cs="方正仿宋_GBK"/>
          <w:color w:val="000000"/>
          <w:kern w:val="0"/>
          <w:szCs w:val="32"/>
          <w:shd w:val="clear" w:color="auto" w:fill="FFFFFF"/>
          <w:lang w:eastAsia="zh-CN"/>
        </w:rPr>
        <w:t>万元，完成预算的</w:t>
      </w:r>
      <w:r>
        <w:rPr>
          <w:rFonts w:hint="eastAsia" w:ascii="方正仿宋_GBK" w:hAnsi="方正仿宋_GBK" w:eastAsia="方正仿宋_GBK" w:cs="方正仿宋_GBK"/>
          <w:color w:val="000000"/>
          <w:kern w:val="0"/>
          <w:szCs w:val="32"/>
          <w:shd w:val="clear" w:color="auto" w:fill="FFFFFF"/>
          <w:lang w:val="en-US" w:eastAsia="zh-CN"/>
        </w:rPr>
        <w:t>10</w:t>
      </w:r>
      <w:r>
        <w:rPr>
          <w:rFonts w:hint="eastAsia" w:ascii="方正仿宋_GBK" w:hAnsi="方正仿宋_GBK" w:eastAsia="方正仿宋_GBK" w:cs="方正仿宋_GBK"/>
          <w:color w:val="000000"/>
          <w:kern w:val="0"/>
          <w:szCs w:val="32"/>
          <w:shd w:val="clear" w:color="auto" w:fill="FFFFFF"/>
          <w:lang w:eastAsia="zh-CN"/>
        </w:rPr>
        <w:t>%，该项目</w:t>
      </w:r>
      <w:r>
        <w:rPr>
          <w:rFonts w:hint="eastAsia" w:ascii="方正仿宋_GBK" w:hAnsi="方正仿宋_GBK" w:eastAsia="方正仿宋_GBK" w:cs="方正仿宋_GBK"/>
          <w:color w:val="000000"/>
          <w:kern w:val="0"/>
          <w:szCs w:val="32"/>
          <w:shd w:val="clear" w:color="auto" w:fill="FFFFFF"/>
          <w:lang w:val="en-US" w:eastAsia="zh-CN"/>
        </w:rPr>
        <w:t>2022年底已完成建设。</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 w:val="32"/>
          <w:szCs w:val="32"/>
          <w:shd w:val="clear" w:color="auto" w:fill="FFFFFF"/>
          <w:lang w:val="en-US" w:eastAsia="zh-CN" w:bidi="ar-SA"/>
        </w:rPr>
      </w:pPr>
      <w:r>
        <w:rPr>
          <w:rFonts w:hint="eastAsia" w:ascii="方正仿宋_GBK" w:hAnsi="方正仿宋_GBK" w:eastAsia="方正仿宋_GBK" w:cs="方正仿宋_GBK"/>
          <w:color w:val="000000"/>
          <w:kern w:val="0"/>
          <w:sz w:val="32"/>
          <w:szCs w:val="32"/>
          <w:shd w:val="clear" w:color="auto" w:fill="FFFFFF"/>
          <w:lang w:val="en-US" w:eastAsia="zh-CN" w:bidi="ar-SA"/>
        </w:rPr>
        <w:t>（27）51160022T000005752901-市应急指挥中心建设项目。该项目为债券类项目，单独报告。</w:t>
      </w:r>
    </w:p>
    <w:p>
      <w:pPr>
        <w:keepNext w:val="0"/>
        <w:keepLines w:val="0"/>
        <w:pageBreakBefore w:val="0"/>
        <w:widowControl w:val="0"/>
        <w:kinsoku/>
        <w:wordWrap/>
        <w:overflowPunct/>
        <w:topLinePunct w:val="0"/>
        <w:bidi w:val="0"/>
        <w:adjustRightInd w:val="0"/>
        <w:snapToGrid w:val="0"/>
        <w:spacing w:line="560" w:lineRule="exact"/>
        <w:ind w:firstLine="643" w:firstLineChars="200"/>
        <w:contextualSpacing/>
        <w:jc w:val="left"/>
        <w:outlineLvl w:val="2"/>
        <w:rPr>
          <w:rFonts w:hint="eastAsia" w:ascii="方正仿宋_GBK" w:hAnsi="方正仿宋_GBK" w:eastAsia="方正仿宋_GBK" w:cs="方正仿宋_GBK"/>
          <w:b/>
          <w:bCs/>
          <w:color w:val="000000"/>
          <w:kern w:val="0"/>
          <w:szCs w:val="32"/>
          <w:shd w:val="clear" w:color="auto" w:fill="FFFFFF"/>
          <w:lang w:val="zh-CN"/>
        </w:rPr>
      </w:pPr>
      <w:bookmarkStart w:id="46" w:name="_Toc6769"/>
      <w:r>
        <w:rPr>
          <w:rFonts w:hint="eastAsia" w:ascii="方正仿宋_GBK" w:hAnsi="方正仿宋_GBK" w:eastAsia="方正仿宋_GBK" w:cs="方正仿宋_GBK"/>
          <w:b/>
          <w:bCs/>
          <w:color w:val="000000"/>
          <w:kern w:val="0"/>
          <w:szCs w:val="32"/>
          <w:shd w:val="clear" w:color="auto" w:fill="FFFFFF"/>
          <w:lang w:val="zh-CN"/>
        </w:rPr>
        <w:t>（二）部门整体履职绩效分析。</w:t>
      </w:r>
      <w:bookmarkEnd w:id="46"/>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val="zh-CN"/>
        </w:rPr>
      </w:pPr>
      <w:r>
        <w:rPr>
          <w:rFonts w:hint="eastAsia" w:ascii="方正仿宋_GBK" w:hAnsi="方正仿宋_GBK" w:eastAsia="方正仿宋_GBK" w:cs="方正仿宋_GBK"/>
          <w:color w:val="000000"/>
          <w:kern w:val="0"/>
          <w:szCs w:val="32"/>
          <w:shd w:val="clear" w:color="auto" w:fill="FFFFFF"/>
          <w:lang w:val="zh-CN"/>
        </w:rPr>
        <w:t>围绕部门整体绩效目标基本完成。以习近平总书记在中央政治局第十九次集体学习上重要讲话为指导，牢固树立“大安全、大应急、全灾种”理念，积极推进应急管理体系和能力现代化，以“应急管理能力建设年”为主线，以“2345”重点工作（打造“两大平台”，即应急指挥平台、预警监测平台；强化“三大抓手”，即党政领导责任、部门监管责任、企业主体责任；抓实“四大举措”，即提升基层治理能力、加强应急预案演练、健全协作联动机制、强化应急管理支撑；聚焦“五大重点”，即煤矿、化工危险化学品、水陆交通、建筑施工、消防等五大重点领域）为抓手，全力防范化解重大安全风险，切实加强监测预警能力、监管执法能力、辅助指挥决策能力、救援实战能力和社会动员能力等“五大能力”建设，大力减少一般事故，全力遏制较大事故，坚决杜绝重特大事故，为推进高质量发展、建设美丽繁荣和谐广安营造稳定的安全环境，增强全民应急意识、提升防灾减灾能力，保障人民生命财产安全。</w:t>
      </w:r>
    </w:p>
    <w:p>
      <w:pPr>
        <w:keepNext w:val="0"/>
        <w:keepLines w:val="0"/>
        <w:pageBreakBefore w:val="0"/>
        <w:widowControl w:val="0"/>
        <w:kinsoku/>
        <w:wordWrap/>
        <w:overflowPunct/>
        <w:topLinePunct w:val="0"/>
        <w:bidi w:val="0"/>
        <w:adjustRightInd w:val="0"/>
        <w:snapToGrid w:val="0"/>
        <w:spacing w:line="560" w:lineRule="exact"/>
        <w:ind w:firstLine="643" w:firstLineChars="200"/>
        <w:contextualSpacing/>
        <w:jc w:val="left"/>
        <w:outlineLvl w:val="2"/>
        <w:rPr>
          <w:rFonts w:hint="eastAsia" w:ascii="方正仿宋_GBK" w:hAnsi="方正仿宋_GBK" w:eastAsia="方正仿宋_GBK" w:cs="方正仿宋_GBK"/>
          <w:b/>
          <w:bCs/>
          <w:color w:val="000000"/>
          <w:kern w:val="0"/>
          <w:szCs w:val="32"/>
          <w:shd w:val="clear" w:color="auto" w:fill="FFFFFF"/>
          <w:lang w:val="zh-CN"/>
        </w:rPr>
      </w:pPr>
      <w:bookmarkStart w:id="47" w:name="_Toc28566"/>
      <w:r>
        <w:rPr>
          <w:rFonts w:hint="eastAsia" w:ascii="方正仿宋_GBK" w:hAnsi="方正仿宋_GBK" w:eastAsia="方正仿宋_GBK" w:cs="方正仿宋_GBK"/>
          <w:b/>
          <w:bCs/>
          <w:color w:val="000000"/>
          <w:kern w:val="0"/>
          <w:szCs w:val="32"/>
          <w:shd w:val="clear" w:color="auto" w:fill="FFFFFF"/>
          <w:lang w:val="zh-CN"/>
        </w:rPr>
        <w:t>（三）结果应用情况。</w:t>
      </w:r>
      <w:bookmarkEnd w:id="47"/>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val="en-US" w:eastAsia="zh-CN"/>
        </w:rPr>
      </w:pPr>
      <w:r>
        <w:rPr>
          <w:rFonts w:hint="eastAsia" w:ascii="方正仿宋_GBK" w:hAnsi="方正仿宋_GBK" w:eastAsia="方正仿宋_GBK" w:cs="方正仿宋_GBK"/>
          <w:color w:val="000000"/>
          <w:kern w:val="0"/>
          <w:szCs w:val="32"/>
          <w:shd w:val="clear" w:color="auto" w:fill="FFFFFF"/>
          <w:lang w:val="en-US" w:eastAsia="zh-CN"/>
        </w:rPr>
        <w:t>1.绩效自评公开。</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val="zh-CN"/>
        </w:rPr>
      </w:pPr>
      <w:r>
        <w:rPr>
          <w:rFonts w:hint="eastAsia" w:ascii="方正仿宋_GBK" w:hAnsi="方正仿宋_GBK" w:eastAsia="方正仿宋_GBK" w:cs="方正仿宋_GBK"/>
          <w:color w:val="000000"/>
          <w:kern w:val="0"/>
          <w:szCs w:val="32"/>
          <w:shd w:val="clear" w:color="auto" w:fill="FFFFFF"/>
          <w:lang w:val="en-US" w:eastAsia="zh-CN"/>
        </w:rPr>
        <w:t>根据相关要求，市应急局在规定时间及规定网站，除涉密信息外向社会公开了本部门的预算、决算信息（含所有财政资金安排的“三公”经费、机关运行经费的安排、使用情况等）、部门绩效目标、部门整体绩效自评情况</w:t>
      </w:r>
      <w:r>
        <w:rPr>
          <w:rFonts w:hint="eastAsia" w:ascii="方正仿宋_GBK" w:hAnsi="方正仿宋_GBK" w:eastAsia="方正仿宋_GBK" w:cs="方正仿宋_GBK"/>
          <w:color w:val="000000"/>
          <w:kern w:val="0"/>
          <w:szCs w:val="32"/>
          <w:shd w:val="clear" w:color="auto" w:fill="FFFFFF"/>
          <w:lang w:val="zh-CN"/>
        </w:rPr>
        <w:t>。</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val="en-US" w:eastAsia="zh-CN"/>
        </w:rPr>
      </w:pPr>
      <w:r>
        <w:rPr>
          <w:rFonts w:hint="eastAsia" w:ascii="方正仿宋_GBK" w:hAnsi="方正仿宋_GBK" w:eastAsia="方正仿宋_GBK" w:cs="方正仿宋_GBK"/>
          <w:color w:val="000000"/>
          <w:kern w:val="0"/>
          <w:szCs w:val="32"/>
          <w:shd w:val="clear" w:color="auto" w:fill="FFFFFF"/>
          <w:lang w:val="en-US" w:eastAsia="zh-CN"/>
        </w:rPr>
        <w:t>2.评价结果整改及应用结果反馈。</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val="en-US" w:eastAsia="zh-CN"/>
        </w:rPr>
      </w:pPr>
      <w:r>
        <w:rPr>
          <w:rFonts w:hint="eastAsia" w:ascii="方正仿宋_GBK" w:hAnsi="方正仿宋_GBK" w:eastAsia="方正仿宋_GBK" w:cs="方正仿宋_GBK"/>
          <w:color w:val="000000"/>
          <w:kern w:val="0"/>
          <w:szCs w:val="32"/>
          <w:shd w:val="clear" w:color="auto" w:fill="FFFFFF"/>
          <w:lang w:val="en-US" w:eastAsia="zh-CN"/>
        </w:rPr>
        <w:t>按照绩效管理工作相关要求完成了年度预算绩效目标编制、日常动态监控、绩效评价和绩效评价结果运用工作，按时向市财政报送相关情况。</w:t>
      </w:r>
    </w:p>
    <w:p>
      <w:pPr>
        <w:keepNext w:val="0"/>
        <w:keepLines w:val="0"/>
        <w:pageBreakBefore w:val="0"/>
        <w:widowControl w:val="0"/>
        <w:numPr>
          <w:ilvl w:val="0"/>
          <w:numId w:val="2"/>
        </w:numPr>
        <w:kinsoku/>
        <w:wordWrap/>
        <w:overflowPunct/>
        <w:topLinePunct w:val="0"/>
        <w:bidi w:val="0"/>
        <w:adjustRightInd w:val="0"/>
        <w:snapToGrid w:val="0"/>
        <w:spacing w:line="560" w:lineRule="exact"/>
        <w:ind w:firstLine="643" w:firstLineChars="200"/>
        <w:contextualSpacing/>
        <w:jc w:val="left"/>
        <w:outlineLvl w:val="2"/>
        <w:rPr>
          <w:rFonts w:hint="eastAsia" w:ascii="方正仿宋_GBK" w:hAnsi="方正仿宋_GBK" w:eastAsia="方正仿宋_GBK" w:cs="方正仿宋_GBK"/>
          <w:b/>
          <w:bCs/>
          <w:color w:val="000000"/>
          <w:kern w:val="0"/>
          <w:szCs w:val="32"/>
          <w:shd w:val="clear" w:color="auto" w:fill="FFFFFF"/>
          <w:lang w:val="zh-CN"/>
        </w:rPr>
      </w:pPr>
      <w:bookmarkStart w:id="48" w:name="_Toc12442"/>
      <w:r>
        <w:rPr>
          <w:rFonts w:hint="eastAsia" w:ascii="方正仿宋_GBK" w:hAnsi="方正仿宋_GBK" w:eastAsia="方正仿宋_GBK" w:cs="方正仿宋_GBK"/>
          <w:b/>
          <w:bCs/>
          <w:color w:val="000000"/>
          <w:kern w:val="0"/>
          <w:szCs w:val="32"/>
          <w:shd w:val="clear" w:color="auto" w:fill="FFFFFF"/>
          <w:lang w:val="zh-CN"/>
        </w:rPr>
        <w:t>自评质量。</w:t>
      </w:r>
      <w:bookmarkEnd w:id="48"/>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val="en-US" w:eastAsia="zh-CN"/>
        </w:rPr>
      </w:pPr>
      <w:r>
        <w:rPr>
          <w:rFonts w:hint="eastAsia" w:ascii="方正仿宋_GBK" w:hAnsi="方正仿宋_GBK" w:eastAsia="方正仿宋_GBK" w:cs="方正仿宋_GBK"/>
          <w:color w:val="000000"/>
          <w:kern w:val="0"/>
          <w:szCs w:val="32"/>
          <w:shd w:val="clear" w:color="auto" w:fill="FFFFFF"/>
          <w:lang w:val="en-US" w:eastAsia="zh-CN"/>
        </w:rPr>
        <w:t>参照评价标准对本部门自评进行抽查，抽查差异在5%以内，自评质量较高。</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outlineLvl w:val="1"/>
        <w:rPr>
          <w:rFonts w:hint="eastAsia" w:ascii="方正黑体_GBK" w:hAnsi="方正黑体_GBK" w:eastAsia="方正黑体_GBK" w:cs="方正黑体_GBK"/>
          <w:color w:val="000000"/>
          <w:kern w:val="0"/>
          <w:szCs w:val="32"/>
          <w:shd w:val="clear" w:color="auto" w:fill="FFFFFF"/>
        </w:rPr>
      </w:pPr>
      <w:bookmarkStart w:id="49" w:name="_Toc25121"/>
      <w:r>
        <w:rPr>
          <w:rFonts w:hint="eastAsia" w:ascii="方正黑体_GBK" w:hAnsi="方正黑体_GBK" w:eastAsia="方正黑体_GBK" w:cs="方正黑体_GBK"/>
          <w:color w:val="000000"/>
          <w:kern w:val="0"/>
          <w:szCs w:val="32"/>
          <w:shd w:val="clear" w:color="auto" w:fill="FFFFFF"/>
        </w:rPr>
        <w:t>四、评价结论及建议</w:t>
      </w:r>
      <w:bookmarkEnd w:id="49"/>
    </w:p>
    <w:p>
      <w:pPr>
        <w:keepNext w:val="0"/>
        <w:keepLines w:val="0"/>
        <w:pageBreakBefore w:val="0"/>
        <w:widowControl w:val="0"/>
        <w:kinsoku/>
        <w:wordWrap/>
        <w:overflowPunct/>
        <w:topLinePunct w:val="0"/>
        <w:bidi w:val="0"/>
        <w:adjustRightInd w:val="0"/>
        <w:snapToGrid w:val="0"/>
        <w:spacing w:line="560" w:lineRule="exact"/>
        <w:ind w:firstLine="643" w:firstLineChars="200"/>
        <w:contextualSpacing/>
        <w:jc w:val="left"/>
        <w:outlineLvl w:val="2"/>
        <w:rPr>
          <w:rFonts w:hint="eastAsia" w:ascii="方正仿宋_GBK" w:hAnsi="方正仿宋_GBK" w:eastAsia="方正仿宋_GBK" w:cs="方正仿宋_GBK"/>
          <w:b/>
          <w:bCs/>
          <w:color w:val="000000"/>
          <w:kern w:val="0"/>
          <w:szCs w:val="32"/>
          <w:shd w:val="clear" w:color="auto" w:fill="FFFFFF"/>
          <w:lang w:val="zh-CN"/>
        </w:rPr>
      </w:pPr>
      <w:bookmarkStart w:id="50" w:name="_Toc3590"/>
      <w:r>
        <w:rPr>
          <w:rFonts w:hint="eastAsia" w:ascii="方正仿宋_GBK" w:hAnsi="方正仿宋_GBK" w:eastAsia="方正仿宋_GBK" w:cs="方正仿宋_GBK"/>
          <w:b/>
          <w:bCs/>
          <w:color w:val="000000"/>
          <w:kern w:val="0"/>
          <w:szCs w:val="32"/>
          <w:shd w:val="clear" w:color="auto" w:fill="FFFFFF"/>
          <w:lang w:val="zh-CN"/>
        </w:rPr>
        <w:t>（一）评价结论。</w:t>
      </w:r>
      <w:bookmarkEnd w:id="50"/>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val="en-US" w:eastAsia="zh-CN"/>
        </w:rPr>
      </w:pPr>
      <w:r>
        <w:rPr>
          <w:rFonts w:hint="eastAsia" w:ascii="方正仿宋_GBK" w:hAnsi="方正仿宋_GBK" w:eastAsia="方正仿宋_GBK" w:cs="方正仿宋_GBK"/>
          <w:color w:val="000000"/>
          <w:kern w:val="0"/>
          <w:szCs w:val="32"/>
          <w:shd w:val="clear" w:color="auto" w:fill="FFFFFF"/>
          <w:lang w:val="en-US" w:eastAsia="zh-CN"/>
        </w:rPr>
        <w:t>2022年广安市应急管理局部门整体绩效自评86.33分。2022年总体绩效目标制定与国家政策法规、部门职能职责、上级和本级市委市政府总体工作要求、重点工作部署等相符，较好地完成本年度工作目标，实现了2022年财政预算支出的绩效目标。</w:t>
      </w:r>
    </w:p>
    <w:p>
      <w:pPr>
        <w:keepNext w:val="0"/>
        <w:keepLines w:val="0"/>
        <w:pageBreakBefore w:val="0"/>
        <w:widowControl w:val="0"/>
        <w:kinsoku/>
        <w:wordWrap/>
        <w:overflowPunct/>
        <w:topLinePunct w:val="0"/>
        <w:bidi w:val="0"/>
        <w:adjustRightInd w:val="0"/>
        <w:snapToGrid w:val="0"/>
        <w:spacing w:line="560" w:lineRule="exact"/>
        <w:ind w:firstLine="643" w:firstLineChars="200"/>
        <w:contextualSpacing/>
        <w:jc w:val="left"/>
        <w:outlineLvl w:val="2"/>
        <w:rPr>
          <w:rFonts w:hint="eastAsia" w:ascii="方正仿宋_GBK" w:hAnsi="方正仿宋_GBK" w:eastAsia="方正仿宋_GBK" w:cs="方正仿宋_GBK"/>
          <w:b/>
          <w:bCs/>
          <w:color w:val="000000"/>
          <w:kern w:val="0"/>
          <w:szCs w:val="32"/>
          <w:shd w:val="clear" w:color="auto" w:fill="FFFFFF"/>
          <w:lang w:val="zh-CN"/>
        </w:rPr>
      </w:pPr>
      <w:bookmarkStart w:id="51" w:name="_Toc11864"/>
      <w:r>
        <w:rPr>
          <w:rFonts w:hint="eastAsia" w:ascii="方正仿宋_GBK" w:hAnsi="方正仿宋_GBK" w:eastAsia="方正仿宋_GBK" w:cs="方正仿宋_GBK"/>
          <w:b/>
          <w:bCs/>
          <w:color w:val="000000"/>
          <w:kern w:val="0"/>
          <w:szCs w:val="32"/>
          <w:shd w:val="clear" w:color="auto" w:fill="FFFFFF"/>
          <w:lang w:val="zh-CN"/>
        </w:rPr>
        <w:t>（二）存在问题。</w:t>
      </w:r>
      <w:bookmarkEnd w:id="51"/>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val="zh-CN" w:eastAsia="zh-CN"/>
        </w:rPr>
      </w:pPr>
      <w:r>
        <w:rPr>
          <w:rFonts w:hint="eastAsia" w:ascii="方正仿宋_GBK" w:hAnsi="方正仿宋_GBK" w:eastAsia="方正仿宋_GBK" w:cs="方正仿宋_GBK"/>
          <w:color w:val="000000"/>
          <w:kern w:val="0"/>
          <w:szCs w:val="32"/>
          <w:shd w:val="clear" w:color="auto" w:fill="FFFFFF"/>
          <w:lang w:val="zh-CN" w:eastAsia="zh-CN"/>
        </w:rPr>
        <w:t>预算编制准确性还有提升的空间，部分项目工作经费预算执行进度偏低。年初预算基本支出多数是按照部门人员数量、部门性质按比例套算科目经费，实际执行过程中，有些刚性支出如电费、气费、工会经费等预算不足。</w:t>
      </w:r>
    </w:p>
    <w:p>
      <w:pPr>
        <w:keepNext w:val="0"/>
        <w:keepLines w:val="0"/>
        <w:pageBreakBefore w:val="0"/>
        <w:widowControl w:val="0"/>
        <w:kinsoku/>
        <w:wordWrap/>
        <w:overflowPunct/>
        <w:topLinePunct w:val="0"/>
        <w:bidi w:val="0"/>
        <w:adjustRightInd w:val="0"/>
        <w:snapToGrid w:val="0"/>
        <w:spacing w:line="560" w:lineRule="exact"/>
        <w:ind w:firstLine="643" w:firstLineChars="200"/>
        <w:contextualSpacing/>
        <w:jc w:val="left"/>
        <w:outlineLvl w:val="2"/>
        <w:rPr>
          <w:rFonts w:hint="eastAsia" w:ascii="方正仿宋_GBK" w:hAnsi="方正仿宋_GBK" w:eastAsia="方正仿宋_GBK" w:cs="方正仿宋_GBK"/>
          <w:b/>
          <w:bCs/>
          <w:color w:val="000000"/>
          <w:kern w:val="0"/>
          <w:szCs w:val="32"/>
          <w:shd w:val="clear" w:color="auto" w:fill="FFFFFF"/>
          <w:lang w:val="zh-CN"/>
        </w:rPr>
      </w:pPr>
      <w:bookmarkStart w:id="52" w:name="_Toc28946"/>
      <w:r>
        <w:rPr>
          <w:rFonts w:hint="eastAsia" w:ascii="方正仿宋_GBK" w:hAnsi="方正仿宋_GBK" w:eastAsia="方正仿宋_GBK" w:cs="方正仿宋_GBK"/>
          <w:b/>
          <w:bCs/>
          <w:color w:val="000000"/>
          <w:kern w:val="0"/>
          <w:szCs w:val="32"/>
          <w:shd w:val="clear" w:color="auto" w:fill="FFFFFF"/>
          <w:lang w:val="zh-CN"/>
        </w:rPr>
        <w:t>（三）改进建议。</w:t>
      </w:r>
      <w:bookmarkEnd w:id="52"/>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val="zh-CN" w:eastAsia="zh-CN"/>
        </w:rPr>
      </w:pPr>
      <w:r>
        <w:rPr>
          <w:rFonts w:hint="eastAsia" w:ascii="方正仿宋_GBK" w:hAnsi="方正仿宋_GBK" w:eastAsia="方正仿宋_GBK" w:cs="方正仿宋_GBK"/>
          <w:color w:val="000000"/>
          <w:kern w:val="0"/>
          <w:szCs w:val="32"/>
          <w:shd w:val="clear" w:color="auto" w:fill="FFFFFF"/>
          <w:lang w:val="en-US" w:eastAsia="zh-CN"/>
        </w:rPr>
        <w:t>1</w:t>
      </w:r>
      <w:r>
        <w:rPr>
          <w:rFonts w:hint="eastAsia" w:ascii="方正仿宋_GBK" w:hAnsi="方正仿宋_GBK" w:eastAsia="方正仿宋_GBK" w:cs="方正仿宋_GBK"/>
          <w:color w:val="000000"/>
          <w:kern w:val="0"/>
          <w:szCs w:val="32"/>
          <w:shd w:val="clear" w:color="auto" w:fill="FFFFFF"/>
          <w:lang w:val="zh-CN" w:eastAsia="zh-CN"/>
        </w:rPr>
        <w:t>.加强预算执行力度。加强对物资采购、项目实施工作力度，督促相关科室人员及时办理相关业务，努力推进预算执行进度，做到当年预算当年支付，最多不能超过两年，提高预算资金使用率，发挥预算资金的使用效益。</w:t>
      </w:r>
    </w:p>
    <w:p>
      <w:pPr>
        <w:keepNext w:val="0"/>
        <w:keepLines w:val="0"/>
        <w:pageBreakBefore w:val="0"/>
        <w:widowControl w:val="0"/>
        <w:kinsoku/>
        <w:wordWrap/>
        <w:overflowPunct/>
        <w:topLinePunct w:val="0"/>
        <w:bidi w:val="0"/>
        <w:adjustRightInd w:val="0"/>
        <w:snapToGrid w:val="0"/>
        <w:spacing w:line="560" w:lineRule="exact"/>
        <w:ind w:firstLine="640" w:firstLineChars="200"/>
        <w:contextualSpacing/>
        <w:jc w:val="left"/>
        <w:rPr>
          <w:rFonts w:hint="eastAsia" w:ascii="方正仿宋_GBK" w:hAnsi="方正仿宋_GBK" w:eastAsia="方正仿宋_GBK" w:cs="方正仿宋_GBK"/>
          <w:color w:val="000000"/>
          <w:kern w:val="0"/>
          <w:szCs w:val="32"/>
          <w:shd w:val="clear" w:color="auto" w:fill="FFFFFF"/>
          <w:lang w:val="en-US" w:eastAsia="zh-CN"/>
        </w:rPr>
      </w:pPr>
      <w:r>
        <w:rPr>
          <w:rFonts w:hint="eastAsia" w:ascii="方正仿宋_GBK" w:hAnsi="方正仿宋_GBK" w:eastAsia="方正仿宋_GBK" w:cs="方正仿宋_GBK"/>
          <w:color w:val="000000"/>
          <w:kern w:val="0"/>
          <w:szCs w:val="32"/>
          <w:shd w:val="clear" w:color="auto" w:fill="FFFFFF"/>
          <w:lang w:val="en-US" w:eastAsia="zh-CN"/>
        </w:rPr>
        <w:t>2.提高预算编制准确度。根据上年度预算实际执行情况和支出绩效评价结果，加强预算需求分析，合理调节指标明细科目的使用额度，提高预算编制准确度。</w:t>
      </w:r>
    </w:p>
    <w:p>
      <w:pPr>
        <w:keepNext w:val="0"/>
        <w:keepLines w:val="0"/>
        <w:pageBreakBefore w:val="0"/>
        <w:widowControl w:val="0"/>
        <w:kinsoku/>
        <w:wordWrap/>
        <w:overflowPunct/>
        <w:topLinePunct w:val="0"/>
        <w:bidi w:val="0"/>
        <w:spacing w:beforeLines="0" w:afterLines="0"/>
        <w:jc w:val="both"/>
        <w:rPr>
          <w:rFonts w:hint="eastAsia" w:ascii="仿宋_GB2312" w:hAnsi="仿宋_GB2312" w:eastAsia="仿宋_GB2312"/>
          <w:color w:val="auto"/>
          <w:sz w:val="32"/>
          <w:szCs w:val="24"/>
          <w:lang w:val="en-US"/>
        </w:rPr>
      </w:pPr>
      <w:r>
        <w:rPr>
          <w:rFonts w:hint="eastAsia" w:ascii="方正仿宋_GBK" w:hAnsi="方正仿宋_GBK" w:eastAsia="方正仿宋_GBK" w:cs="方正仿宋_GBK"/>
          <w:color w:val="auto"/>
          <w:sz w:val="32"/>
          <w:szCs w:val="24"/>
          <w:lang w:val="en-US"/>
        </w:rPr>
        <w:t>附表：部门预算项目支出绩效自评表（2022年度）</w:t>
      </w:r>
    </w:p>
    <w:p>
      <w:pPr>
        <w:pStyle w:val="13"/>
        <w:keepNext w:val="0"/>
        <w:keepLines w:val="0"/>
        <w:pageBreakBefore w:val="0"/>
        <w:widowControl w:val="0"/>
        <w:kinsoku/>
        <w:wordWrap/>
        <w:overflowPunct/>
        <w:topLinePunct w:val="0"/>
        <w:bidi w:val="0"/>
        <w:rPr>
          <w:rFonts w:hint="eastAsia" w:ascii="仿宋_GB2312" w:hAnsi="仿宋_GB2312" w:eastAsia="仿宋_GB2312"/>
          <w:color w:val="auto"/>
          <w:sz w:val="32"/>
          <w:szCs w:val="24"/>
          <w:lang w:val="en-US"/>
        </w:rPr>
      </w:pPr>
    </w:p>
    <w:p>
      <w:pPr>
        <w:keepNext w:val="0"/>
        <w:keepLines w:val="0"/>
        <w:pageBreakBefore w:val="0"/>
        <w:widowControl w:val="0"/>
        <w:kinsoku/>
        <w:wordWrap/>
        <w:overflowPunct/>
        <w:topLinePunct w:val="0"/>
        <w:bidi w:val="0"/>
        <w:rPr>
          <w:rFonts w:hint="eastAsia" w:ascii="仿宋_GB2312" w:hAnsi="仿宋_GB2312" w:eastAsia="仿宋_GB2312"/>
          <w:color w:val="auto"/>
          <w:sz w:val="32"/>
          <w:szCs w:val="24"/>
          <w:lang w:val="en-US"/>
        </w:rPr>
      </w:pPr>
    </w:p>
    <w:p>
      <w:pPr>
        <w:pStyle w:val="13"/>
        <w:keepNext w:val="0"/>
        <w:keepLines w:val="0"/>
        <w:pageBreakBefore w:val="0"/>
        <w:widowControl w:val="0"/>
        <w:kinsoku/>
        <w:wordWrap/>
        <w:overflowPunct/>
        <w:topLinePunct w:val="0"/>
        <w:bidi w:val="0"/>
        <w:rPr>
          <w:rFonts w:hint="eastAsia" w:ascii="仿宋_GB2312" w:hAnsi="仿宋_GB2312" w:eastAsia="仿宋_GB2312"/>
          <w:color w:val="auto"/>
          <w:sz w:val="32"/>
          <w:szCs w:val="24"/>
          <w:lang w:val="en-US"/>
        </w:rPr>
      </w:pPr>
    </w:p>
    <w:p>
      <w:pPr>
        <w:keepNext w:val="0"/>
        <w:keepLines w:val="0"/>
        <w:pageBreakBefore w:val="0"/>
        <w:widowControl w:val="0"/>
        <w:kinsoku/>
        <w:wordWrap/>
        <w:overflowPunct/>
        <w:topLinePunct w:val="0"/>
        <w:bidi w:val="0"/>
        <w:rPr>
          <w:rFonts w:hint="eastAsia" w:ascii="仿宋_GB2312" w:hAnsi="仿宋_GB2312" w:eastAsia="仿宋_GB2312"/>
          <w:color w:val="auto"/>
          <w:sz w:val="32"/>
          <w:szCs w:val="24"/>
          <w:lang w:val="en-US"/>
        </w:rPr>
      </w:pPr>
    </w:p>
    <w:p>
      <w:pPr>
        <w:pStyle w:val="13"/>
        <w:keepNext w:val="0"/>
        <w:keepLines w:val="0"/>
        <w:pageBreakBefore w:val="0"/>
        <w:widowControl w:val="0"/>
        <w:kinsoku/>
        <w:wordWrap/>
        <w:overflowPunct/>
        <w:topLinePunct w:val="0"/>
        <w:bidi w:val="0"/>
        <w:rPr>
          <w:rFonts w:hint="eastAsia" w:ascii="仿宋_GB2312" w:hAnsi="仿宋_GB2312" w:eastAsia="仿宋_GB2312"/>
          <w:color w:val="auto"/>
          <w:sz w:val="32"/>
          <w:szCs w:val="24"/>
          <w:lang w:val="en-US"/>
        </w:rPr>
      </w:pPr>
    </w:p>
    <w:p>
      <w:pPr>
        <w:keepNext w:val="0"/>
        <w:keepLines w:val="0"/>
        <w:pageBreakBefore w:val="0"/>
        <w:widowControl w:val="0"/>
        <w:kinsoku/>
        <w:wordWrap/>
        <w:overflowPunct/>
        <w:topLinePunct w:val="0"/>
        <w:bidi w:val="0"/>
        <w:rPr>
          <w:rFonts w:hint="eastAsia" w:ascii="仿宋_GB2312" w:hAnsi="仿宋_GB2312" w:eastAsia="仿宋_GB2312"/>
          <w:color w:val="auto"/>
          <w:sz w:val="32"/>
          <w:szCs w:val="24"/>
          <w:lang w:val="en-US"/>
        </w:rPr>
      </w:pPr>
    </w:p>
    <w:p>
      <w:pPr>
        <w:pStyle w:val="13"/>
        <w:keepNext w:val="0"/>
        <w:keepLines w:val="0"/>
        <w:pageBreakBefore w:val="0"/>
        <w:widowControl w:val="0"/>
        <w:kinsoku/>
        <w:wordWrap/>
        <w:overflowPunct/>
        <w:topLinePunct w:val="0"/>
        <w:bidi w:val="0"/>
        <w:rPr>
          <w:rFonts w:hint="eastAsia" w:ascii="仿宋_GB2312" w:hAnsi="仿宋_GB2312" w:eastAsia="仿宋_GB2312"/>
          <w:color w:val="auto"/>
          <w:sz w:val="32"/>
          <w:szCs w:val="24"/>
          <w:lang w:val="en-US"/>
        </w:rPr>
      </w:pPr>
    </w:p>
    <w:p>
      <w:pPr>
        <w:keepNext w:val="0"/>
        <w:keepLines w:val="0"/>
        <w:pageBreakBefore w:val="0"/>
        <w:widowControl w:val="0"/>
        <w:kinsoku/>
        <w:wordWrap/>
        <w:overflowPunct/>
        <w:topLinePunct w:val="0"/>
        <w:bidi w:val="0"/>
        <w:rPr>
          <w:rFonts w:hint="eastAsia" w:ascii="仿宋_GB2312" w:hAnsi="仿宋_GB2312" w:eastAsia="仿宋_GB2312"/>
          <w:color w:val="auto"/>
          <w:sz w:val="32"/>
          <w:szCs w:val="24"/>
          <w:lang w:val="en-US"/>
        </w:rPr>
      </w:pPr>
    </w:p>
    <w:p>
      <w:pPr>
        <w:keepNext w:val="0"/>
        <w:keepLines w:val="0"/>
        <w:pageBreakBefore w:val="0"/>
        <w:widowControl w:val="0"/>
        <w:kinsoku/>
        <w:wordWrap/>
        <w:overflowPunct/>
        <w:topLinePunct w:val="0"/>
        <w:bidi w:val="0"/>
        <w:ind w:left="0" w:leftChars="0" w:firstLine="0" w:firstLineChars="0"/>
        <w:rPr>
          <w:rFonts w:hint="eastAsia" w:ascii="仿宋_GB2312" w:hAnsi="仿宋_GB2312" w:eastAsia="仿宋_GB2312"/>
          <w:color w:val="auto"/>
          <w:sz w:val="32"/>
          <w:szCs w:val="24"/>
          <w:lang w:val="en-US"/>
        </w:rPr>
      </w:pPr>
    </w:p>
    <w:tbl>
      <w:tblPr>
        <w:tblStyle w:val="14"/>
        <w:tblW w:w="115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16"/>
        <w:gridCol w:w="510"/>
        <w:gridCol w:w="786"/>
        <w:gridCol w:w="32"/>
        <w:gridCol w:w="916"/>
        <w:gridCol w:w="967"/>
        <w:gridCol w:w="101"/>
        <w:gridCol w:w="375"/>
        <w:gridCol w:w="201"/>
        <w:gridCol w:w="690"/>
        <w:gridCol w:w="426"/>
        <w:gridCol w:w="50"/>
        <w:gridCol w:w="886"/>
        <w:gridCol w:w="454"/>
        <w:gridCol w:w="422"/>
        <w:gridCol w:w="127"/>
        <w:gridCol w:w="378"/>
        <w:gridCol w:w="171"/>
        <w:gridCol w:w="495"/>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004" w:type="dxa"/>
            <w:gridSpan w:val="8"/>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C0C0C0"/>
                <w:sz w:val="20"/>
                <w:szCs w:val="20"/>
                <w:u w:val="none"/>
              </w:rPr>
            </w:pPr>
          </w:p>
        </w:tc>
        <w:tc>
          <w:tcPr>
            <w:tcW w:w="576" w:type="dxa"/>
            <w:gridSpan w:val="2"/>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22"/>
                <w:szCs w:val="22"/>
                <w:u w:val="none"/>
              </w:rPr>
            </w:pPr>
          </w:p>
        </w:tc>
        <w:tc>
          <w:tcPr>
            <w:tcW w:w="2928" w:type="dxa"/>
            <w:gridSpan w:val="6"/>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20"/>
                <w:szCs w:val="20"/>
                <w:u w:val="none"/>
              </w:rPr>
            </w:pPr>
          </w:p>
        </w:tc>
        <w:tc>
          <w:tcPr>
            <w:tcW w:w="505" w:type="dxa"/>
            <w:gridSpan w:val="2"/>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22"/>
                <w:szCs w:val="22"/>
                <w:u w:val="none"/>
              </w:rPr>
            </w:pPr>
          </w:p>
        </w:tc>
        <w:tc>
          <w:tcPr>
            <w:tcW w:w="666" w:type="dxa"/>
            <w:gridSpan w:val="2"/>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22"/>
                <w:szCs w:val="22"/>
                <w:u w:val="none"/>
              </w:rPr>
            </w:pPr>
          </w:p>
        </w:tc>
        <w:tc>
          <w:tcPr>
            <w:tcW w:w="1845" w:type="dxa"/>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1524"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51160021T000000065971-安全生产综合监管平台运行维护专项经费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2"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广安市应急管理局部门</w:t>
            </w: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保障安全生产综合监管平台正常运行，有效监控重点企业的安全生产。</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监管平台实现24小时在岗值班值守，同时对全市14户煤矿安全监控系统和国家矿山安全预警系统运行情况进行实时监控、及时响应、精准处置。一年来,共处置瓦斯、一氧化碳、主要通风机停运等超限报警10次，同比下降78.72%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整合煤矿瓦斯监控、人员定位、视频监控等信息化系统，构建广安市煤矿综合监管平台。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系统开发数量</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个</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系统验收合格率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系统故障率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系统故障修复处理时间</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小时</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系统运行维护响应时间</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分钟</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线路租用成本</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15</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使用人员满意度</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85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righ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得分100分，广安市煤矿综合监管平台建成后，进一步强化了全市矿山安全监管手段，提升了安全生产综合监管能力，有力地保障了矿山企业生命财产安全。一是可有效提升煤矿安全生产风险防范化解能力和安全监管能力,有效减少大量不必要的人力和物力投入。二是可有力提升煤矿企业科学预防、过程管控、综合治理、精准治理水平，大大提高事故应急响应能力，避免事故造成的直接和间接经济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5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94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29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2016" w:type="dxa"/>
            <w:gridSpan w:val="4"/>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93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05"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66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845"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1524"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51160022T000000425396-风险普查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广安市应急管理局部门</w:t>
            </w: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开展全市自然灾害综合风险普查，全面获取主要灾害致灾信息、承灾体信息、历史灾害信息，摸清灾害风险隐患底数，查明重点区域抗灾能力，进行主要灾害风险评估和综合风险评估，编制各级自然灾害系列风险图；修订主要灾种区划，编制综合风险区划和灾害综合防治区划。客观认识灾害综合风险水平，形成自然灾害防治建议，为全市有效开展自然灾害防治和应急管理、切实保障经济社会高质量发展提供权威的灾害风险信息和科学决策依据。</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完成2022年度全部项目年度目标。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开展全市自然灾害综合风险普查，全面获取主要灾害致灾信息、承灾体信息、历史灾害信息，摸清灾害风险隐患底数，查明重点区域抗灾能力，进行主要灾害风险评估和综合风险评估，编制各级自然灾害系列风险图；修订主要灾种区划，编制综合风险区划和灾害综合防治区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35.23</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4.89</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13.87%</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1.39</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在项目实施过程中，市普查办工作人员完成了普查年度项目。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35.23</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4.89</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13.87%</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2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自然灾害风险评估、多灾种综合风险评估</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张</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制修订省级主要自然灾害和综合风险区划图</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张</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编制各级自然灾害风险单要素地图、单灾种风险图和综合风险图</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张</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获取全市灾害信息</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2022年</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2022.12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月</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2022.12</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风险普查费用</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4.89</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认识灾害综合风险水平</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群众满意度</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85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 xml:space="preserve">91.39 </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项目自评得分91.39分，在项目实施过程中，市普查办工作人员完成了普查年度项目。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5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94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29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2016" w:type="dxa"/>
            <w:gridSpan w:val="4"/>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93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05"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66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845"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1524"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51160022T000000425402-执法专项行动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广安市应急管理局部门</w:t>
            </w: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打击查处安全生产非法违法生产经营行为，督促企业落实安全主体责任，提高本质安全水平，防范和遏制生产安全事故。</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对71家企业开展了专项执法检查，消除事故风险隐患，有效遏制了生产安全事故。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对71家企业开展了专项执法检查，消除事故风险隐患，有效遏制了生产安全事故。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69.98</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69.98</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69.98</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69.98</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检查企业户次</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71</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执法检查准确率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完成时间</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2022.12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月</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2022.12</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交通费、住宿费及执法实训活动费用</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69.98</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69.98</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企业本质安全水平</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优良中低差</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级</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企业满意度</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98</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85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得分100分，开展执法专项行动，提高了企业、单位和场所的安全生产管理水平，加强了安全生产教育和培训，普及了安全生产知识。通过督促企业落实主体责任，指导企业全面管控风险，落实各项安全防控措施，切实消除了安全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安全生产法律法规牵涉到执法主体多,存在条块机构重叠、职能交叉和职责不明现象。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加强安全生产法制建设，完善法律法规，制定和修改配套的地方实施性规章。进一步厘清部门责任，推动党政相关部门责任落实。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5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94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29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2016" w:type="dxa"/>
            <w:gridSpan w:val="4"/>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93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05"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66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845"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1524"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51160022T000000425403-灾害信息员培训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广安市应急管理局部门</w:t>
            </w: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对各县（市、区）、园区灾害信息员开展业务培训，提升报灾质效。</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完成对全市各县（市、区）、广安经开区灾害信息员培训，提升报灾质效。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2022年广安市举办4场市级灾害信息员培训，共计培训225名灾害信息员，其中县级221名。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4.25</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85.10%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8.51</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厉行节约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4.25</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85.10%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2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对各县（市、区）、园区灾害信息员开展业务培训</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人</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60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开展督导检查</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16</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培训参与率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完成时间</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2022.12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月</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2022.12</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培训费用</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4.25</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培训人员能力水平</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优良中低差</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级</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培训人员满意度</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85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98.51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项目自评得分98.51分，通过举办灾害信息员培训，提高了基层灾害信息员防灾救灾报灾能力。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5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94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29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2016" w:type="dxa"/>
            <w:gridSpan w:val="4"/>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93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05"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66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845"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1524"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51160022T000000425404-森林防灭火专项经费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广安市应急管理局部门</w:t>
            </w: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全市森林防灭火工作顺利高效开展，确保全市森林资源安全。</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2022年12月前完成森林防灭火相关会议15次，督导检查40次、宣传培训2次，督导检查覆盖率100%，专项经费使用9.34万元，群众满意度100%。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多次召开市委常委会、市政府常务会组织学习贯彻党中央、国务院</w:t>
            </w:r>
          </w:p>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和省委省政府关于森林防灭火工作决策部署，防火期内常态化开展森林防灭火督导检查，积极开展森林防火宣传，着力营造全民动员、群策群力抓防火的良好氛围。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9.34</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93.38%</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9.34</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9.34</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93.38%</w:t>
            </w:r>
            <w:bookmarkStart w:id="87" w:name="_GoBack"/>
            <w:bookmarkEnd w:id="87"/>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2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召开森林防灭火相关会议、印制相关资料</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15</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开展督导检查、外出考察学习</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开展宣传培训</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督导检查覆盖率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完成时间</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2022.12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月</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2022.12</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专项经费</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9.34</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提高森林防灭火工作效率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优良中低差</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级</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群众满意度</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85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righ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99.34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得分99.34分。市应急局多次召开专题会议，定期研究部署森林防灭火工作，建立完善责任体系，严格落实省委省政府和市委市政府有关要求，常态化开展督导检查，定期开展森林防灭火培训，提升森林火情、火灾应对处置能力，发放森林防灭火宣传资料80余万份、张贴森林防火命令5万余张，电视台、报社刊播防火宣传片110次、刊发防灭火宣传稿件50余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5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94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29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2016" w:type="dxa"/>
            <w:gridSpan w:val="4"/>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93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05"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66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845"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1524"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51160022T000000430003-安全生产月活动经费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广安市应急管理局部门</w:t>
            </w: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以增强全民安全生产意识、提高防灾减灾救灾能力、及时消除安全隐患、有效遏制生产安全事故为目标，推动基层和企业严格安全管理，落实安全生产责任，围绕重点行业领域问题整改、典型宣传、隐患曝光和网络宣传、知识普及、有奖举报等内容，开展既有声势又有实效的宣传教育活动，促进安全生产水平提升和安全生产形势持续稳定好转，为我市营造良好的安全环境。</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增强了全民安全生产意识、提高了防灾减灾救灾能力；有效遏制了生产安全事故发生，促进了全市安全形势持续稳定好转。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安全生产月活动项目购买了安全生产宣传品 ,开展了启动仪式及集中咨询日等系列宣传活动；所有活动费用支出已在计划时间完成。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2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宣传教育资料</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套</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安全教育片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套</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全市宣传规模</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完成时间</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2022.12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月</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2022.12</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宣传教育费用</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广安市民应急和安全意识</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定性</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高中低</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级</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高</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群众满意度</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98</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85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得分100分，安全生产月活动项目总计费用5万元整，经济、社会、生态、可持续效益显著，达到了预期效果，全面提高了全民安全素质、增强了全民应急意识、提升了防灾减灾救灾能力、遏制了安全事故的发生，促进了全市安全形势持续稳定好转。广大市民满意度≧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5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94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29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2016" w:type="dxa"/>
            <w:gridSpan w:val="4"/>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93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05"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66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845"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1524"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51160022T000000434218-防汛抗旱指挥部办公室工作经费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广安市应急管理局部门</w:t>
            </w: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全市防汛抗旱工作顺利高效开展，有效防范重大水旱灾害，全力保障人民生命财产安全。</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完成2022年度防汛任务，有效防范了重大水旱灾害。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全市防汛抗旱工作顺利高效开展。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25.27</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84.23%</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8.42</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使用25.27万元，圆满完成2022年度防汛任务。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25.27</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84.23%</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2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督导检查</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办文办会</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29</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业务培训</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督导检查覆盖率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完成时间</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2022.12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月</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2022.12</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防汛抗旱专项费用</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万元</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保障人民生命财产安全</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群众满意度</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85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righ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98.42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项目自评得分98.42分，完成了全年防汛工作，有力保障了全市人民生命安全。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5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94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29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2016" w:type="dxa"/>
            <w:gridSpan w:val="4"/>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93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05"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66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845"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1524"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51160022T000005878400-专家费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广安市应急管理局部门</w:t>
            </w: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行政执法更专业、行政审批更准确，为我局安全生产工作把好安全技术关，提高应急处置能力</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强化了执法检查、安全评价、安全设计审查的专业性、规范性，有效提升了监管与执法的效率与水平。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聘请专家参与隐患排查、安全生产执法检查、项目“三同时”评审等工作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152.47</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150.93</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98.99%</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9.9</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152.47</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150.93</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98.99%</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聘请专家数量</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859</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检查覆盖率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2022.12</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专家费</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152.47</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150.93</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提高应急处置能力</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99.5</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85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99.9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项目自评得分99.9分，聘请专家对计划中企业进行100%全覆盖，充分发挥社会化服务机构和专家团队在日常安全生产管理工作中的协助作用，织密企业安全风险防控网，提升企业的本质安全水平。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应急处置能力还有待增强。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抓宣传教育，加强应急知识推广；抓值班值守，建立应急联动机制；抓隐患排查，落实预防为主方针。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55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94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29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2016" w:type="dxa"/>
            <w:gridSpan w:val="4"/>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93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05"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66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845"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1524"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51160022T000006014420-辅助安全人员执法经费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广安市应急管理局部门</w:t>
            </w: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促进全市安全生产形势持续稳定好转，应急处突和防灾减灾能力不断提高。</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已按照年初下达指标逐月完成辅助安全人员经费支付。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支付辅助安全人员工资、保险等费用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136.00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136.00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136.00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136.00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聘请辅助安全人员数量</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辅助安全监管执法人员经费</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保障应急管理和安全生产监管执法工作正常运转</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提高应急处突和防灾减灾能力</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考核满意度</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85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项目自评得分100分，2022年共聘请辅助安全人员20名，协助我局较好完成安全监管执法任务。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55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94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29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2016" w:type="dxa"/>
            <w:gridSpan w:val="4"/>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93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05"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66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845"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1524"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51160022T000006014446-委托业务费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广安市应急管理局部门</w:t>
            </w: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加强全市安全生产重点行业领域的监管，督促企业落实主体责任，防范化解安全风险，提高安全本质水平，促进全市安全生产形势持续稳定好转。</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有效解决监管人员不足，能力不够等问题。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对4户国有重点煤矿分别开展1次解剖式检查，对4户生产矿井开展煤矿安全生产标准化管理体系达标情况进行动态考评，考评结果为合格。对8家企业开展了安全生产执法检查，开展72件次项目“三同时”评审，开展培训2次，开展日常检查246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95.86</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95.86</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95.86</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95.86</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聘请专业机构、专业人员数量</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检查覆盖率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委托业务费</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95.86</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95.86</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提高安全本质水平</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99.5</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85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项目自评得分100分，有效解决监管人员不足，能力不够等问题。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55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94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29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2016" w:type="dxa"/>
            <w:gridSpan w:val="4"/>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93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05"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66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845"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1524"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51160022T000006055284-安全生产专项资金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广安市应急管理局部门</w:t>
            </w: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实现党政领导责任清单履职信息化、智能化，并实时对市重点企业管理责任清单进行智能化监管，提升安全监管能力和水平。</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招标工作正在有序进行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清单制管理系统与安全生产综合监管平台融合，招标工作正在有序进行。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97.00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10.31%</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1.03</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招标工作正在有序进行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97.00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10.31%</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监管覆盖率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目前正在走招投标程序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目前正在走招投标程序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市安全生产清单制管理信息化平台</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安全生产综合监管平台正在建设中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安全生产专项资金</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安全生产综合监管平台正在建设中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提升安全监管能力和水平</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安全生产综合监管平台正在建设中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安全生产综合监管平台正在建设中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85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项目自评得分2.58分，该项目因前期将清单制管理系统与安全生产综合监管平台融合，经过调研、论证、协调会等方式对安全生产综合监管平台相关内容确定，目前该项目正在进行招标工作。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该项目进度缓慢，没有按时完成任务。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下一步，我局将加大安全生产综合监管平台建设推进力度，落实专人负责跟踪，按照时间节点高质量完成建设任务，预计2023年10月上线试运行。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55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94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29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2016" w:type="dxa"/>
            <w:gridSpan w:val="4"/>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93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05"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66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845"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1524"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51160022T000006055342-中省抗洪抢险资金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广安市应急管理局部门</w:t>
            </w: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确保全市抗洪抢险工作顺利高效开展，全力保障人民生命财产安全。</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完成全年目标任务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分两批采购，第一批防汛物资使用53.39万元，未支付质保金3.41万元；第二批采购防汛物资应使用23.2万元，未支付。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53.39</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66.74%</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6.67</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分两批采购，第一批防汛物资使用53.39万元，未支付质保金3.41万元；第二批采购防汛物资应使用23.2万元，未支付。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53.39</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66.74%</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督导检查次数</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督导检查覆盖率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抗洪抢险资金</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保障人民生命财产安全</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85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righ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96.67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项目自评得分96.67分，完成了全年项目目标任务，提升了我市防汛减灾能力。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55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94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29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2016" w:type="dxa"/>
            <w:gridSpan w:val="4"/>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93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05"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66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845"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1524"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51160022T000006055402-安全生产目标管理奖励资金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广安市应急管理局部门</w:t>
            </w: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激发从事安全生产监督管理的单位及个人自觉性、积极性，促进全市安全形势持续稳定。</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全市安全形势稳定。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补充安全生产监管工作经费，弥补安全生产监管资金不足的问题。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事故起数、死亡人数同比减少</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防范生产安全事故发生，坚决遏制重特大事故</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安全生产目标管理奖励资金</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促进全市安全形势持续稳定</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85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项目自评得分100分，有效弥补安全生产监管资金不足的问题。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55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94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29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2016" w:type="dxa"/>
            <w:gridSpan w:val="4"/>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93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05"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66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845"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1524"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51160022T000006208492-招商引资奖补资金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广安市应急管理局部门</w:t>
            </w: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按照全省统一安排部署，用于开展重大招商引资项目引进、主导产业发展等工作。</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完成重大招商引资项目引进、主导产业发展等工作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对重大招商引资项目引进、主导产业发展做出重大贡献。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招商次数</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对象准确率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企业水平</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企业满意度</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85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项目自评得分100分，对重大招商引资项目引进、主导产业发展做出重大贡献。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55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94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29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2016" w:type="dxa"/>
            <w:gridSpan w:val="4"/>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93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05"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66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845"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1524"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51160022T000006693405-综合行政执法制式服装及标志经费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广安市应急管理局部门</w:t>
            </w: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根据《四川省综合行政执法制服服装和标志管理实施办法的通知》（川财行〔2021〕26号）、《四川省应急管理厅关于配合做好应急管理系统综合行政执法制式服装及标志采购后续有关工作的通知》精神，我局需采购一批综合行政执法制式服装，目的是加强综合行政执法制式服装和标志管理，推进规范文明执法。</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加强综合行政执法制式服装和标志管理，推进规范文明执法。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2022年采购55套综合行政执法制式服装。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20.10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20.10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20.10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20.10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服装质量合格率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2022.12</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采购服装经费</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服装数量</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加强综合行政执法制式服装和标志管理</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结果满意度</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85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项目自评得分100分，该项目采购了综合行政执法制式服装，标志着我们规范执法步入新台阶，为执法奠定了有力基础。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55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94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29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2016" w:type="dxa"/>
            <w:gridSpan w:val="4"/>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93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05"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66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845"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1524"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51160023T000007656324-中央自然灾害救灾资金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广安市应急管理局部门</w:t>
            </w: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解决城乡居民用水困难，购买、租赁应急储水、净水、供水设备，组织人员保障城乡居民生活用水等方面。</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2022年解决城乡居民用水困难，购买、租赁应急储水、净水、供水设备，组织人员保障城乡居民生活用水等任务已完成。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2022年任务已完成，但由于中央资金下达较晚，无法支付。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中央资金下达较晚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80.00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覆盖区市县及园区</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对象准确率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保障城乡居民生活用水等</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85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项目自评得分90分，该由于中央资金下达较晚，无法支付。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jc w:val="center"/>
        </w:trPr>
        <w:tc>
          <w:tcPr>
            <w:tcW w:w="55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94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57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29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2016" w:type="dxa"/>
            <w:gridSpan w:val="4"/>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93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05"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66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845"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1524"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51160023T000008113248-安委会巡查专项工作经费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广安市应急管理局部门</w:t>
            </w: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全力做好省安委会安全生产巡查组在广安工作期间后勤保障工作，进一步强化工作举措，以迎接安全生产巡查为契机，推进全市安全生产形势持续稳定向好。</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扎实开展安全生产专项整治行动，聚焦重点行业、重点部位、重点时段，全面推进各项任务措施落实,全面管控安全风险,全面排查整治安全隐患,坚决防范遏制较大事故发生，确保全市安全生产形势稳定。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通过省安委会巡查摸清近2年全市安全生产情况，巡查检查反馈问题 431 个,完成整改 431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9.82</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9.82</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9.82</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9.82</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保障巡查天数</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个工作日</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巡查按需保障率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保障时限</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推进全市安全生产工作</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推进</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推进</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巡查组满意度</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85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项目自评得分100分，通过省安委会巡查摸清近2年全市安全生产情况，巡查检查反馈问题 431 个,完成整改 431 个。扎实开展安全生产专项整治行动，聚焦重点行业、重点部位、重点时段，全面推进各项任务措施落实,全面管控安全风险,全面排查整治安全隐患,坚决防范遏制较大事故发生，确保全市安全生产形势稳定。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5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94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57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29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2016" w:type="dxa"/>
            <w:gridSpan w:val="4"/>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93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05"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66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845"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1524"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51160023T000008578140-安全生产举报奖励资金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广安市应急管理局部门</w:t>
            </w: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进一步加强安全生产领域的社会监督，鼓励举报重大事故隐患和安全生产违法行为。</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2022年度市应急管理局接受安全生产重大事故隐患举报事件1起，奖励0.2万元。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2022年度市应急管理局接受安全生产重大事故隐患举报事件1起，奖励0.2万元。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0.20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0.20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0.20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0.20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举报次数</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举报奖励属实率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任务完成时间</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安全生产领域的社会监督</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举报人满意度</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85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得分100分，2022年度市应急管理局接受安全生产重大事故隐患举报事件1起，奖励0.2万元。建全安全生产领域的社会监督制度，鼓励举报重大事故隐患和安全生产违法行为，提升了职工群众参与、支持安全生产工作的积极性，激励广大群众“敢举报、愿举报”，使有奖举报成为新形势下安全生产工作的重要抓手，为全市安全发展作出更大贡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广大群众和从业人员对重大安全隐患判定标准不清楚。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要加大宣传力度，提升群众辨识隐患的能力。拓宽广度、加大力度、增强深度，强化广大群众和从业人员安全生产宣传教育，运用电视、报纸、网站、新媒体和在企业醒目位置广泛宣传重大安全隐患判定标准，引导群众“能辨识、会举报”，全力营造“全民参与、共护平安”的浓厚氛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5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94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57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29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2016" w:type="dxa"/>
            <w:gridSpan w:val="4"/>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93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05"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66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845"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1524"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51160023T000008625086-引进高层次人才和选调生住房与搬迁安置补助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广安市应急管理局部门</w:t>
            </w: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保障引进人才权益</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根据人才强市相关措施，完成选调生安家费支付。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2022年12月，财政局下达人才安家费后及时支付到选调生个人账户。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发放安家费人数</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安家费发放足额率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安家费发放时限</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减少人才流失</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引进人才满意度</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85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项目自评得分100分，保障了引进人才权益。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5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94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7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29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2016" w:type="dxa"/>
            <w:gridSpan w:val="4"/>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93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05"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66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845"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1524"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51160023T000008695953-武警广安支队营房营具资金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广安市应急管理局部门</w:t>
            </w: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提升武警广安支队战备处突能力</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资金下达较晚（2022.12.28下达），无法及时实施项目。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资金下达较晚（2022.12.28下达）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255.56</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资金下达较晚（2022.12.28下达）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255.56</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营房设施</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产品质量合格率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武警广安支队战备处突能力</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85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项目自评得分0分，资金下达较晚（2022.12.28下达），无法及时实施项目。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资金下达晚，无法实施项目。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及时沟通，按时完成。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5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94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57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29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2016" w:type="dxa"/>
            <w:gridSpan w:val="4"/>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93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05"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66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845"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1524"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51160023T000008736712-广安市安全生产监管、应急救援暨党建工作教育培训经费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广安市应急管理局部门</w:t>
            </w: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提升广大干部安全生产监管、应急管理、应急救援能力和综合素质，强化安全生产监管、应急救援专业知识、专业技能、专业素质和党性教育培训。</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进一步提高了各地各部门人员的安全生产和应急救援能力。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2022年10月下旬至11月上旬，组织全市相关部门、各县（市、区）政府及应急管理系统人员赴西华大学郫都校区应急管理学院开展为期5天（共2期）的安全生产监管、应急救援暨党建工作教育培训班。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14.30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财政资金下达较晚，平台已扎帐。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14.30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培训人数</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结业证书取得率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培训时间</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广大干部安全生产监管、应急管理、应急救援能力和综合素质的提升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培训对象满意度</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85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得分100分，该项目组织了全市相关部门、各县（市、区）政府及应急管理系统人员赴西华大学郫都校区应急管理学院开展为期5天（共2期）的安全生产监管、应急救援暨党建工作教育培训班，进一步提高了各地各部门人员的安全生产和应急救援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5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94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29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2016" w:type="dxa"/>
            <w:gridSpan w:val="4"/>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93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05"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66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845"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11524"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51160022T000005752901-市应急指挥中心建设项目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广安市应急管理局部门</w:t>
            </w:r>
          </w:p>
        </w:tc>
        <w:tc>
          <w:tcPr>
            <w:tcW w:w="8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0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59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广安市指挥中心土建完成后，为广安市指挥中心信息化建设项目提供场地支撑。</w:t>
            </w:r>
          </w:p>
        </w:tc>
        <w:tc>
          <w:tcPr>
            <w:tcW w:w="38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项目已建设完成，待支付。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83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完成广安市应急指挥中心土建项目，占地面积460.8平方米，建筑面积2688平方米。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273.00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273.00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2022年12月29日下达资金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273.00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273.00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2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微软雅黑" w:hAnsi="微软雅黑" w:eastAsia="微软雅黑" w:cs="微软雅黑"/>
                <w:i/>
                <w:iCs/>
                <w:color w:val="000000"/>
                <w:sz w:val="16"/>
                <w:szCs w:val="16"/>
                <w:u w:val="none"/>
              </w:rPr>
            </w:pP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占地面积</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460.8</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460.8</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建筑面积</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2688</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2688</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房屋验收合格率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应急指挥中心土建项目</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1146</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799.39</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提供应用服务</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各级各类应急人员满意度</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85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项目自评得分100分，2022年底项目已建设完成。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10948"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55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项目负责人：李明</w:t>
            </w:r>
          </w:p>
        </w:tc>
        <w:tc>
          <w:tcPr>
            <w:tcW w:w="594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22"/>
                <w:szCs w:val="22"/>
                <w:u w:val="none"/>
              </w:rPr>
            </w:pPr>
          </w:p>
        </w:tc>
        <w:tc>
          <w:tcPr>
            <w:tcW w:w="1116" w:type="dxa"/>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22"/>
                <w:szCs w:val="22"/>
                <w:u w:val="none"/>
              </w:rPr>
            </w:pPr>
          </w:p>
        </w:tc>
        <w:tc>
          <w:tcPr>
            <w:tcW w:w="1296" w:type="dxa"/>
            <w:gridSpan w:val="2"/>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22"/>
                <w:szCs w:val="22"/>
                <w:u w:val="none"/>
              </w:rPr>
            </w:pPr>
          </w:p>
        </w:tc>
        <w:tc>
          <w:tcPr>
            <w:tcW w:w="2016" w:type="dxa"/>
            <w:gridSpan w:val="4"/>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22"/>
                <w:szCs w:val="22"/>
                <w:u w:val="none"/>
              </w:rPr>
            </w:pPr>
          </w:p>
        </w:tc>
        <w:tc>
          <w:tcPr>
            <w:tcW w:w="576" w:type="dxa"/>
            <w:gridSpan w:val="2"/>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22"/>
                <w:szCs w:val="22"/>
                <w:u w:val="none"/>
              </w:rPr>
            </w:pPr>
          </w:p>
        </w:tc>
        <w:tc>
          <w:tcPr>
            <w:tcW w:w="1116" w:type="dxa"/>
            <w:gridSpan w:val="2"/>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22"/>
                <w:szCs w:val="22"/>
                <w:u w:val="none"/>
              </w:rPr>
            </w:pPr>
          </w:p>
        </w:tc>
        <w:tc>
          <w:tcPr>
            <w:tcW w:w="936" w:type="dxa"/>
            <w:gridSpan w:val="2"/>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22"/>
                <w:szCs w:val="22"/>
                <w:u w:val="none"/>
              </w:rPr>
            </w:pPr>
          </w:p>
        </w:tc>
        <w:tc>
          <w:tcPr>
            <w:tcW w:w="876" w:type="dxa"/>
            <w:gridSpan w:val="2"/>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22"/>
                <w:szCs w:val="22"/>
                <w:u w:val="none"/>
              </w:rPr>
            </w:pPr>
          </w:p>
        </w:tc>
        <w:tc>
          <w:tcPr>
            <w:tcW w:w="505" w:type="dxa"/>
            <w:gridSpan w:val="2"/>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22"/>
                <w:szCs w:val="22"/>
                <w:u w:val="none"/>
              </w:rPr>
            </w:pPr>
          </w:p>
        </w:tc>
        <w:tc>
          <w:tcPr>
            <w:tcW w:w="666" w:type="dxa"/>
            <w:gridSpan w:val="2"/>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22"/>
                <w:szCs w:val="22"/>
                <w:u w:val="none"/>
              </w:rPr>
            </w:pPr>
          </w:p>
        </w:tc>
        <w:tc>
          <w:tcPr>
            <w:tcW w:w="1845" w:type="dxa"/>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1524"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黑体" w:hAnsi="宋体" w:eastAsia="黑体" w:cs="黑体"/>
                <w:b/>
                <w:bCs/>
                <w:i w:val="0"/>
                <w:iCs w:val="0"/>
                <w:color w:val="000000"/>
                <w:kern w:val="2"/>
                <w:sz w:val="30"/>
                <w:szCs w:val="30"/>
                <w:u w:val="none"/>
                <w:lang w:val="en-US" w:eastAsia="zh-CN" w:bidi="ar-SA"/>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3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left"/>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项目名称</w:t>
            </w:r>
          </w:p>
        </w:tc>
        <w:tc>
          <w:tcPr>
            <w:tcW w:w="850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left"/>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51160022T000000345560-市矿山救护大队定额补助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3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left"/>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主管部门</w:t>
            </w:r>
          </w:p>
        </w:tc>
        <w:tc>
          <w:tcPr>
            <w:tcW w:w="37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left"/>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广安市应急管理局部门</w:t>
            </w:r>
          </w:p>
        </w:tc>
        <w:tc>
          <w:tcPr>
            <w:tcW w:w="1340"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left"/>
              <w:textAlignment w:val="center"/>
              <w:rPr>
                <w:rFonts w:hint="default"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实施单位 （盖章）</w:t>
            </w:r>
          </w:p>
        </w:tc>
        <w:tc>
          <w:tcPr>
            <w:tcW w:w="34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广安市矿山救护大队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20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left"/>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项目基本情况</w:t>
            </w:r>
          </w:p>
        </w:tc>
        <w:tc>
          <w:tcPr>
            <w:tcW w:w="8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left"/>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37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项目年度目标</w:t>
            </w:r>
          </w:p>
        </w:tc>
        <w:tc>
          <w:tcPr>
            <w:tcW w:w="477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22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both"/>
              <w:rPr>
                <w:rFonts w:hint="eastAsia" w:ascii="宋体" w:hAnsi="宋体" w:eastAsia="宋体" w:cs="宋体"/>
                <w:i w:val="0"/>
                <w:iCs w:val="0"/>
                <w:color w:val="000000"/>
                <w:kern w:val="2"/>
                <w:sz w:val="18"/>
                <w:szCs w:val="18"/>
                <w:u w:val="none"/>
                <w:lang w:val="en-US" w:eastAsia="zh-CN" w:bidi="ar-SA"/>
              </w:rPr>
            </w:pPr>
          </w:p>
        </w:tc>
        <w:tc>
          <w:tcPr>
            <w:tcW w:w="8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both"/>
              <w:rPr>
                <w:rFonts w:hint="eastAsia" w:ascii="宋体" w:hAnsi="宋体" w:eastAsia="宋体" w:cs="宋体"/>
                <w:i w:val="0"/>
                <w:iCs w:val="0"/>
                <w:color w:val="000000"/>
                <w:kern w:val="2"/>
                <w:sz w:val="18"/>
                <w:szCs w:val="18"/>
                <w:u w:val="none"/>
                <w:lang w:val="en-US" w:eastAsia="zh-CN" w:bidi="ar-SA"/>
              </w:rPr>
            </w:pPr>
          </w:p>
        </w:tc>
        <w:tc>
          <w:tcPr>
            <w:tcW w:w="37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left"/>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确保临聘救护队员的工资福利正常发放，确保救援队伍保持稳定和救援工作正常有序开展。</w:t>
            </w:r>
          </w:p>
        </w:tc>
        <w:tc>
          <w:tcPr>
            <w:tcW w:w="477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完成了临聘救护队员的工资福利的发放，稳定了救援队伍，正常有序的开展了救援工作。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22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both"/>
              <w:rPr>
                <w:rFonts w:hint="eastAsia" w:ascii="宋体" w:hAnsi="宋体" w:eastAsia="宋体" w:cs="宋体"/>
                <w:i w:val="0"/>
                <w:iCs w:val="0"/>
                <w:color w:val="000000"/>
                <w:kern w:val="2"/>
                <w:sz w:val="18"/>
                <w:szCs w:val="18"/>
                <w:u w:val="none"/>
                <w:lang w:val="en-US" w:eastAsia="zh-CN" w:bidi="ar-SA"/>
              </w:rPr>
            </w:pP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left"/>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850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left"/>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支临聘人员的工资保险费224万元，支临聘人员的体检费、差旅费和工会经费等运行经费249837.77元。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220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预算执行情况（10分）</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年度预算数（万元）</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年初预算</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调整后预算数</w:t>
            </w:r>
          </w:p>
        </w:tc>
        <w:tc>
          <w:tcPr>
            <w:tcW w:w="18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预算执行数</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预算执行率</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权重</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得分</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22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总额</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249.00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249.00</w:t>
            </w:r>
          </w:p>
        </w:tc>
        <w:tc>
          <w:tcPr>
            <w:tcW w:w="18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248.98</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99.99%</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10</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10</w:t>
            </w:r>
          </w:p>
        </w:tc>
        <w:tc>
          <w:tcPr>
            <w:tcW w:w="23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both"/>
              <w:rPr>
                <w:rFonts w:hint="eastAsia" w:ascii="黑体" w:hAnsi="黑体" w:eastAsia="黑体" w:cs="黑体"/>
                <w:i/>
                <w:iCs/>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22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其中：财政资金</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249.00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249.00</w:t>
            </w:r>
          </w:p>
        </w:tc>
        <w:tc>
          <w:tcPr>
            <w:tcW w:w="18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248.98</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99.99%</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w:t>
            </w:r>
          </w:p>
        </w:tc>
        <w:tc>
          <w:tcPr>
            <w:tcW w:w="2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both"/>
              <w:rPr>
                <w:rFonts w:hint="eastAsia" w:ascii="黑体" w:hAnsi="黑体" w:eastAsia="黑体" w:cs="黑体"/>
                <w:i/>
                <w:iCs/>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22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财政专户管理资金</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0.00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0.00</w:t>
            </w:r>
          </w:p>
        </w:tc>
        <w:tc>
          <w:tcPr>
            <w:tcW w:w="18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0.00</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0.00%</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w:t>
            </w:r>
          </w:p>
        </w:tc>
        <w:tc>
          <w:tcPr>
            <w:tcW w:w="2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both"/>
              <w:rPr>
                <w:rFonts w:hint="eastAsia" w:ascii="黑体" w:hAnsi="黑体" w:eastAsia="黑体" w:cs="黑体"/>
                <w:i/>
                <w:iCs/>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22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单位资金</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0.00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0.00</w:t>
            </w:r>
          </w:p>
        </w:tc>
        <w:tc>
          <w:tcPr>
            <w:tcW w:w="18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0.00</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0.00%</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w:t>
            </w:r>
          </w:p>
        </w:tc>
        <w:tc>
          <w:tcPr>
            <w:tcW w:w="2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both"/>
              <w:rPr>
                <w:rFonts w:hint="eastAsia" w:ascii="黑体" w:hAnsi="黑体" w:eastAsia="黑体" w:cs="黑体"/>
                <w:i/>
                <w:iCs/>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22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其他资金</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微软雅黑" w:hAnsi="微软雅黑" w:eastAsia="微软雅黑" w:cs="微软雅黑"/>
                <w:i/>
                <w:iCs/>
                <w:color w:val="000000"/>
                <w:kern w:val="2"/>
                <w:sz w:val="16"/>
                <w:szCs w:val="16"/>
                <w:u w:val="none"/>
                <w:lang w:val="en-US" w:eastAsia="zh-CN" w:bidi="ar-SA"/>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微软雅黑" w:hAnsi="微软雅黑" w:eastAsia="微软雅黑" w:cs="微软雅黑"/>
                <w:i/>
                <w:iCs/>
                <w:color w:val="000000"/>
                <w:kern w:val="2"/>
                <w:sz w:val="16"/>
                <w:szCs w:val="16"/>
                <w:u w:val="none"/>
                <w:lang w:val="en-US" w:eastAsia="zh-CN" w:bidi="ar-SA"/>
              </w:rPr>
            </w:pPr>
          </w:p>
        </w:tc>
        <w:tc>
          <w:tcPr>
            <w:tcW w:w="18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微软雅黑" w:hAnsi="微软雅黑" w:eastAsia="微软雅黑" w:cs="微软雅黑"/>
                <w:i/>
                <w:iCs/>
                <w:color w:val="000000"/>
                <w:kern w:val="2"/>
                <w:sz w:val="16"/>
                <w:szCs w:val="16"/>
                <w:u w:val="none"/>
                <w:lang w:val="en-US" w:eastAsia="zh-CN" w:bidi="ar-SA"/>
              </w:rPr>
            </w:pP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微软雅黑" w:hAnsi="微软雅黑" w:eastAsia="微软雅黑" w:cs="微软雅黑"/>
                <w:i/>
                <w:iCs/>
                <w:color w:val="000000"/>
                <w:kern w:val="2"/>
                <w:sz w:val="16"/>
                <w:szCs w:val="16"/>
                <w:u w:val="none"/>
                <w:lang w:val="en-US" w:eastAsia="zh-CN" w:bidi="ar-SA"/>
              </w:rPr>
            </w:pP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w:t>
            </w:r>
          </w:p>
        </w:tc>
        <w:tc>
          <w:tcPr>
            <w:tcW w:w="23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both"/>
              <w:rPr>
                <w:rFonts w:hint="eastAsia" w:ascii="黑体" w:hAnsi="黑体" w:eastAsia="黑体" w:cs="黑体"/>
                <w:i/>
                <w:iCs/>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绩效指标（90分）</w:t>
            </w: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一级指标</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二级指标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三级指标</w:t>
            </w:r>
          </w:p>
        </w:tc>
        <w:tc>
          <w:tcPr>
            <w:tcW w:w="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指标性质</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指标值</w:t>
            </w:r>
          </w:p>
        </w:tc>
        <w:tc>
          <w:tcPr>
            <w:tcW w:w="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度量单位</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完成值</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权重</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得分</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2202" w:type="dxa"/>
            <w:gridSpan w:val="3"/>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c>
          <w:tcPr>
            <w:tcW w:w="8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产出指标</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数量指标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定额补助人员数</w:t>
            </w:r>
          </w:p>
        </w:tc>
        <w:tc>
          <w:tcPr>
            <w:tcW w:w="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33</w:t>
            </w:r>
          </w:p>
        </w:tc>
        <w:tc>
          <w:tcPr>
            <w:tcW w:w="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人</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33</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15</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15</w:t>
            </w:r>
          </w:p>
        </w:tc>
        <w:tc>
          <w:tcPr>
            <w:tcW w:w="23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微软雅黑" w:hAnsi="微软雅黑" w:eastAsia="微软雅黑" w:cs="微软雅黑"/>
                <w:i/>
                <w:iCs/>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22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c>
          <w:tcPr>
            <w:tcW w:w="8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质量指标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提升救援工作效率</w:t>
            </w:r>
          </w:p>
        </w:tc>
        <w:tc>
          <w:tcPr>
            <w:tcW w:w="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定性</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优良中低差</w:t>
            </w:r>
          </w:p>
        </w:tc>
        <w:tc>
          <w:tcPr>
            <w:tcW w:w="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优</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10</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10</w:t>
            </w:r>
          </w:p>
        </w:tc>
        <w:tc>
          <w:tcPr>
            <w:tcW w:w="23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微软雅黑" w:hAnsi="微软雅黑" w:eastAsia="微软雅黑" w:cs="微软雅黑"/>
                <w:i/>
                <w:iCs/>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22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c>
          <w:tcPr>
            <w:tcW w:w="8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时效指标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项目完成工作日</w:t>
            </w:r>
          </w:p>
        </w:tc>
        <w:tc>
          <w:tcPr>
            <w:tcW w:w="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365</w:t>
            </w:r>
          </w:p>
        </w:tc>
        <w:tc>
          <w:tcPr>
            <w:tcW w:w="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天</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365</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15</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15</w:t>
            </w:r>
          </w:p>
        </w:tc>
        <w:tc>
          <w:tcPr>
            <w:tcW w:w="23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微软雅黑" w:hAnsi="微软雅黑" w:eastAsia="微软雅黑" w:cs="微软雅黑"/>
                <w:i/>
                <w:iCs/>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22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c>
          <w:tcPr>
            <w:tcW w:w="8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成本指标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临聘人员工资及福利支出</w:t>
            </w:r>
          </w:p>
        </w:tc>
        <w:tc>
          <w:tcPr>
            <w:tcW w:w="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2490000</w:t>
            </w:r>
          </w:p>
        </w:tc>
        <w:tc>
          <w:tcPr>
            <w:tcW w:w="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元/年</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2489837.77</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15</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15</w:t>
            </w:r>
          </w:p>
        </w:tc>
        <w:tc>
          <w:tcPr>
            <w:tcW w:w="23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微软雅黑" w:hAnsi="微软雅黑" w:eastAsia="微软雅黑" w:cs="微软雅黑"/>
                <w:i/>
                <w:iCs/>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22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效益指标</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社会效益指标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应急突发事故帮扶率</w:t>
            </w:r>
          </w:p>
        </w:tc>
        <w:tc>
          <w:tcPr>
            <w:tcW w:w="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100</w:t>
            </w:r>
          </w:p>
        </w:tc>
        <w:tc>
          <w:tcPr>
            <w:tcW w:w="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100</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20</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20</w:t>
            </w:r>
          </w:p>
        </w:tc>
        <w:tc>
          <w:tcPr>
            <w:tcW w:w="23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微软雅黑" w:hAnsi="微软雅黑" w:eastAsia="微软雅黑" w:cs="微软雅黑"/>
                <w:i/>
                <w:iCs/>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22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c>
          <w:tcPr>
            <w:tcW w:w="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满意度指标</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服务对象满意度指标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救援对象满意度</w:t>
            </w:r>
          </w:p>
        </w:tc>
        <w:tc>
          <w:tcPr>
            <w:tcW w:w="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95</w:t>
            </w:r>
          </w:p>
        </w:tc>
        <w:tc>
          <w:tcPr>
            <w:tcW w:w="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98</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15</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15</w:t>
            </w:r>
          </w:p>
        </w:tc>
        <w:tc>
          <w:tcPr>
            <w:tcW w:w="23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微软雅黑" w:hAnsi="微软雅黑" w:eastAsia="微软雅黑" w:cs="微软雅黑"/>
                <w:i/>
                <w:iCs/>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808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合计</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100</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100</w:t>
            </w:r>
          </w:p>
        </w:tc>
        <w:tc>
          <w:tcPr>
            <w:tcW w:w="23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both"/>
              <w:rPr>
                <w:rFonts w:hint="eastAsia" w:ascii="宋体" w:hAnsi="宋体" w:eastAsia="宋体" w:cs="宋体"/>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评价结论</w:t>
            </w:r>
          </w:p>
        </w:tc>
        <w:tc>
          <w:tcPr>
            <w:tcW w:w="932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工资福利经费224万元，投资完成率100%，33名聘用人员工资全部发放。人员经费支出总额不超预算。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存在问题</w:t>
            </w:r>
          </w:p>
        </w:tc>
        <w:tc>
          <w:tcPr>
            <w:tcW w:w="932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项目资金较少，基层救护队员的工资福利与当前物价相比偏低，对应急救援工作积极性有一定程度的影响。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改进措施</w:t>
            </w:r>
          </w:p>
        </w:tc>
        <w:tc>
          <w:tcPr>
            <w:tcW w:w="932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今后如有条件，应加强重视与支持，适当提高工资标准。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3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w:t>
            </w:r>
          </w:p>
        </w:tc>
        <w:tc>
          <w:tcPr>
            <w:tcW w:w="614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202" w:type="dxa"/>
            <w:gridSpan w:val="3"/>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both"/>
              <w:rPr>
                <w:rFonts w:hint="eastAsia" w:ascii="宋体" w:hAnsi="宋体" w:eastAsia="宋体" w:cs="宋体"/>
                <w:i w:val="0"/>
                <w:iCs w:val="0"/>
                <w:color w:val="000000"/>
                <w:kern w:val="2"/>
                <w:sz w:val="18"/>
                <w:szCs w:val="18"/>
                <w:u w:val="none"/>
                <w:lang w:val="en-US" w:eastAsia="zh-CN" w:bidi="ar-SA"/>
              </w:rPr>
            </w:pPr>
          </w:p>
        </w:tc>
        <w:tc>
          <w:tcPr>
            <w:tcW w:w="818"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both"/>
              <w:rPr>
                <w:rFonts w:hint="eastAsia" w:ascii="宋体" w:hAnsi="宋体" w:eastAsia="宋体" w:cs="宋体"/>
                <w:i w:val="0"/>
                <w:iCs w:val="0"/>
                <w:color w:val="000000"/>
                <w:kern w:val="2"/>
                <w:sz w:val="18"/>
                <w:szCs w:val="18"/>
                <w:u w:val="none"/>
                <w:lang w:val="en-US" w:eastAsia="zh-CN" w:bidi="ar-SA"/>
              </w:rPr>
            </w:pPr>
          </w:p>
        </w:tc>
        <w:tc>
          <w:tcPr>
            <w:tcW w:w="91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both"/>
              <w:rPr>
                <w:rFonts w:hint="eastAsia" w:ascii="宋体" w:hAnsi="宋体" w:eastAsia="宋体" w:cs="宋体"/>
                <w:i w:val="0"/>
                <w:iCs w:val="0"/>
                <w:color w:val="000000"/>
                <w:kern w:val="2"/>
                <w:sz w:val="18"/>
                <w:szCs w:val="18"/>
                <w:u w:val="none"/>
                <w:lang w:val="en-US" w:eastAsia="zh-CN" w:bidi="ar-SA"/>
              </w:rPr>
            </w:pPr>
          </w:p>
        </w:tc>
        <w:tc>
          <w:tcPr>
            <w:tcW w:w="967"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both"/>
              <w:rPr>
                <w:rFonts w:hint="eastAsia" w:ascii="宋体" w:hAnsi="宋体" w:eastAsia="宋体" w:cs="宋体"/>
                <w:i w:val="0"/>
                <w:iCs w:val="0"/>
                <w:color w:val="000000"/>
                <w:kern w:val="2"/>
                <w:sz w:val="18"/>
                <w:szCs w:val="18"/>
                <w:u w:val="none"/>
                <w:lang w:val="en-US" w:eastAsia="zh-CN" w:bidi="ar-SA"/>
              </w:rPr>
            </w:pPr>
          </w:p>
        </w:tc>
        <w:tc>
          <w:tcPr>
            <w:tcW w:w="4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both"/>
              <w:rPr>
                <w:rFonts w:hint="eastAsia" w:ascii="宋体" w:hAnsi="宋体" w:eastAsia="宋体" w:cs="宋体"/>
                <w:i w:val="0"/>
                <w:iCs w:val="0"/>
                <w:color w:val="000000"/>
                <w:kern w:val="2"/>
                <w:sz w:val="18"/>
                <w:szCs w:val="18"/>
                <w:u w:val="none"/>
                <w:lang w:val="en-US" w:eastAsia="zh-CN" w:bidi="ar-SA"/>
              </w:rPr>
            </w:pPr>
          </w:p>
        </w:tc>
        <w:tc>
          <w:tcPr>
            <w:tcW w:w="891"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both"/>
              <w:rPr>
                <w:rFonts w:hint="eastAsia" w:ascii="宋体" w:hAnsi="宋体" w:eastAsia="宋体" w:cs="宋体"/>
                <w:i w:val="0"/>
                <w:iCs w:val="0"/>
                <w:color w:val="000000"/>
                <w:kern w:val="2"/>
                <w:sz w:val="18"/>
                <w:szCs w:val="18"/>
                <w:u w:val="none"/>
                <w:lang w:val="en-US" w:eastAsia="zh-CN" w:bidi="ar-SA"/>
              </w:rPr>
            </w:pPr>
          </w:p>
        </w:tc>
        <w:tc>
          <w:tcPr>
            <w:tcW w:w="476"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both"/>
              <w:rPr>
                <w:rFonts w:hint="eastAsia" w:ascii="宋体" w:hAnsi="宋体" w:eastAsia="宋体" w:cs="宋体"/>
                <w:i w:val="0"/>
                <w:iCs w:val="0"/>
                <w:color w:val="000000"/>
                <w:kern w:val="2"/>
                <w:sz w:val="18"/>
                <w:szCs w:val="18"/>
                <w:u w:val="none"/>
                <w:lang w:val="en-US" w:eastAsia="zh-CN" w:bidi="ar-SA"/>
              </w:rPr>
            </w:pPr>
          </w:p>
        </w:tc>
        <w:tc>
          <w:tcPr>
            <w:tcW w:w="1340"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both"/>
              <w:rPr>
                <w:rFonts w:hint="eastAsia" w:ascii="宋体" w:hAnsi="宋体" w:eastAsia="宋体" w:cs="宋体"/>
                <w:i w:val="0"/>
                <w:iCs w:val="0"/>
                <w:color w:val="000000"/>
                <w:kern w:val="2"/>
                <w:sz w:val="18"/>
                <w:szCs w:val="18"/>
                <w:u w:val="none"/>
                <w:lang w:val="en-US" w:eastAsia="zh-CN" w:bidi="ar-SA"/>
              </w:rPr>
            </w:pPr>
          </w:p>
        </w:tc>
        <w:tc>
          <w:tcPr>
            <w:tcW w:w="549"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both"/>
              <w:rPr>
                <w:rFonts w:hint="eastAsia" w:ascii="宋体" w:hAnsi="宋体" w:eastAsia="宋体" w:cs="宋体"/>
                <w:i w:val="0"/>
                <w:iCs w:val="0"/>
                <w:color w:val="000000"/>
                <w:kern w:val="2"/>
                <w:sz w:val="18"/>
                <w:szCs w:val="18"/>
                <w:u w:val="none"/>
                <w:lang w:val="en-US" w:eastAsia="zh-CN" w:bidi="ar-SA"/>
              </w:rPr>
            </w:pPr>
          </w:p>
        </w:tc>
        <w:tc>
          <w:tcPr>
            <w:tcW w:w="549"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both"/>
              <w:rPr>
                <w:rFonts w:hint="eastAsia" w:ascii="宋体" w:hAnsi="宋体" w:eastAsia="宋体" w:cs="宋体"/>
                <w:i w:val="0"/>
                <w:iCs w:val="0"/>
                <w:color w:val="000000"/>
                <w:kern w:val="2"/>
                <w:sz w:val="18"/>
                <w:szCs w:val="18"/>
                <w:u w:val="none"/>
                <w:lang w:val="en-US" w:eastAsia="zh-CN" w:bidi="ar-SA"/>
              </w:rPr>
            </w:pPr>
          </w:p>
        </w:tc>
        <w:tc>
          <w:tcPr>
            <w:tcW w:w="2339" w:type="dxa"/>
            <w:gridSpan w:val="2"/>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both"/>
              <w:rPr>
                <w:rFonts w:hint="eastAsia" w:ascii="宋体" w:hAnsi="宋体" w:eastAsia="宋体" w:cs="宋体"/>
                <w:i w:val="0"/>
                <w:iCs w:val="0"/>
                <w:color w:val="000000"/>
                <w:kern w:val="2"/>
                <w:sz w:val="18"/>
                <w:szCs w:val="18"/>
                <w:u w:val="none"/>
                <w:lang w:val="en-US" w:eastAsia="zh-CN" w:bidi="ar-SA"/>
              </w:rPr>
            </w:pPr>
          </w:p>
        </w:tc>
      </w:tr>
    </w:tbl>
    <w:p>
      <w:pPr>
        <w:pStyle w:val="5"/>
        <w:keepNext w:val="0"/>
        <w:keepLines w:val="0"/>
        <w:pageBreakBefore w:val="0"/>
        <w:widowControl w:val="0"/>
        <w:kinsoku/>
        <w:wordWrap/>
        <w:overflowPunct/>
        <w:topLinePunct w:val="0"/>
        <w:bidi w:val="0"/>
        <w:ind w:left="0" w:leftChars="0" w:firstLine="0" w:firstLineChars="0"/>
        <w:rPr>
          <w:rFonts w:hint="eastAsia" w:ascii="仿宋_GB2312" w:hAnsi="仿宋_GB2312" w:eastAsia="仿宋_GB2312"/>
          <w:color w:val="auto"/>
          <w:sz w:val="32"/>
          <w:szCs w:val="24"/>
          <w:lang w:val="en-US"/>
        </w:rPr>
      </w:pPr>
    </w:p>
    <w:tbl>
      <w:tblPr>
        <w:tblStyle w:val="14"/>
        <w:tblW w:w="11535" w:type="dxa"/>
        <w:tblInd w:w="-13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1116"/>
        <w:gridCol w:w="1836"/>
        <w:gridCol w:w="2196"/>
        <w:gridCol w:w="396"/>
        <w:gridCol w:w="756"/>
        <w:gridCol w:w="936"/>
        <w:gridCol w:w="1026"/>
        <w:gridCol w:w="486"/>
        <w:gridCol w:w="564"/>
        <w:gridCol w:w="1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153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黑体" w:hAnsi="宋体" w:eastAsia="黑体" w:cs="黑体"/>
                <w:b/>
                <w:bCs/>
                <w:i w:val="0"/>
                <w:iCs w:val="0"/>
                <w:color w:val="000000"/>
                <w:kern w:val="2"/>
                <w:sz w:val="30"/>
                <w:szCs w:val="30"/>
                <w:u w:val="none"/>
                <w:lang w:val="en-US" w:eastAsia="zh-CN" w:bidi="ar-SA"/>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left"/>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项目名称</w:t>
            </w:r>
          </w:p>
        </w:tc>
        <w:tc>
          <w:tcPr>
            <w:tcW w:w="992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left"/>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51160023T000007584505-训练场地改造工程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left"/>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主管部门</w:t>
            </w:r>
          </w:p>
        </w:tc>
        <w:tc>
          <w:tcPr>
            <w:tcW w:w="61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left"/>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广安市应急管理局部门</w:t>
            </w:r>
          </w:p>
        </w:tc>
        <w:tc>
          <w:tcPr>
            <w:tcW w:w="1026" w:type="dxa"/>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left"/>
              <w:textAlignment w:val="center"/>
              <w:rPr>
                <w:rFonts w:hint="default"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实施单位 （盖章）</w:t>
            </w:r>
          </w:p>
        </w:tc>
        <w:tc>
          <w:tcPr>
            <w:tcW w:w="27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广安市矿山救护大队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left"/>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项目基本情况</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left"/>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61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项目年度目标</w:t>
            </w:r>
          </w:p>
        </w:tc>
        <w:tc>
          <w:tcPr>
            <w:tcW w:w="38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both"/>
              <w:rPr>
                <w:rFonts w:hint="eastAsia" w:ascii="宋体" w:hAnsi="宋体" w:eastAsia="宋体" w:cs="宋体"/>
                <w:i w:val="0"/>
                <w:iCs w:val="0"/>
                <w:color w:val="000000"/>
                <w:kern w:val="2"/>
                <w:sz w:val="18"/>
                <w:szCs w:val="18"/>
                <w:u w:val="none"/>
                <w:lang w:val="en-US" w:eastAsia="zh-CN" w:bidi="ar-SA"/>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both"/>
              <w:rPr>
                <w:rFonts w:hint="eastAsia" w:ascii="宋体" w:hAnsi="宋体" w:eastAsia="宋体" w:cs="宋体"/>
                <w:i w:val="0"/>
                <w:iCs w:val="0"/>
                <w:color w:val="000000"/>
                <w:kern w:val="2"/>
                <w:sz w:val="18"/>
                <w:szCs w:val="18"/>
                <w:u w:val="none"/>
                <w:lang w:val="en-US" w:eastAsia="zh-CN" w:bidi="ar-SA"/>
              </w:rPr>
            </w:pPr>
          </w:p>
        </w:tc>
        <w:tc>
          <w:tcPr>
            <w:tcW w:w="61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left"/>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市矿山救护大队训练场地进行硬化黑化，篮球场塑胶化以及训练设施改造。</w:t>
            </w:r>
          </w:p>
        </w:tc>
        <w:tc>
          <w:tcPr>
            <w:tcW w:w="38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both"/>
              <w:rPr>
                <w:rFonts w:hint="eastAsia" w:ascii="宋体" w:hAnsi="宋体" w:eastAsia="宋体" w:cs="宋体"/>
                <w:i w:val="0"/>
                <w:iCs w:val="0"/>
                <w:color w:val="000000"/>
                <w:kern w:val="2"/>
                <w:sz w:val="18"/>
                <w:szCs w:val="18"/>
                <w:u w:val="none"/>
                <w:lang w:val="en-US" w:eastAsia="zh-CN" w:bidi="ar-SA"/>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left"/>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992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left"/>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该项目为往年项目，训练场地硬化黑化、篮球场塑胶以及训练设施改造已完工，项目总成本391529.56元，其尾款107149.56元本年已完成支付。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预算执行情况（10分）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年度预算数（万元）</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年初预算</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调整后预算数</w:t>
            </w:r>
          </w:p>
        </w:tc>
        <w:tc>
          <w:tcPr>
            <w:tcW w:w="2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预算执行数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权重</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得分</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总额</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0.00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10.71</w:t>
            </w:r>
          </w:p>
        </w:tc>
        <w:tc>
          <w:tcPr>
            <w:tcW w:w="2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10.71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10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10</w:t>
            </w:r>
          </w:p>
        </w:tc>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both"/>
              <w:rPr>
                <w:rFonts w:hint="eastAsia" w:ascii="黑体" w:hAnsi="黑体" w:eastAsia="黑体" w:cs="黑体"/>
                <w:i/>
                <w:iCs/>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其中：财政资金</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0.00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10.71</w:t>
            </w:r>
          </w:p>
        </w:tc>
        <w:tc>
          <w:tcPr>
            <w:tcW w:w="2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10.71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w:t>
            </w: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both"/>
              <w:rPr>
                <w:rFonts w:hint="eastAsia" w:ascii="黑体" w:hAnsi="黑体" w:eastAsia="黑体" w:cs="黑体"/>
                <w:i/>
                <w:iCs/>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财政专户管理资金</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0.00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0.00</w:t>
            </w:r>
          </w:p>
        </w:tc>
        <w:tc>
          <w:tcPr>
            <w:tcW w:w="2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w:t>
            </w: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both"/>
              <w:rPr>
                <w:rFonts w:hint="eastAsia" w:ascii="黑体" w:hAnsi="黑体" w:eastAsia="黑体" w:cs="黑体"/>
                <w:i/>
                <w:iCs/>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单位资金</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0.00</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0.00</w:t>
            </w:r>
          </w:p>
        </w:tc>
        <w:tc>
          <w:tcPr>
            <w:tcW w:w="2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w:t>
            </w: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both"/>
              <w:rPr>
                <w:rFonts w:hint="eastAsia" w:ascii="黑体" w:hAnsi="黑体" w:eastAsia="黑体" w:cs="黑体"/>
                <w:i/>
                <w:iCs/>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其他资金</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微软雅黑" w:hAnsi="微软雅黑" w:eastAsia="微软雅黑" w:cs="微软雅黑"/>
                <w:i/>
                <w:iCs/>
                <w:color w:val="000000"/>
                <w:kern w:val="2"/>
                <w:sz w:val="16"/>
                <w:szCs w:val="16"/>
                <w:u w:val="none"/>
                <w:lang w:val="en-US" w:eastAsia="zh-CN" w:bidi="ar-SA"/>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微软雅黑" w:hAnsi="微软雅黑" w:eastAsia="微软雅黑" w:cs="微软雅黑"/>
                <w:i/>
                <w:iCs/>
                <w:color w:val="000000"/>
                <w:kern w:val="2"/>
                <w:sz w:val="16"/>
                <w:szCs w:val="16"/>
                <w:u w:val="none"/>
                <w:lang w:val="en-US" w:eastAsia="zh-CN" w:bidi="ar-SA"/>
              </w:rPr>
            </w:pPr>
          </w:p>
        </w:tc>
        <w:tc>
          <w:tcPr>
            <w:tcW w:w="2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微软雅黑" w:hAnsi="微软雅黑" w:eastAsia="微软雅黑" w:cs="微软雅黑"/>
                <w:i/>
                <w:iCs/>
                <w:color w:val="000000"/>
                <w:kern w:val="2"/>
                <w:sz w:val="16"/>
                <w:szCs w:val="16"/>
                <w:u w:val="none"/>
                <w:lang w:val="en-US" w:eastAsia="zh-CN" w:bidi="ar-SA"/>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微软雅黑" w:hAnsi="微软雅黑" w:eastAsia="微软雅黑" w:cs="微软雅黑"/>
                <w:i/>
                <w:iCs/>
                <w:color w:val="000000"/>
                <w:kern w:val="2"/>
                <w:sz w:val="16"/>
                <w:szCs w:val="16"/>
                <w:u w:val="none"/>
                <w:lang w:val="en-US" w:eastAsia="zh-CN" w:bidi="ar-SA"/>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w:t>
            </w:r>
          </w:p>
        </w:tc>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both"/>
              <w:rPr>
                <w:rFonts w:hint="eastAsia" w:ascii="黑体" w:hAnsi="黑体" w:eastAsia="黑体" w:cs="黑体"/>
                <w:i/>
                <w:iCs/>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绩效指标（90分）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一级指标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二级指标</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指标性质</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指标值</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度量单位</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权重</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得分</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产出指标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数量指标</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训练场地硬化黑化面积</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平方米</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1727.36</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10.36</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原估算时指标值包含了篮球场的面积，实际训练场地硬化黑化面积为1727.36平方米。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数量指标</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篮球场塑胶化面积</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平方米</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608</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15</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时效指标</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项目尾款支付完成时间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个工作日</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10</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质量指标</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训练场地改造验收合格率</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10</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经济成本指标</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训练场地改造总成本</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450000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元</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391529.56</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10</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效益指标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可持续影响指标</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场地可正常使用年限</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年</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20</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满意度指标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救护大队队员满意度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10</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rPr>
                <w:rFonts w:hint="eastAsia" w:ascii="宋体" w:hAnsi="宋体" w:eastAsia="宋体" w:cs="宋体"/>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75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100</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95.36</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both"/>
              <w:rPr>
                <w:rFonts w:hint="eastAsia" w:ascii="宋体" w:hAnsi="宋体" w:eastAsia="宋体" w:cs="宋体"/>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评价结论</w:t>
            </w:r>
          </w:p>
        </w:tc>
        <w:tc>
          <w:tcPr>
            <w:tcW w:w="110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完成了训练场地的硬化黑化，篮球场塑胶化以及训练设施改造。并投入了使用，日常的训练进行了有序的开展。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存在问题</w:t>
            </w:r>
          </w:p>
        </w:tc>
        <w:tc>
          <w:tcPr>
            <w:tcW w:w="110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改进措施</w:t>
            </w:r>
          </w:p>
        </w:tc>
        <w:tc>
          <w:tcPr>
            <w:tcW w:w="110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left"/>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w:t>
            </w:r>
          </w:p>
        </w:tc>
        <w:tc>
          <w:tcPr>
            <w:tcW w:w="54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Lines="-2147483648" w:beforeAutospacing="0" w:after="0" w:afterLines="-2147483648" w:afterAutospacing="0" w:line="240" w:lineRule="auto"/>
              <w:ind w:left="0" w:right="0" w:firstLine="0" w:firstLineChars="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w:t>
            </w:r>
          </w:p>
        </w:tc>
      </w:tr>
    </w:tbl>
    <w:p>
      <w:pPr>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outlineLvl w:val="1"/>
        <w:rPr>
          <w:rFonts w:hint="eastAsia" w:ascii="黑体" w:hAnsi="黑体" w:eastAsia="黑体"/>
          <w:highlight w:val="none"/>
        </w:rPr>
      </w:pPr>
      <w:bookmarkStart w:id="53" w:name="_Toc20165"/>
    </w:p>
    <w:p>
      <w:pPr>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outlineLvl w:val="1"/>
        <w:rPr>
          <w:rFonts w:hint="eastAsia" w:ascii="黑体" w:hAnsi="黑体" w:eastAsia="黑体"/>
          <w:highlight w:val="none"/>
        </w:rPr>
      </w:pPr>
    </w:p>
    <w:p>
      <w:pPr>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outlineLvl w:val="1"/>
        <w:rPr>
          <w:rFonts w:hint="eastAsia" w:ascii="黑体" w:hAnsi="黑体" w:eastAsia="黑体"/>
          <w:highlight w:val="none"/>
        </w:rPr>
      </w:pPr>
    </w:p>
    <w:p>
      <w:pPr>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outlineLvl w:val="1"/>
        <w:rPr>
          <w:rFonts w:hint="eastAsia" w:ascii="黑体" w:hAnsi="黑体" w:eastAsia="黑体"/>
          <w:highlight w:val="none"/>
        </w:rPr>
      </w:pPr>
    </w:p>
    <w:p>
      <w:pPr>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outlineLvl w:val="1"/>
        <w:rPr>
          <w:rFonts w:hint="eastAsia" w:ascii="黑体" w:hAnsi="黑体" w:eastAsia="黑体"/>
          <w:highlight w:val="none"/>
        </w:rPr>
      </w:pPr>
    </w:p>
    <w:p>
      <w:pPr>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outlineLvl w:val="1"/>
        <w:rPr>
          <w:rFonts w:hint="eastAsia" w:ascii="黑体" w:hAnsi="黑体" w:eastAsia="黑体"/>
          <w:highlight w:val="none"/>
        </w:rPr>
      </w:pPr>
    </w:p>
    <w:p>
      <w:pPr>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outlineLvl w:val="1"/>
        <w:rPr>
          <w:rFonts w:hint="eastAsia" w:ascii="黑体" w:hAnsi="黑体" w:eastAsia="黑体"/>
          <w:highlight w:val="none"/>
        </w:rPr>
      </w:pPr>
    </w:p>
    <w:p>
      <w:pPr>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outlineLvl w:val="1"/>
        <w:rPr>
          <w:rFonts w:hint="eastAsia" w:ascii="黑体" w:hAnsi="黑体" w:eastAsia="黑体"/>
          <w:highlight w:val="none"/>
        </w:rPr>
      </w:pPr>
    </w:p>
    <w:p>
      <w:pPr>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outlineLvl w:val="1"/>
        <w:rPr>
          <w:rFonts w:hint="eastAsia" w:ascii="黑体" w:hAnsi="黑体" w:eastAsia="黑体"/>
          <w:highlight w:val="none"/>
        </w:rPr>
      </w:pPr>
    </w:p>
    <w:p>
      <w:pPr>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outlineLvl w:val="1"/>
        <w:rPr>
          <w:rFonts w:hint="eastAsia" w:ascii="黑体" w:hAnsi="黑体" w:eastAsia="黑体"/>
          <w:highlight w:val="none"/>
        </w:rPr>
      </w:pPr>
    </w:p>
    <w:p>
      <w:pPr>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outlineLvl w:val="1"/>
        <w:rPr>
          <w:rFonts w:hint="eastAsia" w:ascii="黑体" w:hAnsi="黑体" w:eastAsia="黑体"/>
          <w:highlight w:val="none"/>
          <w:lang w:val="en-US" w:eastAsia="zh-CN"/>
        </w:rPr>
      </w:pPr>
      <w:r>
        <w:rPr>
          <w:rFonts w:hint="eastAsia" w:ascii="黑体" w:hAnsi="黑体" w:eastAsia="黑体"/>
          <w:highlight w:val="none"/>
        </w:rPr>
        <w:t>附件</w:t>
      </w:r>
      <w:r>
        <w:rPr>
          <w:rFonts w:hint="eastAsia" w:ascii="黑体" w:hAnsi="黑体" w:eastAsia="黑体"/>
          <w:highlight w:val="none"/>
          <w:lang w:val="en-US" w:eastAsia="zh-CN"/>
        </w:rPr>
        <w:t>2</w:t>
      </w:r>
      <w:bookmarkEnd w:id="53"/>
    </w:p>
    <w:p>
      <w:pPr>
        <w:pStyle w:val="18"/>
        <w:keepNext w:val="0"/>
        <w:keepLines w:val="0"/>
        <w:pageBreakBefore w:val="0"/>
        <w:widowControl w:val="0"/>
        <w:kinsoku/>
        <w:wordWrap/>
        <w:overflowPunct/>
        <w:topLinePunct w:val="0"/>
        <w:autoSpaceDE/>
        <w:autoSpaceDN/>
        <w:bidi w:val="0"/>
        <w:spacing w:line="578" w:lineRule="exact"/>
        <w:jc w:val="center"/>
        <w:textAlignment w:val="auto"/>
        <w:rPr>
          <w:rFonts w:hint="default"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广安市应急管理局</w:t>
      </w:r>
    </w:p>
    <w:p>
      <w:pPr>
        <w:pStyle w:val="18"/>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2022年中省抗洪抢险物资项目</w:t>
      </w:r>
    </w:p>
    <w:p>
      <w:pPr>
        <w:pStyle w:val="18"/>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绩效自评报告</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highlight w:val="none"/>
          <w:lang w:val="zh-CN"/>
        </w:rPr>
      </w:pPr>
      <w:bookmarkStart w:id="54" w:name="_Toc20791"/>
      <w:r>
        <w:rPr>
          <w:rFonts w:hint="eastAsia" w:ascii="黑体" w:hAnsi="宋体" w:eastAsia="黑体"/>
          <w:highlight w:val="none"/>
        </w:rPr>
        <w:t>一、</w:t>
      </w:r>
      <w:r>
        <w:rPr>
          <w:rFonts w:hint="eastAsia" w:ascii="黑体" w:hAnsi="宋体" w:eastAsia="黑体"/>
          <w:highlight w:val="none"/>
          <w:lang w:val="zh-CN"/>
        </w:rPr>
        <w:t>项目概况</w:t>
      </w:r>
      <w:bookmarkEnd w:id="54"/>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2"/>
        <w:rPr>
          <w:rFonts w:ascii="楷体_GB2312" w:hAnsi="宋体" w:eastAsia="楷体_GB2312"/>
          <w:b/>
          <w:color w:val="auto"/>
          <w:sz w:val="32"/>
          <w:szCs w:val="32"/>
          <w:highlight w:val="none"/>
          <w:u w:val="none"/>
          <w:lang w:val="zh-CN"/>
        </w:rPr>
      </w:pPr>
      <w:bookmarkStart w:id="55" w:name="_Toc4016"/>
      <w:r>
        <w:rPr>
          <w:rFonts w:hint="eastAsia" w:ascii="楷体_GB2312" w:hAnsi="宋体" w:eastAsia="楷体_GB2312"/>
          <w:b/>
          <w:color w:val="auto"/>
          <w:sz w:val="32"/>
          <w:szCs w:val="32"/>
          <w:highlight w:val="none"/>
          <w:u w:val="none"/>
          <w:lang w:val="zh-CN"/>
        </w:rPr>
        <w:t>（一）项目基本情况。</w:t>
      </w:r>
      <w:bookmarkEnd w:id="55"/>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w:t>
      </w:r>
      <w:r>
        <w:rPr>
          <w:rFonts w:hint="eastAsia" w:ascii="仿宋_GB2312" w:hAnsi="仿宋_GB2312" w:cs="仿宋_GB2312"/>
          <w:color w:val="auto"/>
          <w:kern w:val="0"/>
          <w:sz w:val="32"/>
          <w:szCs w:val="32"/>
          <w:highlight w:val="none"/>
          <w:u w:val="none"/>
          <w:shd w:val="clear" w:color="auto" w:fill="FFFFFF"/>
          <w:lang w:val="zh-CN"/>
        </w:rPr>
        <w:t>为了</w:t>
      </w:r>
      <w:r>
        <w:rPr>
          <w:rFonts w:hint="eastAsia" w:ascii="仿宋_GB2312" w:hAnsi="仿宋_GB2312" w:eastAsia="仿宋_GB2312" w:cs="仿宋_GB2312"/>
          <w:color w:val="auto"/>
          <w:kern w:val="0"/>
          <w:sz w:val="32"/>
          <w:szCs w:val="32"/>
          <w:highlight w:val="none"/>
          <w:u w:val="none"/>
          <w:shd w:val="clear" w:color="auto" w:fill="FFFFFF"/>
          <w:lang w:val="zh-CN"/>
        </w:rPr>
        <w:t>确保全市抗洪抢险工作顺利高效开展，全力保障人民生命财产安全</w:t>
      </w:r>
      <w:r>
        <w:rPr>
          <w:rFonts w:hint="eastAsia" w:ascii="仿宋_GB2312" w:hAnsi="仿宋_GB2312" w:cs="仿宋_GB2312"/>
          <w:color w:val="auto"/>
          <w:kern w:val="0"/>
          <w:sz w:val="32"/>
          <w:szCs w:val="32"/>
          <w:highlight w:val="none"/>
          <w:u w:val="none"/>
          <w:shd w:val="clear" w:color="auto" w:fill="FFFFFF"/>
          <w:lang w:val="zh-CN"/>
        </w:rPr>
        <w:t>，特采购一批抗洪抢险应急处置装备</w:t>
      </w:r>
      <w:r>
        <w:rPr>
          <w:rFonts w:hint="eastAsia" w:ascii="仿宋_GB2312" w:hAnsi="仿宋_GB2312" w:eastAsia="仿宋_GB2312" w:cs="仿宋_GB2312"/>
          <w:color w:val="auto"/>
          <w:kern w:val="0"/>
          <w:sz w:val="32"/>
          <w:szCs w:val="32"/>
          <w:highlight w:val="none"/>
          <w:u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2．该项目依据</w:t>
      </w:r>
      <w:r>
        <w:rPr>
          <w:rFonts w:hint="eastAsia" w:ascii="仿宋_GB2312" w:hAnsi="仿宋_GB2312" w:cs="仿宋_GB2312"/>
          <w:color w:val="auto"/>
          <w:kern w:val="0"/>
          <w:sz w:val="32"/>
          <w:szCs w:val="32"/>
          <w:highlight w:val="none"/>
          <w:u w:val="none"/>
          <w:shd w:val="clear" w:color="auto" w:fill="FFFFFF"/>
          <w:lang w:val="zh-CN"/>
        </w:rPr>
        <w:t>《四川省财政厅关于下达2021年中省自然灾害救灾资金预算的通知》（川财建</w:t>
      </w:r>
      <w:r>
        <w:rPr>
          <w:rFonts w:hint="eastAsia" w:ascii="宋体" w:hAnsi="宋体" w:eastAsia="宋体" w:cs="宋体"/>
          <w:color w:val="auto"/>
          <w:kern w:val="0"/>
          <w:sz w:val="32"/>
          <w:szCs w:val="32"/>
          <w:highlight w:val="none"/>
          <w:u w:val="none"/>
          <w:shd w:val="clear" w:color="auto" w:fill="FFFFFF"/>
          <w:lang w:val="zh-CN"/>
        </w:rPr>
        <w:t>〔</w:t>
      </w:r>
      <w:r>
        <w:rPr>
          <w:rFonts w:hint="eastAsia" w:ascii="宋体" w:hAnsi="宋体" w:eastAsia="宋体" w:cs="宋体"/>
          <w:color w:val="auto"/>
          <w:kern w:val="0"/>
          <w:sz w:val="32"/>
          <w:szCs w:val="32"/>
          <w:highlight w:val="none"/>
          <w:u w:val="none"/>
          <w:shd w:val="clear" w:color="auto" w:fill="FFFFFF"/>
          <w:lang w:val="en-US" w:eastAsia="zh-CN"/>
        </w:rPr>
        <w:t>2021</w:t>
      </w:r>
      <w:r>
        <w:rPr>
          <w:rFonts w:hint="eastAsia" w:ascii="宋体" w:hAnsi="宋体" w:eastAsia="宋体" w:cs="宋体"/>
          <w:color w:val="auto"/>
          <w:kern w:val="0"/>
          <w:sz w:val="32"/>
          <w:szCs w:val="32"/>
          <w:highlight w:val="none"/>
          <w:u w:val="none"/>
          <w:shd w:val="clear" w:color="auto" w:fill="FFFFFF"/>
          <w:lang w:val="zh-CN"/>
        </w:rPr>
        <w:t>〕</w:t>
      </w:r>
      <w:r>
        <w:rPr>
          <w:rFonts w:hint="eastAsia" w:ascii="宋体" w:hAnsi="宋体" w:eastAsia="宋体" w:cs="宋体"/>
          <w:color w:val="auto"/>
          <w:kern w:val="0"/>
          <w:sz w:val="32"/>
          <w:szCs w:val="32"/>
          <w:highlight w:val="none"/>
          <w:u w:val="none"/>
          <w:shd w:val="clear" w:color="auto" w:fill="FFFFFF"/>
          <w:lang w:val="en-US" w:eastAsia="zh-CN"/>
        </w:rPr>
        <w:t>328号</w:t>
      </w:r>
      <w:r>
        <w:rPr>
          <w:rFonts w:hint="eastAsia" w:ascii="仿宋_GB2312" w:hAnsi="仿宋_GB2312" w:cs="仿宋_GB2312"/>
          <w:color w:val="auto"/>
          <w:kern w:val="0"/>
          <w:sz w:val="32"/>
          <w:szCs w:val="32"/>
          <w:highlight w:val="none"/>
          <w:u w:val="none"/>
          <w:shd w:val="clear" w:color="auto" w:fill="FFFFFF"/>
          <w:lang w:val="zh-CN"/>
        </w:rPr>
        <w:t>）、《广安市财政局关于下达</w:t>
      </w:r>
      <w:r>
        <w:rPr>
          <w:rFonts w:hint="eastAsia" w:ascii="仿宋_GB2312" w:hAnsi="仿宋_GB2312" w:cs="仿宋_GB2312"/>
          <w:color w:val="auto"/>
          <w:kern w:val="0"/>
          <w:sz w:val="32"/>
          <w:szCs w:val="32"/>
          <w:highlight w:val="none"/>
          <w:u w:val="none"/>
          <w:shd w:val="clear" w:color="auto" w:fill="FFFFFF"/>
          <w:lang w:val="en-US" w:eastAsia="zh-CN"/>
        </w:rPr>
        <w:t>2021年中省自然灾害救灾资金预算的通知</w:t>
      </w:r>
      <w:r>
        <w:rPr>
          <w:rFonts w:hint="eastAsia" w:ascii="仿宋_GB2312" w:hAnsi="仿宋_GB2312" w:cs="仿宋_GB2312"/>
          <w:color w:val="auto"/>
          <w:kern w:val="0"/>
          <w:sz w:val="32"/>
          <w:szCs w:val="32"/>
          <w:highlight w:val="none"/>
          <w:u w:val="none"/>
          <w:shd w:val="clear" w:color="auto" w:fill="FFFFFF"/>
          <w:lang w:val="zh-CN"/>
        </w:rPr>
        <w:t>》（广市财建〔202</w:t>
      </w:r>
      <w:r>
        <w:rPr>
          <w:rFonts w:hint="eastAsia" w:ascii="仿宋_GB2312" w:hAnsi="仿宋_GB2312" w:cs="仿宋_GB2312"/>
          <w:color w:val="auto"/>
          <w:kern w:val="0"/>
          <w:sz w:val="32"/>
          <w:szCs w:val="32"/>
          <w:highlight w:val="none"/>
          <w:u w:val="none"/>
          <w:shd w:val="clear" w:color="auto" w:fill="FFFFFF"/>
          <w:lang w:val="en-US" w:eastAsia="zh-CN"/>
        </w:rPr>
        <w:t>2</w:t>
      </w:r>
      <w:r>
        <w:rPr>
          <w:rFonts w:hint="eastAsia" w:ascii="仿宋_GB2312" w:hAnsi="仿宋_GB2312" w:cs="仿宋_GB2312"/>
          <w:color w:val="auto"/>
          <w:kern w:val="0"/>
          <w:sz w:val="32"/>
          <w:szCs w:val="32"/>
          <w:highlight w:val="none"/>
          <w:u w:val="none"/>
          <w:shd w:val="clear" w:color="auto" w:fill="FFFFFF"/>
          <w:lang w:val="zh-CN"/>
        </w:rPr>
        <w:t>〕</w:t>
      </w:r>
      <w:r>
        <w:rPr>
          <w:rFonts w:hint="eastAsia" w:ascii="仿宋_GB2312" w:hAnsi="仿宋_GB2312" w:cs="仿宋_GB2312"/>
          <w:color w:val="auto"/>
          <w:kern w:val="0"/>
          <w:sz w:val="32"/>
          <w:szCs w:val="32"/>
          <w:highlight w:val="none"/>
          <w:u w:val="none"/>
          <w:shd w:val="clear" w:color="auto" w:fill="FFFFFF"/>
          <w:lang w:val="en-US" w:eastAsia="zh-CN"/>
        </w:rPr>
        <w:t>116</w:t>
      </w:r>
      <w:r>
        <w:rPr>
          <w:rFonts w:hint="eastAsia" w:ascii="仿宋_GB2312" w:hAnsi="仿宋_GB2312" w:cs="仿宋_GB2312"/>
          <w:color w:val="auto"/>
          <w:kern w:val="0"/>
          <w:sz w:val="32"/>
          <w:szCs w:val="32"/>
          <w:highlight w:val="none"/>
          <w:u w:val="none"/>
          <w:shd w:val="clear" w:color="auto" w:fill="FFFFFF"/>
          <w:lang w:val="zh-CN"/>
        </w:rPr>
        <w:t>号）等相关文件实施。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3．该专项资金严格落实专款专用，加强资金效益，严格执行采购流程和质量验收</w:t>
      </w:r>
      <w:r>
        <w:rPr>
          <w:rFonts w:hint="eastAsia" w:ascii="仿宋_GB2312" w:hAnsi="仿宋_GB2312" w:cs="仿宋_GB2312"/>
          <w:color w:val="auto"/>
          <w:kern w:val="0"/>
          <w:sz w:val="32"/>
          <w:szCs w:val="32"/>
          <w:highlight w:val="none"/>
          <w:u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4．原则</w:t>
      </w:r>
      <w:r>
        <w:rPr>
          <w:rFonts w:hint="eastAsia" w:ascii="仿宋_GB2312" w:hAnsi="仿宋_GB2312" w:cs="仿宋_GB2312"/>
          <w:color w:val="auto"/>
          <w:kern w:val="0"/>
          <w:sz w:val="32"/>
          <w:szCs w:val="32"/>
          <w:highlight w:val="none"/>
          <w:u w:val="none"/>
          <w:shd w:val="clear" w:color="auto" w:fill="FFFFFF"/>
          <w:lang w:val="en-US" w:eastAsia="zh-CN"/>
        </w:rPr>
        <w:t>是按各地实际受灾情况和抗洪抢险投入情况进行资金分配</w:t>
      </w:r>
      <w:r>
        <w:rPr>
          <w:rFonts w:hint="eastAsia" w:ascii="仿宋_GB2312" w:hAnsi="仿宋_GB2312" w:eastAsia="仿宋_GB2312" w:cs="仿宋_GB2312"/>
          <w:color w:val="auto"/>
          <w:kern w:val="0"/>
          <w:sz w:val="32"/>
          <w:szCs w:val="32"/>
          <w:highlight w:val="none"/>
          <w:u w:val="none"/>
          <w:shd w:val="clear" w:color="auto" w:fill="FFFFFF"/>
          <w:lang w:val="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2"/>
        <w:rPr>
          <w:rFonts w:ascii="楷体_GB2312" w:hAnsi="宋体" w:eastAsia="楷体_GB2312"/>
          <w:b/>
          <w:color w:val="auto"/>
          <w:sz w:val="32"/>
          <w:szCs w:val="32"/>
          <w:highlight w:val="none"/>
          <w:u w:val="none"/>
          <w:lang w:val="zh-CN"/>
        </w:rPr>
      </w:pPr>
      <w:bookmarkStart w:id="56" w:name="_Toc31113"/>
      <w:r>
        <w:rPr>
          <w:rFonts w:hint="eastAsia" w:ascii="楷体_GB2312" w:hAnsi="宋体" w:eastAsia="楷体_GB2312"/>
          <w:b/>
          <w:color w:val="auto"/>
          <w:sz w:val="32"/>
          <w:szCs w:val="32"/>
          <w:highlight w:val="none"/>
          <w:u w:val="none"/>
          <w:lang w:val="zh-CN"/>
        </w:rPr>
        <w:t>（二）项目绩效目标。</w:t>
      </w:r>
      <w:bookmarkEnd w:id="56"/>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1．项目主要内容</w:t>
      </w:r>
      <w:r>
        <w:rPr>
          <w:rFonts w:hint="eastAsia" w:ascii="仿宋_GB2312" w:hAnsi="仿宋_GB2312" w:cs="仿宋_GB2312"/>
          <w:color w:val="auto"/>
          <w:kern w:val="0"/>
          <w:sz w:val="32"/>
          <w:szCs w:val="32"/>
          <w:highlight w:val="none"/>
          <w:u w:val="none"/>
          <w:shd w:val="clear" w:color="auto" w:fill="FFFFFF"/>
          <w:lang w:val="en-US" w:eastAsia="zh-CN"/>
        </w:rPr>
        <w:t>是</w:t>
      </w:r>
      <w:r>
        <w:rPr>
          <w:rFonts w:hint="default" w:ascii="Times New Roman" w:hAnsi="Times New Roman" w:eastAsia="仿宋_GB2312" w:cs="Times New Roman"/>
          <w:color w:val="000000"/>
          <w:kern w:val="0"/>
          <w:sz w:val="31"/>
          <w:szCs w:val="31"/>
          <w:lang w:val="en-US" w:eastAsia="zh-CN" w:bidi="ar"/>
        </w:rPr>
        <w:t>用于全市补助重灾区洪涝灾害应急救援期间的抢险救援支出，抢险救援应急物资及设备的租赁和购置等费用</w:t>
      </w:r>
      <w:r>
        <w:rPr>
          <w:rFonts w:hint="eastAsia" w:ascii="仿宋_GB2312" w:hAnsi="仿宋_GB2312" w:eastAsia="仿宋_GB2312" w:cs="仿宋_GB2312"/>
          <w:color w:val="auto"/>
          <w:kern w:val="0"/>
          <w:sz w:val="32"/>
          <w:szCs w:val="32"/>
          <w:highlight w:val="none"/>
          <w:u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2．项目应实现的具体绩效目标，</w:t>
      </w:r>
      <w:r>
        <w:rPr>
          <w:rFonts w:hint="eastAsia" w:ascii="仿宋_GB2312" w:hAnsi="仿宋_GB2312" w:eastAsia="仿宋_GB2312" w:cs="仿宋_GB2312"/>
          <w:color w:val="auto"/>
          <w:kern w:val="0"/>
          <w:sz w:val="32"/>
          <w:szCs w:val="32"/>
          <w:highlight w:val="none"/>
          <w:u w:val="none"/>
          <w:shd w:val="clear" w:color="auto" w:fill="FFFFFF"/>
          <w:lang w:val="en-US" w:eastAsia="zh-CN"/>
        </w:rPr>
        <w:t>包括但不限于</w:t>
      </w:r>
      <w:r>
        <w:rPr>
          <w:rFonts w:hint="eastAsia" w:ascii="仿宋_GB2312" w:hAnsi="仿宋_GB2312" w:cs="仿宋_GB2312"/>
          <w:color w:val="auto"/>
          <w:kern w:val="0"/>
          <w:sz w:val="32"/>
          <w:szCs w:val="32"/>
          <w:highlight w:val="none"/>
          <w:u w:val="none"/>
          <w:shd w:val="clear" w:color="auto" w:fill="FFFFFF"/>
          <w:lang w:val="en-US" w:eastAsia="zh-CN"/>
        </w:rPr>
        <w:t>：该项目已完成80万元抗洪设备抢购，已支付56.8万元，剩余23.2万元未支付</w:t>
      </w:r>
      <w:r>
        <w:rPr>
          <w:rFonts w:hint="eastAsia" w:ascii="仿宋_GB2312" w:hAnsi="仿宋_GB2312" w:eastAsia="仿宋_GB2312" w:cs="仿宋_GB2312"/>
          <w:color w:val="auto"/>
          <w:kern w:val="0"/>
          <w:sz w:val="32"/>
          <w:szCs w:val="32"/>
          <w:highlight w:val="none"/>
          <w:u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3．分析评价申报内容与实际相符，申报目标合理可行。</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2"/>
        <w:rPr>
          <w:rFonts w:ascii="楷体_GB2312" w:hAnsi="宋体" w:eastAsia="楷体_GB2312"/>
          <w:b/>
          <w:color w:val="auto"/>
          <w:sz w:val="32"/>
          <w:szCs w:val="32"/>
          <w:highlight w:val="none"/>
          <w:u w:val="none"/>
          <w:lang w:val="zh-CN"/>
        </w:rPr>
      </w:pPr>
      <w:bookmarkStart w:id="57" w:name="_Toc10268"/>
      <w:r>
        <w:rPr>
          <w:rFonts w:hint="eastAsia" w:ascii="楷体_GB2312" w:hAnsi="宋体" w:eastAsia="楷体_GB2312"/>
          <w:b/>
          <w:color w:val="auto"/>
          <w:sz w:val="32"/>
          <w:szCs w:val="32"/>
          <w:highlight w:val="none"/>
          <w:u w:val="none"/>
          <w:lang w:val="zh-CN"/>
        </w:rPr>
        <w:t>（三）项目自评步骤及方法。</w:t>
      </w:r>
      <w:bookmarkEnd w:id="57"/>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FF"/>
          <w:kern w:val="0"/>
          <w:sz w:val="32"/>
          <w:szCs w:val="32"/>
          <w:highlight w:val="none"/>
          <w:u w:val="none"/>
          <w:shd w:val="clear" w:color="auto" w:fill="FFFFFF"/>
          <w:lang w:val="zh-CN"/>
        </w:rPr>
      </w:pPr>
      <w:r>
        <w:rPr>
          <w:rFonts w:hint="eastAsia" w:ascii="仿宋_GB2312" w:hAnsi="仿宋_GB2312" w:cs="仿宋_GB2312"/>
          <w:color w:val="auto"/>
          <w:kern w:val="0"/>
          <w:sz w:val="32"/>
          <w:szCs w:val="32"/>
          <w:highlight w:val="none"/>
          <w:u w:val="none"/>
          <w:shd w:val="clear" w:color="auto" w:fill="FFFFFF"/>
          <w:lang w:val="zh-CN"/>
        </w:rPr>
        <w:t>按照</w:t>
      </w:r>
      <w:r>
        <w:rPr>
          <w:rFonts w:hint="eastAsia" w:ascii="仿宋_GB2312" w:hAnsi="仿宋_GB2312" w:eastAsia="仿宋_GB2312" w:cs="仿宋_GB2312"/>
          <w:color w:val="auto"/>
          <w:kern w:val="0"/>
          <w:sz w:val="32"/>
          <w:szCs w:val="32"/>
          <w:highlight w:val="none"/>
          <w:u w:val="none"/>
          <w:shd w:val="clear" w:color="auto" w:fill="FFFFFF"/>
          <w:lang w:val="zh-CN"/>
        </w:rPr>
        <w:t>项目</w:t>
      </w:r>
      <w:r>
        <w:rPr>
          <w:rFonts w:hint="eastAsia" w:ascii="仿宋_GB2312" w:hAnsi="仿宋_GB2312" w:cs="仿宋_GB2312"/>
          <w:color w:val="auto"/>
          <w:kern w:val="0"/>
          <w:sz w:val="32"/>
          <w:szCs w:val="32"/>
          <w:highlight w:val="none"/>
          <w:u w:val="none"/>
          <w:shd w:val="clear" w:color="auto" w:fill="FFFFFF"/>
          <w:lang w:val="zh-CN"/>
        </w:rPr>
        <w:t>完成情况和项目效益情况进行</w:t>
      </w:r>
      <w:r>
        <w:rPr>
          <w:rFonts w:hint="eastAsia" w:ascii="仿宋_GB2312" w:hAnsi="仿宋_GB2312" w:eastAsia="仿宋_GB2312" w:cs="仿宋_GB2312"/>
          <w:color w:val="auto"/>
          <w:kern w:val="0"/>
          <w:sz w:val="32"/>
          <w:szCs w:val="32"/>
          <w:highlight w:val="none"/>
          <w:u w:val="none"/>
          <w:shd w:val="clear" w:color="auto" w:fill="FFFFFF"/>
          <w:lang w:val="zh-CN"/>
        </w:rPr>
        <w:t>绩效自评。</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58" w:name="_Toc1084"/>
      <w:r>
        <w:rPr>
          <w:rFonts w:hint="eastAsia" w:ascii="黑体" w:hAnsi="宋体" w:eastAsia="黑体"/>
          <w:color w:val="auto"/>
          <w:sz w:val="32"/>
          <w:szCs w:val="32"/>
          <w:highlight w:val="none"/>
          <w:u w:val="none"/>
        </w:rPr>
        <w:t>二、项目资金申报及使用情况</w:t>
      </w:r>
      <w:bookmarkEnd w:id="58"/>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2"/>
        <w:rPr>
          <w:rFonts w:ascii="楷体_GB2312" w:hAnsi="宋体" w:eastAsia="楷体_GB2312"/>
          <w:b/>
          <w:color w:val="auto"/>
          <w:sz w:val="32"/>
          <w:szCs w:val="32"/>
          <w:highlight w:val="none"/>
          <w:u w:val="none"/>
          <w:lang w:val="zh-CN"/>
        </w:rPr>
      </w:pPr>
      <w:bookmarkStart w:id="59" w:name="_Toc29634"/>
      <w:r>
        <w:rPr>
          <w:rFonts w:hint="eastAsia" w:ascii="楷体_GB2312" w:hAnsi="宋体" w:eastAsia="楷体_GB2312"/>
          <w:b/>
          <w:color w:val="auto"/>
          <w:sz w:val="32"/>
          <w:szCs w:val="32"/>
          <w:highlight w:val="none"/>
          <w:u w:val="none"/>
          <w:lang w:val="zh-CN"/>
        </w:rPr>
        <w:t>（一）项目资金申报及批复情况。</w:t>
      </w:r>
      <w:bookmarkEnd w:id="59"/>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0000FF"/>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经费来源为按照《四川省财政厅关于</w:t>
      </w:r>
      <w:r>
        <w:rPr>
          <w:rFonts w:hint="eastAsia" w:ascii="仿宋_GB2312" w:hAnsi="仿宋_GB2312" w:cs="仿宋_GB2312"/>
          <w:color w:val="auto"/>
          <w:kern w:val="0"/>
          <w:sz w:val="32"/>
          <w:szCs w:val="32"/>
          <w:highlight w:val="none"/>
          <w:u w:val="none"/>
          <w:shd w:val="clear" w:color="auto" w:fill="FFFFFF"/>
          <w:lang w:val="zh-CN"/>
        </w:rPr>
        <w:t>下达</w:t>
      </w:r>
      <w:r>
        <w:rPr>
          <w:rFonts w:hint="eastAsia" w:ascii="仿宋_GB2312" w:hAnsi="仿宋_GB2312" w:cs="仿宋_GB2312"/>
          <w:color w:val="auto"/>
          <w:kern w:val="0"/>
          <w:sz w:val="32"/>
          <w:szCs w:val="32"/>
          <w:highlight w:val="none"/>
          <w:u w:val="none"/>
          <w:shd w:val="clear" w:color="auto" w:fill="FFFFFF"/>
          <w:lang w:val="en-US" w:eastAsia="zh-CN"/>
        </w:rPr>
        <w:t>2021年中省自然灾害救灾资金预算的通知</w:t>
      </w:r>
      <w:r>
        <w:rPr>
          <w:rFonts w:hint="eastAsia" w:ascii="仿宋_GB2312" w:hAnsi="仿宋_GB2312" w:eastAsia="仿宋_GB2312" w:cs="仿宋_GB2312"/>
          <w:color w:val="auto"/>
          <w:kern w:val="0"/>
          <w:sz w:val="32"/>
          <w:szCs w:val="32"/>
          <w:highlight w:val="none"/>
          <w:u w:val="none"/>
          <w:shd w:val="clear" w:color="auto" w:fill="FFFFFF"/>
          <w:lang w:val="zh-CN"/>
        </w:rPr>
        <w:t>》申报了</w:t>
      </w:r>
      <w:r>
        <w:rPr>
          <w:rFonts w:hint="eastAsia" w:ascii="仿宋_GB2312" w:hAnsi="仿宋_GB2312" w:cs="仿宋_GB2312"/>
          <w:color w:val="auto"/>
          <w:kern w:val="0"/>
          <w:sz w:val="32"/>
          <w:szCs w:val="32"/>
          <w:highlight w:val="none"/>
          <w:u w:val="none"/>
          <w:shd w:val="clear" w:color="auto" w:fill="FFFFFF"/>
          <w:lang w:val="zh-CN"/>
        </w:rPr>
        <w:t>抗洪抢险</w:t>
      </w:r>
      <w:r>
        <w:rPr>
          <w:rFonts w:hint="eastAsia" w:ascii="仿宋_GB2312" w:hAnsi="仿宋_GB2312" w:eastAsia="仿宋_GB2312" w:cs="仿宋_GB2312"/>
          <w:color w:val="auto"/>
          <w:kern w:val="0"/>
          <w:sz w:val="32"/>
          <w:szCs w:val="32"/>
          <w:highlight w:val="none"/>
          <w:u w:val="none"/>
          <w:shd w:val="clear" w:color="auto" w:fill="FFFFFF"/>
          <w:lang w:val="zh-CN"/>
        </w:rPr>
        <w:t>补助资金</w:t>
      </w:r>
      <w:r>
        <w:rPr>
          <w:rFonts w:hint="eastAsia" w:ascii="仿宋_GB2312" w:hAnsi="仿宋_GB2312" w:cs="仿宋_GB2312"/>
          <w:color w:val="auto"/>
          <w:kern w:val="0"/>
          <w:sz w:val="32"/>
          <w:szCs w:val="32"/>
          <w:highlight w:val="none"/>
          <w:u w:val="none"/>
          <w:shd w:val="clear" w:color="auto" w:fill="FFFFFF"/>
          <w:lang w:val="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2"/>
        <w:rPr>
          <w:rFonts w:ascii="仿宋_GB2312" w:hAnsi="宋体"/>
          <w:color w:val="auto"/>
          <w:sz w:val="32"/>
          <w:szCs w:val="32"/>
          <w:highlight w:val="none"/>
          <w:u w:val="none"/>
          <w:lang w:val="zh-CN"/>
        </w:rPr>
      </w:pPr>
      <w:bookmarkStart w:id="60" w:name="_Toc10026"/>
      <w:r>
        <w:rPr>
          <w:rFonts w:hint="eastAsia" w:ascii="楷体_GB2312" w:hAnsi="宋体" w:eastAsia="楷体_GB2312"/>
          <w:b/>
          <w:color w:val="auto"/>
          <w:sz w:val="32"/>
          <w:szCs w:val="32"/>
          <w:highlight w:val="none"/>
          <w:u w:val="none"/>
          <w:lang w:val="zh-CN"/>
        </w:rPr>
        <w:t>（二）资金计划、到位及使用情况。</w:t>
      </w:r>
      <w:bookmarkEnd w:id="60"/>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1．资金计划。</w:t>
      </w:r>
      <w:r>
        <w:rPr>
          <w:rFonts w:hint="eastAsia" w:ascii="仿宋_GB2312" w:hAnsi="仿宋_GB2312" w:cs="仿宋_GB2312"/>
          <w:color w:val="auto"/>
          <w:kern w:val="0"/>
          <w:sz w:val="32"/>
          <w:szCs w:val="32"/>
          <w:highlight w:val="none"/>
          <w:u w:val="none"/>
          <w:shd w:val="clear" w:color="auto" w:fill="FFFFFF"/>
          <w:lang w:val="en-US" w:eastAsia="zh-CN"/>
        </w:rPr>
        <w:t>该项目预算资金80万元，其中，省财政拨款80万元。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 w:cs="Times New Roman"/>
          <w:sz w:val="32"/>
          <w:szCs w:val="32"/>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2．资金到位。</w:t>
      </w:r>
      <w:r>
        <w:rPr>
          <w:rFonts w:hint="default" w:ascii="Times New Roman" w:hAnsi="Times New Roman" w:eastAsia="仿宋" w:cs="Times New Roman"/>
          <w:sz w:val="32"/>
          <w:szCs w:val="32"/>
          <w:lang w:val="en-US" w:eastAsia="zh-CN"/>
        </w:rPr>
        <w:t>该项目预算资金</w:t>
      </w:r>
      <w:r>
        <w:rPr>
          <w:rFonts w:hint="eastAsia" w:eastAsia="仿宋" w:cs="Times New Roman"/>
          <w:sz w:val="32"/>
          <w:szCs w:val="32"/>
          <w:lang w:val="en-US" w:eastAsia="zh-CN"/>
        </w:rPr>
        <w:t>80</w:t>
      </w:r>
      <w:r>
        <w:rPr>
          <w:rFonts w:hint="default" w:ascii="Times New Roman" w:hAnsi="Times New Roman" w:eastAsia="仿宋" w:cs="Times New Roman"/>
          <w:sz w:val="32"/>
          <w:szCs w:val="32"/>
          <w:lang w:val="en-US" w:eastAsia="zh-CN"/>
        </w:rPr>
        <w:t>万元，资金到位</w:t>
      </w:r>
      <w:r>
        <w:rPr>
          <w:rFonts w:hint="eastAsia" w:eastAsia="仿宋" w:cs="Times New Roman"/>
          <w:sz w:val="32"/>
          <w:szCs w:val="32"/>
          <w:lang w:val="en-US" w:eastAsia="zh-CN"/>
        </w:rPr>
        <w:t>8</w:t>
      </w:r>
      <w:r>
        <w:rPr>
          <w:rFonts w:hint="default" w:ascii="Times New Roman" w:hAnsi="Times New Roman" w:eastAsia="仿宋" w:cs="Times New Roman"/>
          <w:sz w:val="32"/>
          <w:szCs w:val="32"/>
          <w:lang w:val="en-US" w:eastAsia="zh-CN"/>
        </w:rPr>
        <w:t>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color w:val="auto"/>
          <w:kern w:val="0"/>
          <w:sz w:val="32"/>
          <w:szCs w:val="32"/>
          <w:highlight w:val="none"/>
          <w:u w:val="none"/>
          <w:shd w:val="clear" w:color="auto" w:fill="FFFFFF"/>
          <w:lang w:val="zh-CN"/>
        </w:rPr>
        <w:t>3．资金使用。截至评价时点项目资金已按计划和规定支出共计</w:t>
      </w:r>
      <w:r>
        <w:rPr>
          <w:rFonts w:hint="eastAsia" w:ascii="仿宋_GB2312" w:hAnsi="仿宋_GB2312" w:cs="仿宋_GB2312"/>
          <w:color w:val="auto"/>
          <w:kern w:val="0"/>
          <w:sz w:val="32"/>
          <w:szCs w:val="32"/>
          <w:highlight w:val="none"/>
          <w:u w:val="none"/>
          <w:shd w:val="clear" w:color="auto" w:fill="FFFFFF"/>
          <w:lang w:val="en-US" w:eastAsia="zh-CN"/>
        </w:rPr>
        <w:t>56.8</w:t>
      </w:r>
      <w:r>
        <w:rPr>
          <w:rFonts w:hint="eastAsia" w:ascii="仿宋_GB2312" w:hAnsi="仿宋_GB2312" w:eastAsia="仿宋_GB2312" w:cs="仿宋_GB2312"/>
          <w:color w:val="auto"/>
          <w:kern w:val="0"/>
          <w:sz w:val="32"/>
          <w:szCs w:val="32"/>
          <w:highlight w:val="none"/>
          <w:u w:val="none"/>
          <w:shd w:val="clear" w:color="auto" w:fill="FFFFFF"/>
          <w:lang w:val="zh-CN"/>
        </w:rPr>
        <w:t>万元</w:t>
      </w:r>
      <w:r>
        <w:rPr>
          <w:rFonts w:hint="eastAsia" w:ascii="仿宋_GB2312" w:hAnsi="仿宋_GB2312" w:cs="仿宋_GB2312"/>
          <w:color w:val="auto"/>
          <w:kern w:val="0"/>
          <w:sz w:val="32"/>
          <w:szCs w:val="32"/>
          <w:highlight w:val="none"/>
          <w:u w:val="none"/>
          <w:shd w:val="clear" w:color="auto" w:fill="FFFFFF"/>
          <w:lang w:val="zh-CN"/>
        </w:rPr>
        <w:t>，剩余</w:t>
      </w:r>
      <w:r>
        <w:rPr>
          <w:rFonts w:hint="eastAsia" w:ascii="仿宋_GB2312" w:hAnsi="仿宋_GB2312" w:cs="仿宋_GB2312"/>
          <w:color w:val="auto"/>
          <w:kern w:val="0"/>
          <w:sz w:val="32"/>
          <w:szCs w:val="32"/>
          <w:highlight w:val="none"/>
          <w:u w:val="none"/>
          <w:shd w:val="clear" w:color="auto" w:fill="FFFFFF"/>
          <w:lang w:val="en-US" w:eastAsia="zh-CN"/>
        </w:rPr>
        <w:t>23.2万元尚未支付。</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2"/>
        <w:rPr>
          <w:rFonts w:ascii="楷体_GB2312" w:hAnsi="宋体" w:eastAsia="楷体_GB2312"/>
          <w:b/>
          <w:color w:val="auto"/>
          <w:sz w:val="32"/>
          <w:szCs w:val="32"/>
          <w:highlight w:val="none"/>
          <w:u w:val="none"/>
          <w:lang w:val="zh-CN"/>
        </w:rPr>
      </w:pPr>
      <w:bookmarkStart w:id="61" w:name="_Toc7672"/>
      <w:r>
        <w:rPr>
          <w:rFonts w:hint="eastAsia" w:ascii="楷体_GB2312" w:hAnsi="宋体" w:eastAsia="楷体_GB2312"/>
          <w:b/>
          <w:color w:val="auto"/>
          <w:sz w:val="32"/>
          <w:szCs w:val="32"/>
          <w:highlight w:val="none"/>
          <w:u w:val="none"/>
          <w:lang w:val="zh-CN"/>
        </w:rPr>
        <w:t>（三）项目财务管理情况。</w:t>
      </w:r>
      <w:bookmarkEnd w:id="61"/>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为加强财务管理工作，本项目严格按照项目管理的要求，对批准项目预算资金，由广安市应急管理局规划财务科统一管理，单独设账，专款专用，做好账务设置和账务管理。</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62" w:name="_Toc430"/>
      <w:r>
        <w:rPr>
          <w:rFonts w:hint="eastAsia" w:ascii="黑体" w:hAnsi="宋体" w:eastAsia="黑体"/>
          <w:color w:val="auto"/>
          <w:sz w:val="32"/>
          <w:szCs w:val="32"/>
          <w:highlight w:val="none"/>
          <w:u w:val="none"/>
        </w:rPr>
        <w:t>三、项目实施及管理情况</w:t>
      </w:r>
      <w:bookmarkEnd w:id="62"/>
    </w:p>
    <w:p>
      <w:pPr>
        <w:keepNext w:val="0"/>
        <w:keepLines w:val="0"/>
        <w:pageBreakBefore w:val="0"/>
        <w:widowControl w:val="0"/>
        <w:numPr>
          <w:ilvl w:val="0"/>
          <w:numId w:val="3"/>
        </w:numPr>
        <w:kinsoku/>
        <w:wordWrap/>
        <w:overflowPunct/>
        <w:topLinePunct w:val="0"/>
        <w:autoSpaceDE/>
        <w:autoSpaceDN/>
        <w:bidi w:val="0"/>
        <w:adjustRightInd w:val="0"/>
        <w:snapToGrid w:val="0"/>
        <w:spacing w:line="578" w:lineRule="exact"/>
        <w:ind w:firstLine="720"/>
        <w:textAlignment w:val="auto"/>
        <w:outlineLvl w:val="2"/>
        <w:rPr>
          <w:rFonts w:hint="eastAsia" w:ascii="楷体_GB2312" w:hAnsi="宋体" w:eastAsia="楷体_GB2312"/>
          <w:b/>
          <w:color w:val="auto"/>
          <w:sz w:val="32"/>
          <w:szCs w:val="32"/>
          <w:highlight w:val="none"/>
          <w:u w:val="none"/>
          <w:lang w:val="zh-CN"/>
        </w:rPr>
      </w:pPr>
      <w:bookmarkStart w:id="63" w:name="_Toc19611"/>
      <w:r>
        <w:rPr>
          <w:rFonts w:hint="eastAsia" w:ascii="楷体_GB2312" w:hAnsi="宋体" w:eastAsia="楷体_GB2312"/>
          <w:b/>
          <w:color w:val="auto"/>
          <w:sz w:val="32"/>
          <w:szCs w:val="32"/>
          <w:highlight w:val="none"/>
          <w:u w:val="none"/>
          <w:lang w:val="zh-CN"/>
        </w:rPr>
        <w:t>项目组织架构及实施流程。</w:t>
      </w:r>
      <w:bookmarkEnd w:id="63"/>
    </w:p>
    <w:p>
      <w:pPr>
        <w:pStyle w:val="2"/>
        <w:keepNext w:val="0"/>
        <w:keepLines w:val="0"/>
        <w:pageBreakBefore w:val="0"/>
        <w:widowControl w:val="0"/>
        <w:numPr>
          <w:ilvl w:val="0"/>
          <w:numId w:val="0"/>
        </w:numPr>
        <w:kinsoku/>
        <w:wordWrap/>
        <w:overflowPunct/>
        <w:topLinePunct w:val="0"/>
        <w:bidi w:val="0"/>
        <w:rPr>
          <w:rFonts w:hint="default" w:eastAsia="黑体"/>
          <w:color w:val="0000FF"/>
          <w:lang w:val="en-US" w:eastAsia="zh-CN"/>
        </w:rPr>
      </w:pPr>
      <w:r>
        <w:rPr>
          <w:rFonts w:hint="eastAsia"/>
          <w:color w:val="0000FF"/>
          <w:lang w:val="en-US" w:eastAsia="zh-CN"/>
        </w:rPr>
        <w:t xml:space="preserve">     </w:t>
      </w:r>
      <w:r>
        <w:rPr>
          <w:rFonts w:hint="eastAsia" w:ascii="仿宋_GB2312" w:hAnsi="仿宋_GB2312" w:eastAsia="仿宋_GB2312" w:cs="仿宋_GB2312"/>
          <w:b w:val="0"/>
          <w:color w:val="auto"/>
          <w:kern w:val="0"/>
          <w:sz w:val="32"/>
          <w:szCs w:val="32"/>
          <w:highlight w:val="none"/>
          <w:u w:val="none"/>
          <w:shd w:val="clear" w:color="auto" w:fill="FFFFFF"/>
          <w:lang w:val="en-US" w:eastAsia="zh-CN" w:bidi="ar-SA"/>
        </w:rPr>
        <w:t>该项目由市应急管理局局党委研究拟定购置方案，并报市财政局对采购项目备案。</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2"/>
        <w:rPr>
          <w:rFonts w:hint="eastAsia" w:ascii="楷体_GB2312" w:hAnsi="宋体" w:eastAsia="楷体_GB2312"/>
          <w:b/>
          <w:color w:val="auto"/>
          <w:sz w:val="32"/>
          <w:szCs w:val="32"/>
          <w:highlight w:val="none"/>
          <w:u w:val="none"/>
          <w:lang w:val="zh-CN"/>
        </w:rPr>
      </w:pPr>
      <w:bookmarkStart w:id="64" w:name="_Toc24155"/>
      <w:r>
        <w:rPr>
          <w:rFonts w:hint="eastAsia" w:ascii="楷体_GB2312" w:hAnsi="宋体" w:eastAsia="楷体_GB2312"/>
          <w:b/>
          <w:color w:val="auto"/>
          <w:sz w:val="32"/>
          <w:szCs w:val="32"/>
          <w:highlight w:val="none"/>
          <w:u w:val="none"/>
          <w:lang w:val="zh-CN"/>
        </w:rPr>
        <w:t>（二）项目管理情况。</w:t>
      </w:r>
      <w:bookmarkEnd w:id="64"/>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严格落实中央</w:t>
      </w:r>
      <w:r>
        <w:rPr>
          <w:rFonts w:hint="eastAsia" w:ascii="仿宋_GB2312" w:hAnsi="仿宋_GB2312" w:cs="仿宋_GB2312"/>
          <w:color w:val="auto"/>
          <w:kern w:val="0"/>
          <w:sz w:val="32"/>
          <w:szCs w:val="32"/>
          <w:highlight w:val="none"/>
          <w:u w:val="none"/>
          <w:shd w:val="clear" w:color="auto" w:fill="FFFFFF"/>
          <w:lang w:val="zh-CN"/>
        </w:rPr>
        <w:t>、</w:t>
      </w:r>
      <w:r>
        <w:rPr>
          <w:rFonts w:hint="eastAsia" w:ascii="仿宋_GB2312" w:hAnsi="仿宋_GB2312" w:eastAsia="仿宋_GB2312" w:cs="仿宋_GB2312"/>
          <w:color w:val="auto"/>
          <w:kern w:val="0"/>
          <w:sz w:val="32"/>
          <w:szCs w:val="32"/>
          <w:highlight w:val="none"/>
          <w:u w:val="none"/>
          <w:shd w:val="clear" w:color="auto" w:fill="FFFFFF"/>
          <w:lang w:val="zh-CN"/>
        </w:rPr>
        <w:t>省</w:t>
      </w:r>
      <w:r>
        <w:rPr>
          <w:rFonts w:hint="eastAsia" w:ascii="仿宋_GB2312" w:hAnsi="仿宋_GB2312" w:cs="仿宋_GB2312"/>
          <w:color w:val="auto"/>
          <w:kern w:val="0"/>
          <w:sz w:val="32"/>
          <w:szCs w:val="32"/>
          <w:highlight w:val="none"/>
          <w:u w:val="none"/>
          <w:shd w:val="clear" w:color="auto" w:fill="FFFFFF"/>
          <w:lang w:val="zh-CN"/>
        </w:rPr>
        <w:t>、</w:t>
      </w:r>
      <w:r>
        <w:rPr>
          <w:rFonts w:hint="eastAsia" w:ascii="仿宋_GB2312" w:hAnsi="仿宋_GB2312" w:eastAsia="仿宋_GB2312" w:cs="仿宋_GB2312"/>
          <w:color w:val="auto"/>
          <w:kern w:val="0"/>
          <w:sz w:val="32"/>
          <w:szCs w:val="32"/>
          <w:highlight w:val="none"/>
          <w:u w:val="none"/>
          <w:shd w:val="clear" w:color="auto" w:fill="FFFFFF"/>
          <w:lang w:val="zh-CN"/>
        </w:rPr>
        <w:t>市的相关政策</w:t>
      </w:r>
      <w:r>
        <w:rPr>
          <w:rFonts w:hint="eastAsia" w:ascii="仿宋_GB2312" w:hAnsi="仿宋_GB2312" w:cs="仿宋_GB2312"/>
          <w:color w:val="auto"/>
          <w:kern w:val="0"/>
          <w:sz w:val="32"/>
          <w:szCs w:val="32"/>
          <w:highlight w:val="none"/>
          <w:u w:val="none"/>
          <w:shd w:val="clear" w:color="auto" w:fill="FFFFFF"/>
          <w:lang w:val="zh-CN"/>
        </w:rPr>
        <w:t>，多部门共同参与，指定</w:t>
      </w:r>
      <w:r>
        <w:rPr>
          <w:rFonts w:hint="eastAsia" w:ascii="仿宋_GB2312" w:hAnsi="仿宋_GB2312" w:eastAsia="仿宋_GB2312" w:cs="仿宋_GB2312"/>
          <w:color w:val="auto"/>
          <w:kern w:val="0"/>
          <w:sz w:val="32"/>
          <w:szCs w:val="32"/>
          <w:highlight w:val="none"/>
          <w:u w:val="none"/>
          <w:shd w:val="clear" w:color="auto" w:fill="FFFFFF"/>
          <w:lang w:val="zh-CN"/>
        </w:rPr>
        <w:t>专人负责</w:t>
      </w:r>
      <w:r>
        <w:rPr>
          <w:rFonts w:hint="eastAsia" w:ascii="仿宋_GB2312" w:hAnsi="仿宋_GB2312" w:cs="仿宋_GB2312"/>
          <w:color w:val="auto"/>
          <w:kern w:val="0"/>
          <w:sz w:val="32"/>
          <w:szCs w:val="32"/>
          <w:highlight w:val="none"/>
          <w:u w:val="none"/>
          <w:shd w:val="clear" w:color="auto" w:fill="FFFFFF"/>
          <w:lang w:val="zh-CN"/>
        </w:rPr>
        <w:t>项目采购</w:t>
      </w:r>
      <w:r>
        <w:rPr>
          <w:rFonts w:hint="eastAsia" w:ascii="仿宋_GB2312" w:hAnsi="仿宋_GB2312" w:eastAsia="仿宋_GB2312" w:cs="仿宋_GB2312"/>
          <w:color w:val="auto"/>
          <w:kern w:val="0"/>
          <w:sz w:val="32"/>
          <w:szCs w:val="32"/>
          <w:highlight w:val="none"/>
          <w:u w:val="none"/>
          <w:shd w:val="clear" w:color="auto" w:fill="FFFFFF"/>
          <w:lang w:val="zh-CN"/>
        </w:rPr>
        <w:t>。采购项目资金来源为省财政厅下达2021年中省自然灾害救灾资金。</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hint="default" w:ascii="仿宋_GB2312" w:hAnsi="仿宋_GB2312" w:cs="仿宋_GB2312"/>
          <w:color w:val="auto"/>
          <w:kern w:val="0"/>
          <w:sz w:val="32"/>
          <w:szCs w:val="32"/>
          <w:highlight w:val="none"/>
          <w:u w:val="none"/>
          <w:shd w:val="clear" w:color="auto" w:fill="FFFFFF"/>
          <w:lang w:val="en-US" w:eastAsia="zh-CN"/>
        </w:rPr>
      </w:pPr>
      <w:r>
        <w:rPr>
          <w:rFonts w:hint="eastAsia" w:ascii="楷体_GB2312" w:hAnsi="宋体" w:eastAsia="楷体_GB2312"/>
          <w:b/>
          <w:color w:val="auto"/>
          <w:sz w:val="32"/>
          <w:szCs w:val="32"/>
          <w:highlight w:val="none"/>
          <w:u w:val="none"/>
          <w:lang w:val="zh-CN"/>
        </w:rPr>
        <w:t>（三）项目监管情况。</w:t>
      </w:r>
      <w:r>
        <w:rPr>
          <w:rFonts w:hint="eastAsia" w:ascii="仿宋_GB2312" w:hAnsi="仿宋_GB2312" w:cs="仿宋_GB2312"/>
          <w:color w:val="auto"/>
          <w:kern w:val="0"/>
          <w:sz w:val="32"/>
          <w:szCs w:val="32"/>
          <w:highlight w:val="none"/>
          <w:u w:val="none"/>
          <w:shd w:val="clear" w:color="auto" w:fill="FFFFFF"/>
          <w:lang w:val="zh-CN" w:eastAsia="zh-CN"/>
        </w:rPr>
        <w:t>实行统一采购、统一验收、统一管理，提高了装备的效益性，</w:t>
      </w:r>
      <w:r>
        <w:rPr>
          <w:rFonts w:hint="eastAsia" w:ascii="仿宋_GB2312" w:hAnsi="仿宋_GB2312" w:cs="仿宋_GB2312"/>
          <w:color w:val="auto"/>
          <w:kern w:val="0"/>
          <w:sz w:val="32"/>
          <w:szCs w:val="32"/>
          <w:highlight w:val="none"/>
          <w:u w:val="none"/>
          <w:shd w:val="clear" w:color="auto" w:fill="FFFFFF"/>
          <w:lang w:val="en-US" w:eastAsia="zh-CN"/>
        </w:rPr>
        <w:t>采购过程由局纪委全程监督。</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1"/>
        <w:rPr>
          <w:rFonts w:ascii="仿宋_GB2312" w:hAnsi="宋体"/>
          <w:color w:val="auto"/>
          <w:sz w:val="32"/>
          <w:szCs w:val="32"/>
          <w:highlight w:val="none"/>
          <w:u w:val="none"/>
          <w:lang w:val="zh-CN"/>
        </w:rPr>
      </w:pPr>
      <w:bookmarkStart w:id="65" w:name="_Toc4979"/>
      <w:r>
        <w:rPr>
          <w:rFonts w:hint="eastAsia" w:ascii="黑体" w:hAnsi="宋体" w:eastAsia="黑体"/>
          <w:color w:val="auto"/>
          <w:sz w:val="32"/>
          <w:szCs w:val="32"/>
          <w:highlight w:val="none"/>
          <w:u w:val="none"/>
        </w:rPr>
        <w:t>四、项目绩效情况</w:t>
      </w:r>
      <w:bookmarkEnd w:id="65"/>
      <w:r>
        <w:rPr>
          <w:rFonts w:hint="eastAsia" w:ascii="仿宋_GB2312" w:hAnsi="宋体"/>
          <w:color w:val="auto"/>
          <w:sz w:val="32"/>
          <w:szCs w:val="32"/>
          <w:highlight w:val="none"/>
          <w:u w:val="none"/>
          <w:lang w:val="zh-CN"/>
        </w:rPr>
        <w:tab/>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2"/>
        <w:rPr>
          <w:rFonts w:ascii="楷体_GB2312" w:hAnsi="宋体" w:eastAsia="楷体_GB2312"/>
          <w:b/>
          <w:color w:val="auto"/>
          <w:sz w:val="32"/>
          <w:szCs w:val="32"/>
          <w:highlight w:val="none"/>
          <w:u w:val="none"/>
          <w:lang w:val="zh-CN"/>
        </w:rPr>
      </w:pPr>
      <w:bookmarkStart w:id="66" w:name="_Toc12113"/>
      <w:r>
        <w:rPr>
          <w:rFonts w:hint="eastAsia" w:ascii="楷体_GB2312" w:hAnsi="宋体" w:eastAsia="楷体_GB2312"/>
          <w:b/>
          <w:color w:val="auto"/>
          <w:sz w:val="32"/>
          <w:szCs w:val="32"/>
          <w:highlight w:val="none"/>
          <w:u w:val="none"/>
          <w:lang w:val="zh-CN"/>
        </w:rPr>
        <w:t>（一）项目完成情况。</w:t>
      </w:r>
      <w:bookmarkEnd w:id="66"/>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cs="仿宋_GB2312"/>
          <w:color w:val="auto"/>
          <w:kern w:val="0"/>
          <w:sz w:val="32"/>
          <w:szCs w:val="32"/>
          <w:highlight w:val="none"/>
          <w:u w:val="none"/>
          <w:shd w:val="clear" w:color="auto" w:fill="FFFFFF"/>
          <w:lang w:val="en-US" w:eastAsia="zh-CN"/>
        </w:rPr>
        <w:t>该项目已完成80万元抗洪设备抢购，已支付56.8万元，剩余23.2万元未支付</w:t>
      </w:r>
      <w:r>
        <w:rPr>
          <w:rFonts w:hint="eastAsia" w:ascii="仿宋_GB2312" w:hAnsi="仿宋_GB2312" w:eastAsia="仿宋_GB2312" w:cs="仿宋_GB2312"/>
          <w:color w:val="auto"/>
          <w:kern w:val="0"/>
          <w:sz w:val="32"/>
          <w:szCs w:val="32"/>
          <w:highlight w:val="none"/>
          <w:u w:val="none"/>
          <w:shd w:val="clear" w:color="auto" w:fill="FFFFFF"/>
          <w:lang w:val="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2"/>
        <w:rPr>
          <w:rFonts w:ascii="楷体_GB2312" w:hAnsi="宋体" w:eastAsia="楷体_GB2312"/>
          <w:b/>
          <w:color w:val="auto"/>
          <w:sz w:val="32"/>
          <w:szCs w:val="32"/>
          <w:highlight w:val="none"/>
          <w:u w:val="none"/>
          <w:lang w:val="zh-CN"/>
        </w:rPr>
      </w:pPr>
      <w:bookmarkStart w:id="67" w:name="_Toc31671"/>
      <w:r>
        <w:rPr>
          <w:rFonts w:hint="eastAsia" w:ascii="楷体_GB2312" w:hAnsi="宋体" w:eastAsia="楷体_GB2312"/>
          <w:b/>
          <w:color w:val="auto"/>
          <w:sz w:val="32"/>
          <w:szCs w:val="32"/>
          <w:highlight w:val="none"/>
          <w:u w:val="none"/>
          <w:lang w:val="zh-CN"/>
        </w:rPr>
        <w:t>（二）项目效益情况。</w:t>
      </w:r>
      <w:bookmarkEnd w:id="67"/>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hint="eastAsia" w:ascii="黑体" w:hAnsi="宋体" w:eastAsia="黑体"/>
          <w:color w:val="auto"/>
          <w:sz w:val="32"/>
          <w:szCs w:val="32"/>
          <w:highlight w:val="none"/>
          <w:u w:val="none"/>
        </w:rPr>
      </w:pPr>
      <w:r>
        <w:rPr>
          <w:rFonts w:hint="default" w:ascii="Times New Roman" w:hAnsi="Times New Roman" w:eastAsia="仿宋" w:cs="Times New Roman"/>
          <w:sz w:val="32"/>
          <w:szCs w:val="32"/>
          <w:lang w:val="en-US" w:eastAsia="zh-CN"/>
        </w:rPr>
        <w:t>有力保障了社会安全稳定</w:t>
      </w:r>
      <w:r>
        <w:rPr>
          <w:rFonts w:hint="eastAsia" w:eastAsia="仿宋"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68" w:name="_Toc567"/>
      <w:r>
        <w:rPr>
          <w:rFonts w:hint="eastAsia" w:ascii="黑体" w:hAnsi="宋体" w:eastAsia="黑体"/>
          <w:color w:val="auto"/>
          <w:sz w:val="32"/>
          <w:szCs w:val="32"/>
          <w:highlight w:val="none"/>
          <w:u w:val="none"/>
        </w:rPr>
        <w:t>五、评价结论及建议</w:t>
      </w:r>
      <w:bookmarkEnd w:id="68"/>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2"/>
        <w:rPr>
          <w:rFonts w:ascii="楷体_GB2312" w:hAnsi="宋体" w:eastAsia="楷体_GB2312"/>
          <w:b/>
          <w:color w:val="auto"/>
          <w:sz w:val="32"/>
          <w:szCs w:val="32"/>
          <w:highlight w:val="none"/>
          <w:u w:val="none"/>
          <w:lang w:val="zh-CN"/>
        </w:rPr>
      </w:pPr>
      <w:bookmarkStart w:id="69" w:name="_Toc2190"/>
      <w:r>
        <w:rPr>
          <w:rFonts w:hint="eastAsia" w:ascii="楷体_GB2312" w:hAnsi="宋体" w:eastAsia="楷体_GB2312"/>
          <w:b/>
          <w:color w:val="auto"/>
          <w:sz w:val="32"/>
          <w:szCs w:val="32"/>
          <w:highlight w:val="none"/>
          <w:u w:val="none"/>
          <w:lang w:val="zh-CN"/>
        </w:rPr>
        <w:t>（一）评价结论。</w:t>
      </w:r>
      <w:bookmarkEnd w:id="6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 w:cs="Times New Roman"/>
          <w:sz w:val="32"/>
          <w:szCs w:val="32"/>
          <w:lang w:val="en-US" w:eastAsia="zh-CN"/>
        </w:rPr>
      </w:pPr>
      <w:bookmarkStart w:id="70" w:name="_Toc20785"/>
      <w:r>
        <w:rPr>
          <w:rFonts w:hint="default" w:ascii="Times New Roman" w:hAnsi="Times New Roman" w:eastAsia="仿宋" w:cs="Times New Roman"/>
          <w:sz w:val="32"/>
          <w:szCs w:val="32"/>
          <w:lang w:val="en-US" w:eastAsia="zh-CN"/>
        </w:rPr>
        <w:t>市应急管理局坚持以习近平新时代中国特色社会主义思想为指导，坚持将人民群众生命、财产安全置于首要位置，及时应对处理各类灾害事故，有力保障了社会安全稳定，全市未发生受灾群众投诉事件，抗洪抢险工作受灾群众投诉率为0%。</w:t>
      </w:r>
      <w:bookmarkEnd w:id="70"/>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2"/>
        <w:rPr>
          <w:rFonts w:ascii="楷体_GB2312" w:hAnsi="宋体" w:eastAsia="楷体_GB2312"/>
          <w:b/>
          <w:color w:val="auto"/>
          <w:sz w:val="32"/>
          <w:szCs w:val="32"/>
          <w:highlight w:val="none"/>
          <w:u w:val="none"/>
          <w:lang w:val="zh-CN"/>
        </w:rPr>
      </w:pPr>
      <w:bookmarkStart w:id="71" w:name="_Toc10438"/>
      <w:r>
        <w:rPr>
          <w:rFonts w:hint="eastAsia" w:ascii="楷体_GB2312" w:hAnsi="宋体" w:eastAsia="楷体_GB2312"/>
          <w:b/>
          <w:color w:val="auto"/>
          <w:sz w:val="32"/>
          <w:szCs w:val="32"/>
          <w:highlight w:val="none"/>
          <w:u w:val="none"/>
          <w:lang w:val="zh-CN"/>
        </w:rPr>
        <w:t>（二）存在的问题。</w:t>
      </w:r>
      <w:bookmarkEnd w:id="71"/>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hint="default" w:ascii="Times New Roman" w:hAnsi="Times New Roman" w:eastAsia="仿宋_GB2312" w:cs="Times New Roman"/>
          <w:i w:val="0"/>
          <w:iCs w:val="0"/>
          <w:caps w:val="0"/>
          <w:color w:val="3D3D3D"/>
          <w:spacing w:val="0"/>
          <w:sz w:val="30"/>
          <w:szCs w:val="30"/>
          <w:shd w:val="clear" w:color="auto" w:fill="FFFFFF"/>
        </w:rPr>
      </w:pPr>
      <w:r>
        <w:rPr>
          <w:rFonts w:hint="default" w:ascii="Times New Roman" w:hAnsi="Times New Roman" w:eastAsia="仿宋_GB2312" w:cs="Times New Roman"/>
          <w:i w:val="0"/>
          <w:iCs w:val="0"/>
          <w:caps w:val="0"/>
          <w:color w:val="3D3D3D"/>
          <w:spacing w:val="0"/>
          <w:sz w:val="30"/>
          <w:szCs w:val="30"/>
          <w:shd w:val="clear" w:color="auto" w:fill="FFFFFF"/>
        </w:rPr>
        <w:t>总体目标和绩效指标均已完成。</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2"/>
        <w:rPr>
          <w:rFonts w:ascii="楷体_GB2312" w:hAnsi="宋体" w:eastAsia="楷体_GB2312"/>
          <w:b/>
          <w:color w:val="auto"/>
          <w:sz w:val="32"/>
          <w:szCs w:val="32"/>
          <w:highlight w:val="none"/>
          <w:u w:val="none"/>
          <w:lang w:val="zh-CN"/>
        </w:rPr>
      </w:pPr>
      <w:bookmarkStart w:id="72" w:name="_Toc63"/>
      <w:r>
        <w:rPr>
          <w:rFonts w:hint="eastAsia" w:ascii="楷体_GB2312" w:hAnsi="宋体" w:eastAsia="楷体_GB2312"/>
          <w:b/>
          <w:color w:val="auto"/>
          <w:sz w:val="32"/>
          <w:szCs w:val="32"/>
          <w:highlight w:val="none"/>
          <w:u w:val="none"/>
          <w:lang w:val="zh-CN"/>
        </w:rPr>
        <w:t>（三）相关建议。</w:t>
      </w:r>
      <w:bookmarkEnd w:id="7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b w:val="0"/>
          <w:bCs w:val="0"/>
          <w:color w:val="auto"/>
          <w:sz w:val="21"/>
          <w:szCs w:val="21"/>
          <w:highlight w:val="none"/>
          <w:u w:val="none"/>
          <w:vertAlign w:val="baseline"/>
          <w:lang w:val="en-US" w:eastAsia="zh-CN"/>
        </w:rPr>
      </w:pPr>
      <w:r>
        <w:rPr>
          <w:rFonts w:hint="eastAsia" w:eastAsia="仿宋" w:cs="Times New Roman"/>
          <w:sz w:val="32"/>
          <w:szCs w:val="32"/>
          <w:lang w:eastAsia="zh-CN"/>
        </w:rPr>
        <w:t>无。</w:t>
      </w: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p>
    <w:p>
      <w:pPr>
        <w:keepNext w:val="0"/>
        <w:keepLines w:val="0"/>
        <w:pageBreakBefore w:val="0"/>
        <w:widowControl w:val="0"/>
        <w:kinsoku/>
        <w:wordWrap/>
        <w:overflowPunct/>
        <w:topLinePunct w:val="0"/>
        <w:bidi w:val="0"/>
        <w:spacing w:beforeLines="0" w:afterLines="0"/>
        <w:ind w:left="0" w:leftChars="0" w:firstLine="0" w:firstLineChars="0"/>
        <w:jc w:val="both"/>
        <w:rPr>
          <w:rFonts w:hint="eastAsia" w:ascii="仿宋_GB2312" w:hAnsi="仿宋_GB2312" w:eastAsia="仿宋_GB2312"/>
          <w:color w:val="auto"/>
          <w:sz w:val="32"/>
          <w:szCs w:val="24"/>
          <w:lang w:val="en-US"/>
        </w:rPr>
      </w:pPr>
    </w:p>
    <w:p>
      <w:pPr>
        <w:pStyle w:val="2"/>
        <w:keepNext w:val="0"/>
        <w:keepLines w:val="0"/>
        <w:pageBreakBefore w:val="0"/>
        <w:widowControl w:val="0"/>
        <w:kinsoku/>
        <w:wordWrap/>
        <w:overflowPunct/>
        <w:topLinePunct w:val="0"/>
        <w:bidi w:val="0"/>
        <w:outlineLvl w:val="9"/>
        <w:rPr>
          <w:rFonts w:hint="eastAsia" w:ascii="仿宋_GB2312" w:hAnsi="仿宋_GB2312" w:eastAsia="仿宋_GB2312"/>
          <w:color w:val="auto"/>
          <w:sz w:val="32"/>
          <w:szCs w:val="24"/>
          <w:lang w:val="en-US"/>
        </w:rPr>
      </w:pPr>
    </w:p>
    <w:p>
      <w:pPr>
        <w:keepNext w:val="0"/>
        <w:keepLines w:val="0"/>
        <w:pageBreakBefore w:val="0"/>
        <w:widowControl w:val="0"/>
        <w:kinsoku/>
        <w:wordWrap/>
        <w:overflowPunct/>
        <w:topLinePunct w:val="0"/>
        <w:bidi w:val="0"/>
        <w:rPr>
          <w:rFonts w:hint="eastAsia" w:ascii="仿宋_GB2312" w:hAnsi="仿宋_GB2312" w:eastAsia="仿宋_GB2312"/>
          <w:color w:val="auto"/>
          <w:sz w:val="32"/>
          <w:szCs w:val="24"/>
          <w:lang w:val="en-US"/>
        </w:rPr>
      </w:pPr>
    </w:p>
    <w:p>
      <w:pPr>
        <w:pStyle w:val="2"/>
        <w:keepNext w:val="0"/>
        <w:keepLines w:val="0"/>
        <w:pageBreakBefore w:val="0"/>
        <w:widowControl w:val="0"/>
        <w:kinsoku/>
        <w:wordWrap/>
        <w:overflowPunct/>
        <w:topLinePunct w:val="0"/>
        <w:bidi w:val="0"/>
        <w:outlineLvl w:val="9"/>
        <w:rPr>
          <w:rFonts w:hint="eastAsia" w:ascii="仿宋_GB2312" w:hAnsi="仿宋_GB2312" w:eastAsia="仿宋_GB2312"/>
          <w:color w:val="auto"/>
          <w:sz w:val="32"/>
          <w:szCs w:val="24"/>
          <w:lang w:val="en-US"/>
        </w:rPr>
      </w:pPr>
    </w:p>
    <w:p>
      <w:pPr>
        <w:keepNext w:val="0"/>
        <w:keepLines w:val="0"/>
        <w:pageBreakBefore w:val="0"/>
        <w:widowControl w:val="0"/>
        <w:kinsoku/>
        <w:wordWrap/>
        <w:overflowPunct/>
        <w:topLinePunct w:val="0"/>
        <w:bidi w:val="0"/>
        <w:rPr>
          <w:rFonts w:hint="eastAsia" w:ascii="仿宋_GB2312" w:hAnsi="仿宋_GB2312" w:eastAsia="仿宋_GB2312"/>
          <w:color w:val="auto"/>
          <w:sz w:val="32"/>
          <w:szCs w:val="24"/>
          <w:lang w:val="en-US"/>
        </w:rPr>
      </w:pPr>
    </w:p>
    <w:p>
      <w:pPr>
        <w:pStyle w:val="2"/>
        <w:keepNext w:val="0"/>
        <w:keepLines w:val="0"/>
        <w:pageBreakBefore w:val="0"/>
        <w:widowControl w:val="0"/>
        <w:kinsoku/>
        <w:wordWrap/>
        <w:overflowPunct/>
        <w:topLinePunct w:val="0"/>
        <w:bidi w:val="0"/>
        <w:outlineLvl w:val="9"/>
        <w:rPr>
          <w:rFonts w:hint="eastAsia" w:ascii="仿宋_GB2312" w:hAnsi="仿宋_GB2312" w:eastAsia="仿宋_GB2312"/>
          <w:color w:val="auto"/>
          <w:sz w:val="32"/>
          <w:szCs w:val="24"/>
          <w:lang w:val="en-US"/>
        </w:rPr>
      </w:pPr>
    </w:p>
    <w:p>
      <w:pPr>
        <w:keepNext w:val="0"/>
        <w:keepLines w:val="0"/>
        <w:pageBreakBefore w:val="0"/>
        <w:widowControl w:val="0"/>
        <w:kinsoku/>
        <w:wordWrap/>
        <w:overflowPunct/>
        <w:topLinePunct w:val="0"/>
        <w:bidi w:val="0"/>
        <w:rPr>
          <w:rFonts w:hint="eastAsia" w:ascii="仿宋_GB2312" w:hAnsi="仿宋_GB2312" w:eastAsia="仿宋_GB2312"/>
          <w:color w:val="auto"/>
          <w:sz w:val="32"/>
          <w:szCs w:val="24"/>
          <w:lang w:val="en-US"/>
        </w:rPr>
      </w:pPr>
    </w:p>
    <w:p>
      <w:pPr>
        <w:pStyle w:val="2"/>
        <w:keepNext w:val="0"/>
        <w:keepLines w:val="0"/>
        <w:pageBreakBefore w:val="0"/>
        <w:widowControl w:val="0"/>
        <w:kinsoku/>
        <w:wordWrap/>
        <w:overflowPunct/>
        <w:topLinePunct w:val="0"/>
        <w:bidi w:val="0"/>
        <w:outlineLvl w:val="9"/>
        <w:rPr>
          <w:rFonts w:hint="eastAsia" w:ascii="仿宋_GB2312" w:hAnsi="仿宋_GB2312" w:eastAsia="仿宋_GB2312"/>
          <w:color w:val="auto"/>
          <w:sz w:val="32"/>
          <w:szCs w:val="24"/>
          <w:lang w:val="en-US"/>
        </w:rPr>
      </w:pPr>
    </w:p>
    <w:p>
      <w:pPr>
        <w:keepNext w:val="0"/>
        <w:keepLines w:val="0"/>
        <w:pageBreakBefore w:val="0"/>
        <w:widowControl w:val="0"/>
        <w:kinsoku/>
        <w:wordWrap/>
        <w:overflowPunct/>
        <w:topLinePunct w:val="0"/>
        <w:bidi w:val="0"/>
        <w:rPr>
          <w:rFonts w:hint="eastAsia" w:ascii="仿宋_GB2312" w:hAnsi="仿宋_GB2312" w:eastAsia="仿宋_GB2312"/>
          <w:color w:val="auto"/>
          <w:sz w:val="32"/>
          <w:szCs w:val="24"/>
          <w:lang w:val="en-US"/>
        </w:rPr>
      </w:pPr>
    </w:p>
    <w:p>
      <w:pPr>
        <w:pStyle w:val="2"/>
        <w:keepNext w:val="0"/>
        <w:keepLines w:val="0"/>
        <w:pageBreakBefore w:val="0"/>
        <w:widowControl w:val="0"/>
        <w:kinsoku/>
        <w:wordWrap/>
        <w:overflowPunct/>
        <w:topLinePunct w:val="0"/>
        <w:bidi w:val="0"/>
        <w:outlineLvl w:val="9"/>
        <w:rPr>
          <w:rFonts w:hint="eastAsia" w:ascii="仿宋_GB2312" w:hAnsi="仿宋_GB2312" w:eastAsia="仿宋_GB2312"/>
          <w:color w:val="auto"/>
          <w:sz w:val="32"/>
          <w:szCs w:val="24"/>
          <w:lang w:val="en-US"/>
        </w:rPr>
      </w:pPr>
    </w:p>
    <w:p>
      <w:pPr>
        <w:pStyle w:val="2"/>
        <w:keepNext w:val="0"/>
        <w:keepLines w:val="0"/>
        <w:pageBreakBefore w:val="0"/>
        <w:widowControl w:val="0"/>
        <w:kinsoku/>
        <w:wordWrap/>
        <w:overflowPunct/>
        <w:topLinePunct w:val="0"/>
        <w:bidi w:val="0"/>
        <w:outlineLvl w:val="9"/>
        <w:rPr>
          <w:rFonts w:hint="eastAsia"/>
          <w:lang w:val="en-US"/>
        </w:rPr>
      </w:pPr>
    </w:p>
    <w:p>
      <w:pPr>
        <w:keepNext w:val="0"/>
        <w:keepLines w:val="0"/>
        <w:pageBreakBefore w:val="0"/>
        <w:widowControl w:val="0"/>
        <w:numPr>
          <w:ilvl w:val="0"/>
          <w:numId w:val="4"/>
        </w:numPr>
        <w:kinsoku/>
        <w:wordWrap/>
        <w:overflowPunct/>
        <w:topLinePunct w:val="0"/>
        <w:bidi w:val="0"/>
        <w:spacing w:beforeLines="0" w:afterLines="0" w:line="600" w:lineRule="exact"/>
        <w:jc w:val="center"/>
        <w:outlineLvl w:val="0"/>
        <w:rPr>
          <w:rFonts w:hint="eastAsia" w:ascii="黑体" w:hAnsi="黑体" w:eastAsia="黑体"/>
          <w:color w:val="auto"/>
          <w:kern w:val="44"/>
          <w:sz w:val="44"/>
          <w:szCs w:val="24"/>
          <w:lang w:val="en-US"/>
        </w:rPr>
      </w:pPr>
      <w:bookmarkStart w:id="73" w:name="_Toc18200"/>
      <w:r>
        <w:rPr>
          <w:rFonts w:hint="eastAsia" w:ascii="黑体" w:hAnsi="黑体" w:eastAsia="黑体"/>
          <w:color w:val="auto"/>
          <w:kern w:val="44"/>
          <w:sz w:val="44"/>
          <w:szCs w:val="24"/>
          <w:lang w:val="en-US"/>
        </w:rPr>
        <w:t>附表</w:t>
      </w:r>
      <w:bookmarkEnd w:id="73"/>
    </w:p>
    <w:p>
      <w:pPr>
        <w:pStyle w:val="2"/>
        <w:numPr>
          <w:ilvl w:val="0"/>
          <w:numId w:val="0"/>
        </w:numPr>
        <w:rPr>
          <w:rFonts w:hint="eastAsia"/>
          <w:lang w:val="en-US"/>
        </w:rPr>
      </w:pPr>
    </w:p>
    <w:p>
      <w:pPr>
        <w:pStyle w:val="4"/>
        <w:keepNext w:val="0"/>
        <w:keepLines w:val="0"/>
        <w:pageBreakBefore w:val="0"/>
        <w:widowControl w:val="0"/>
        <w:kinsoku/>
        <w:wordWrap/>
        <w:overflowPunct/>
        <w:topLinePunct w:val="0"/>
        <w:autoSpaceDE w:val="0"/>
        <w:autoSpaceDN w:val="0"/>
        <w:bidi w:val="0"/>
        <w:adjustRightInd w:val="0"/>
        <w:snapToGrid/>
        <w:spacing w:beforeLines="0" w:afterLines="0" w:line="590" w:lineRule="exact"/>
        <w:jc w:val="both"/>
        <w:textAlignment w:val="auto"/>
        <w:rPr>
          <w:rFonts w:hint="eastAsia" w:ascii="方正黑体_GBK" w:hAnsi="方正黑体_GBK" w:eastAsia="方正黑体_GBK" w:cs="方正黑体_GBK"/>
          <w:b/>
          <w:color w:val="auto"/>
          <w:kern w:val="2"/>
          <w:sz w:val="33"/>
          <w:szCs w:val="24"/>
          <w:lang w:val="en-US"/>
        </w:rPr>
      </w:pPr>
      <w:bookmarkStart w:id="74" w:name="_Toc4848"/>
      <w:r>
        <w:rPr>
          <w:rFonts w:hint="eastAsia" w:ascii="方正黑体_GBK" w:hAnsi="方正黑体_GBK" w:eastAsia="方正黑体_GBK" w:cs="方正黑体_GBK"/>
          <w:b/>
          <w:color w:val="auto"/>
          <w:kern w:val="2"/>
          <w:sz w:val="33"/>
          <w:szCs w:val="24"/>
          <w:lang w:val="en-US"/>
        </w:rPr>
        <w:t>一、收入支出决算总表</w:t>
      </w:r>
      <w:bookmarkEnd w:id="74"/>
    </w:p>
    <w:p>
      <w:pPr>
        <w:pStyle w:val="4"/>
        <w:keepNext w:val="0"/>
        <w:keepLines w:val="0"/>
        <w:pageBreakBefore w:val="0"/>
        <w:widowControl w:val="0"/>
        <w:kinsoku/>
        <w:wordWrap/>
        <w:overflowPunct/>
        <w:topLinePunct w:val="0"/>
        <w:autoSpaceDE w:val="0"/>
        <w:autoSpaceDN w:val="0"/>
        <w:bidi w:val="0"/>
        <w:adjustRightInd w:val="0"/>
        <w:snapToGrid/>
        <w:spacing w:beforeLines="0" w:afterLines="0" w:line="590" w:lineRule="exact"/>
        <w:jc w:val="both"/>
        <w:textAlignment w:val="auto"/>
        <w:rPr>
          <w:rFonts w:hint="eastAsia" w:ascii="方正黑体_GBK" w:hAnsi="方正黑体_GBK" w:eastAsia="方正黑体_GBK" w:cs="方正黑体_GBK"/>
          <w:b/>
          <w:color w:val="auto"/>
          <w:kern w:val="2"/>
          <w:sz w:val="33"/>
          <w:szCs w:val="24"/>
          <w:lang w:val="en-US"/>
        </w:rPr>
      </w:pPr>
      <w:bookmarkStart w:id="75" w:name="_Toc30127"/>
      <w:r>
        <w:rPr>
          <w:rFonts w:hint="eastAsia" w:ascii="方正黑体_GBK" w:hAnsi="方正黑体_GBK" w:eastAsia="方正黑体_GBK" w:cs="方正黑体_GBK"/>
          <w:b/>
          <w:color w:val="auto"/>
          <w:kern w:val="2"/>
          <w:sz w:val="33"/>
          <w:szCs w:val="24"/>
          <w:lang w:val="en-US"/>
        </w:rPr>
        <w:t>二、收入决算表</w:t>
      </w:r>
      <w:bookmarkEnd w:id="75"/>
    </w:p>
    <w:p>
      <w:pPr>
        <w:pStyle w:val="4"/>
        <w:keepNext w:val="0"/>
        <w:keepLines w:val="0"/>
        <w:pageBreakBefore w:val="0"/>
        <w:widowControl w:val="0"/>
        <w:kinsoku/>
        <w:wordWrap/>
        <w:overflowPunct/>
        <w:topLinePunct w:val="0"/>
        <w:autoSpaceDE w:val="0"/>
        <w:autoSpaceDN w:val="0"/>
        <w:bidi w:val="0"/>
        <w:adjustRightInd w:val="0"/>
        <w:snapToGrid/>
        <w:spacing w:beforeLines="0" w:afterLines="0" w:line="590" w:lineRule="exact"/>
        <w:jc w:val="both"/>
        <w:textAlignment w:val="auto"/>
        <w:rPr>
          <w:rFonts w:hint="eastAsia" w:ascii="方正黑体_GBK" w:hAnsi="方正黑体_GBK" w:eastAsia="方正黑体_GBK" w:cs="方正黑体_GBK"/>
          <w:b/>
          <w:color w:val="auto"/>
          <w:kern w:val="2"/>
          <w:sz w:val="33"/>
          <w:szCs w:val="24"/>
          <w:lang w:val="en-US"/>
        </w:rPr>
      </w:pPr>
      <w:bookmarkStart w:id="76" w:name="_Toc17484"/>
      <w:r>
        <w:rPr>
          <w:rFonts w:hint="eastAsia" w:ascii="方正黑体_GBK" w:hAnsi="方正黑体_GBK" w:eastAsia="方正黑体_GBK" w:cs="方正黑体_GBK"/>
          <w:b/>
          <w:color w:val="auto"/>
          <w:kern w:val="2"/>
          <w:sz w:val="33"/>
          <w:szCs w:val="24"/>
          <w:lang w:val="en-US"/>
        </w:rPr>
        <w:t>三、支出决算表</w:t>
      </w:r>
      <w:bookmarkEnd w:id="76"/>
    </w:p>
    <w:p>
      <w:pPr>
        <w:pStyle w:val="4"/>
        <w:keepNext w:val="0"/>
        <w:keepLines w:val="0"/>
        <w:pageBreakBefore w:val="0"/>
        <w:widowControl w:val="0"/>
        <w:kinsoku/>
        <w:wordWrap/>
        <w:overflowPunct/>
        <w:topLinePunct w:val="0"/>
        <w:autoSpaceDE w:val="0"/>
        <w:autoSpaceDN w:val="0"/>
        <w:bidi w:val="0"/>
        <w:adjustRightInd w:val="0"/>
        <w:snapToGrid/>
        <w:spacing w:beforeLines="0" w:afterLines="0" w:line="590" w:lineRule="exact"/>
        <w:jc w:val="both"/>
        <w:textAlignment w:val="auto"/>
        <w:rPr>
          <w:rFonts w:hint="eastAsia" w:ascii="方正黑体_GBK" w:hAnsi="方正黑体_GBK" w:eastAsia="方正黑体_GBK" w:cs="方正黑体_GBK"/>
          <w:b/>
          <w:color w:val="auto"/>
          <w:kern w:val="2"/>
          <w:sz w:val="33"/>
          <w:szCs w:val="24"/>
          <w:lang w:val="en-US"/>
        </w:rPr>
      </w:pPr>
      <w:bookmarkStart w:id="77" w:name="_Toc22226"/>
      <w:r>
        <w:rPr>
          <w:rFonts w:hint="eastAsia" w:ascii="方正黑体_GBK" w:hAnsi="方正黑体_GBK" w:eastAsia="方正黑体_GBK" w:cs="方正黑体_GBK"/>
          <w:b/>
          <w:color w:val="auto"/>
          <w:kern w:val="2"/>
          <w:sz w:val="33"/>
          <w:szCs w:val="24"/>
          <w:lang w:val="en-US"/>
        </w:rPr>
        <w:t>四、财政拨款收入支出决算总表</w:t>
      </w:r>
      <w:bookmarkEnd w:id="77"/>
    </w:p>
    <w:p>
      <w:pPr>
        <w:pStyle w:val="4"/>
        <w:keepNext w:val="0"/>
        <w:keepLines w:val="0"/>
        <w:pageBreakBefore w:val="0"/>
        <w:widowControl w:val="0"/>
        <w:kinsoku/>
        <w:wordWrap/>
        <w:overflowPunct/>
        <w:topLinePunct w:val="0"/>
        <w:autoSpaceDE w:val="0"/>
        <w:autoSpaceDN w:val="0"/>
        <w:bidi w:val="0"/>
        <w:adjustRightInd w:val="0"/>
        <w:snapToGrid/>
        <w:spacing w:beforeLines="0" w:afterLines="0" w:line="590" w:lineRule="exact"/>
        <w:jc w:val="both"/>
        <w:textAlignment w:val="auto"/>
        <w:rPr>
          <w:rFonts w:hint="eastAsia" w:ascii="方正黑体_GBK" w:hAnsi="方正黑体_GBK" w:eastAsia="方正黑体_GBK" w:cs="方正黑体_GBK"/>
          <w:b/>
          <w:color w:val="auto"/>
          <w:kern w:val="2"/>
          <w:sz w:val="33"/>
          <w:szCs w:val="24"/>
          <w:lang w:val="en-US"/>
        </w:rPr>
      </w:pPr>
      <w:bookmarkStart w:id="78" w:name="_Toc15198"/>
      <w:r>
        <w:rPr>
          <w:rFonts w:hint="eastAsia" w:ascii="方正黑体_GBK" w:hAnsi="方正黑体_GBK" w:eastAsia="方正黑体_GBK" w:cs="方正黑体_GBK"/>
          <w:b/>
          <w:color w:val="auto"/>
          <w:kern w:val="2"/>
          <w:sz w:val="33"/>
          <w:szCs w:val="24"/>
          <w:lang w:val="en-US"/>
        </w:rPr>
        <w:t>五、财政拨款支出决算明细表</w:t>
      </w:r>
      <w:bookmarkEnd w:id="78"/>
    </w:p>
    <w:p>
      <w:pPr>
        <w:pStyle w:val="4"/>
        <w:keepNext w:val="0"/>
        <w:keepLines w:val="0"/>
        <w:pageBreakBefore w:val="0"/>
        <w:widowControl w:val="0"/>
        <w:kinsoku/>
        <w:wordWrap/>
        <w:overflowPunct/>
        <w:topLinePunct w:val="0"/>
        <w:autoSpaceDE w:val="0"/>
        <w:autoSpaceDN w:val="0"/>
        <w:bidi w:val="0"/>
        <w:adjustRightInd w:val="0"/>
        <w:snapToGrid/>
        <w:spacing w:beforeLines="0" w:afterLines="0" w:line="590" w:lineRule="exact"/>
        <w:jc w:val="both"/>
        <w:textAlignment w:val="auto"/>
        <w:rPr>
          <w:rFonts w:hint="eastAsia" w:ascii="方正黑体_GBK" w:hAnsi="方正黑体_GBK" w:eastAsia="方正黑体_GBK" w:cs="方正黑体_GBK"/>
          <w:b/>
          <w:color w:val="auto"/>
          <w:kern w:val="2"/>
          <w:sz w:val="33"/>
          <w:szCs w:val="24"/>
          <w:lang w:val="en-US"/>
        </w:rPr>
      </w:pPr>
      <w:bookmarkStart w:id="79" w:name="_Toc13270"/>
      <w:r>
        <w:rPr>
          <w:rFonts w:hint="eastAsia" w:ascii="方正黑体_GBK" w:hAnsi="方正黑体_GBK" w:eastAsia="方正黑体_GBK" w:cs="方正黑体_GBK"/>
          <w:b/>
          <w:color w:val="auto"/>
          <w:kern w:val="2"/>
          <w:sz w:val="33"/>
          <w:szCs w:val="24"/>
          <w:lang w:val="en-US"/>
        </w:rPr>
        <w:t>六、一般公共预算财政拨款支出决算表</w:t>
      </w:r>
      <w:bookmarkEnd w:id="79"/>
    </w:p>
    <w:p>
      <w:pPr>
        <w:pStyle w:val="4"/>
        <w:keepNext w:val="0"/>
        <w:keepLines w:val="0"/>
        <w:pageBreakBefore w:val="0"/>
        <w:widowControl w:val="0"/>
        <w:kinsoku/>
        <w:wordWrap/>
        <w:overflowPunct/>
        <w:topLinePunct w:val="0"/>
        <w:autoSpaceDE w:val="0"/>
        <w:autoSpaceDN w:val="0"/>
        <w:bidi w:val="0"/>
        <w:adjustRightInd w:val="0"/>
        <w:snapToGrid/>
        <w:spacing w:beforeLines="0" w:afterLines="0" w:line="590" w:lineRule="exact"/>
        <w:jc w:val="both"/>
        <w:textAlignment w:val="auto"/>
        <w:rPr>
          <w:rFonts w:hint="eastAsia" w:ascii="方正黑体_GBK" w:hAnsi="方正黑体_GBK" w:eastAsia="方正黑体_GBK" w:cs="方正黑体_GBK"/>
          <w:b/>
          <w:color w:val="auto"/>
          <w:kern w:val="2"/>
          <w:sz w:val="33"/>
          <w:szCs w:val="24"/>
          <w:lang w:val="en-US"/>
        </w:rPr>
      </w:pPr>
      <w:bookmarkStart w:id="80" w:name="_Toc10441"/>
      <w:r>
        <w:rPr>
          <w:rFonts w:hint="eastAsia" w:ascii="方正黑体_GBK" w:hAnsi="方正黑体_GBK" w:eastAsia="方正黑体_GBK" w:cs="方正黑体_GBK"/>
          <w:b/>
          <w:color w:val="auto"/>
          <w:kern w:val="2"/>
          <w:sz w:val="33"/>
          <w:szCs w:val="24"/>
          <w:lang w:val="en-US"/>
        </w:rPr>
        <w:t>七、一般公共预算财政拨款支出决算明细表</w:t>
      </w:r>
      <w:bookmarkEnd w:id="80"/>
    </w:p>
    <w:p>
      <w:pPr>
        <w:pStyle w:val="4"/>
        <w:keepNext w:val="0"/>
        <w:keepLines w:val="0"/>
        <w:pageBreakBefore w:val="0"/>
        <w:widowControl w:val="0"/>
        <w:kinsoku/>
        <w:wordWrap/>
        <w:overflowPunct/>
        <w:topLinePunct w:val="0"/>
        <w:autoSpaceDE w:val="0"/>
        <w:autoSpaceDN w:val="0"/>
        <w:bidi w:val="0"/>
        <w:adjustRightInd w:val="0"/>
        <w:snapToGrid/>
        <w:spacing w:beforeLines="0" w:afterLines="0" w:line="590" w:lineRule="exact"/>
        <w:jc w:val="both"/>
        <w:textAlignment w:val="auto"/>
        <w:rPr>
          <w:rFonts w:hint="eastAsia" w:ascii="方正黑体_GBK" w:hAnsi="方正黑体_GBK" w:eastAsia="方正黑体_GBK" w:cs="方正黑体_GBK"/>
          <w:b/>
          <w:color w:val="auto"/>
          <w:kern w:val="2"/>
          <w:sz w:val="33"/>
          <w:szCs w:val="24"/>
          <w:lang w:val="en-US"/>
        </w:rPr>
      </w:pPr>
      <w:bookmarkStart w:id="81" w:name="_Toc31952"/>
      <w:r>
        <w:rPr>
          <w:rFonts w:hint="eastAsia" w:ascii="方正黑体_GBK" w:hAnsi="方正黑体_GBK" w:eastAsia="方正黑体_GBK" w:cs="方正黑体_GBK"/>
          <w:b/>
          <w:color w:val="auto"/>
          <w:kern w:val="2"/>
          <w:sz w:val="33"/>
          <w:szCs w:val="24"/>
          <w:lang w:val="en-US"/>
        </w:rPr>
        <w:t>八、一般公共预算财政拨款基本支出决算表</w:t>
      </w:r>
      <w:bookmarkEnd w:id="81"/>
    </w:p>
    <w:p>
      <w:pPr>
        <w:pStyle w:val="4"/>
        <w:keepNext w:val="0"/>
        <w:keepLines w:val="0"/>
        <w:pageBreakBefore w:val="0"/>
        <w:widowControl w:val="0"/>
        <w:kinsoku/>
        <w:wordWrap/>
        <w:overflowPunct/>
        <w:topLinePunct w:val="0"/>
        <w:autoSpaceDE w:val="0"/>
        <w:autoSpaceDN w:val="0"/>
        <w:bidi w:val="0"/>
        <w:adjustRightInd w:val="0"/>
        <w:snapToGrid/>
        <w:spacing w:beforeLines="0" w:afterLines="0" w:line="590" w:lineRule="exact"/>
        <w:jc w:val="both"/>
        <w:textAlignment w:val="auto"/>
        <w:rPr>
          <w:rFonts w:hint="eastAsia" w:ascii="方正黑体_GBK" w:hAnsi="方正黑体_GBK" w:eastAsia="方正黑体_GBK" w:cs="方正黑体_GBK"/>
          <w:b/>
          <w:color w:val="auto"/>
          <w:kern w:val="2"/>
          <w:sz w:val="33"/>
          <w:szCs w:val="24"/>
          <w:lang w:val="en-US"/>
        </w:rPr>
      </w:pPr>
      <w:bookmarkStart w:id="82" w:name="_Toc15946"/>
      <w:r>
        <w:rPr>
          <w:rFonts w:hint="eastAsia" w:ascii="方正黑体_GBK" w:hAnsi="方正黑体_GBK" w:eastAsia="方正黑体_GBK" w:cs="方正黑体_GBK"/>
          <w:b/>
          <w:color w:val="auto"/>
          <w:kern w:val="2"/>
          <w:sz w:val="33"/>
          <w:szCs w:val="24"/>
          <w:lang w:val="en-US"/>
        </w:rPr>
        <w:t>九、一般公共预算财政拨款项目支出决算表</w:t>
      </w:r>
      <w:bookmarkEnd w:id="82"/>
    </w:p>
    <w:p>
      <w:pPr>
        <w:pStyle w:val="4"/>
        <w:keepNext w:val="0"/>
        <w:keepLines w:val="0"/>
        <w:pageBreakBefore w:val="0"/>
        <w:widowControl w:val="0"/>
        <w:kinsoku/>
        <w:wordWrap/>
        <w:overflowPunct/>
        <w:topLinePunct w:val="0"/>
        <w:autoSpaceDE w:val="0"/>
        <w:autoSpaceDN w:val="0"/>
        <w:bidi w:val="0"/>
        <w:adjustRightInd w:val="0"/>
        <w:snapToGrid/>
        <w:spacing w:beforeLines="0" w:afterLines="0" w:line="590" w:lineRule="exact"/>
        <w:jc w:val="both"/>
        <w:textAlignment w:val="auto"/>
        <w:rPr>
          <w:rFonts w:hint="eastAsia" w:ascii="方正黑体_GBK" w:hAnsi="方正黑体_GBK" w:eastAsia="方正黑体_GBK" w:cs="方正黑体_GBK"/>
          <w:b/>
          <w:color w:val="auto"/>
          <w:kern w:val="2"/>
          <w:sz w:val="33"/>
          <w:szCs w:val="24"/>
          <w:lang w:val="en-US"/>
        </w:rPr>
      </w:pPr>
      <w:bookmarkStart w:id="83" w:name="_Toc32411"/>
      <w:r>
        <w:rPr>
          <w:rFonts w:hint="eastAsia" w:ascii="方正黑体_GBK" w:hAnsi="方正黑体_GBK" w:eastAsia="方正黑体_GBK" w:cs="方正黑体_GBK"/>
          <w:b/>
          <w:color w:val="auto"/>
          <w:kern w:val="2"/>
          <w:sz w:val="33"/>
          <w:szCs w:val="24"/>
          <w:lang w:val="en-US"/>
        </w:rPr>
        <w:t>十、政府性基金预算财政拨款收入支出决算表</w:t>
      </w:r>
      <w:bookmarkEnd w:id="83"/>
    </w:p>
    <w:p>
      <w:pPr>
        <w:pStyle w:val="4"/>
        <w:keepNext w:val="0"/>
        <w:keepLines w:val="0"/>
        <w:pageBreakBefore w:val="0"/>
        <w:widowControl w:val="0"/>
        <w:kinsoku/>
        <w:wordWrap/>
        <w:overflowPunct/>
        <w:topLinePunct w:val="0"/>
        <w:autoSpaceDE w:val="0"/>
        <w:autoSpaceDN w:val="0"/>
        <w:bidi w:val="0"/>
        <w:adjustRightInd w:val="0"/>
        <w:snapToGrid/>
        <w:spacing w:beforeLines="0" w:afterLines="0" w:line="590" w:lineRule="exact"/>
        <w:jc w:val="both"/>
        <w:textAlignment w:val="auto"/>
        <w:rPr>
          <w:rFonts w:hint="eastAsia" w:ascii="方正黑体_GBK" w:hAnsi="方正黑体_GBK" w:eastAsia="方正黑体_GBK" w:cs="方正黑体_GBK"/>
          <w:b/>
          <w:color w:val="auto"/>
          <w:kern w:val="2"/>
          <w:sz w:val="33"/>
          <w:szCs w:val="24"/>
          <w:lang w:val="en-US"/>
        </w:rPr>
      </w:pPr>
      <w:bookmarkStart w:id="84" w:name="_Toc14110"/>
      <w:r>
        <w:rPr>
          <w:rFonts w:hint="eastAsia" w:ascii="方正黑体_GBK" w:hAnsi="方正黑体_GBK" w:eastAsia="方正黑体_GBK" w:cs="方正黑体_GBK"/>
          <w:b/>
          <w:color w:val="auto"/>
          <w:kern w:val="2"/>
          <w:sz w:val="33"/>
          <w:szCs w:val="24"/>
          <w:lang w:val="en-US"/>
        </w:rPr>
        <w:t>十一、国有资本经营预算财政拨款收入支出决算表</w:t>
      </w:r>
      <w:bookmarkEnd w:id="84"/>
    </w:p>
    <w:p>
      <w:pPr>
        <w:pStyle w:val="4"/>
        <w:keepNext w:val="0"/>
        <w:keepLines w:val="0"/>
        <w:pageBreakBefore w:val="0"/>
        <w:widowControl w:val="0"/>
        <w:kinsoku/>
        <w:wordWrap/>
        <w:overflowPunct/>
        <w:topLinePunct w:val="0"/>
        <w:autoSpaceDE w:val="0"/>
        <w:autoSpaceDN w:val="0"/>
        <w:bidi w:val="0"/>
        <w:adjustRightInd w:val="0"/>
        <w:snapToGrid/>
        <w:spacing w:beforeLines="0" w:afterLines="0" w:line="590" w:lineRule="exact"/>
        <w:jc w:val="both"/>
        <w:textAlignment w:val="auto"/>
        <w:rPr>
          <w:rFonts w:hint="eastAsia" w:ascii="方正黑体_GBK" w:hAnsi="方正黑体_GBK" w:eastAsia="方正黑体_GBK" w:cs="方正黑体_GBK"/>
          <w:b/>
          <w:color w:val="auto"/>
          <w:kern w:val="2"/>
          <w:sz w:val="33"/>
          <w:szCs w:val="24"/>
          <w:lang w:val="en-US"/>
        </w:rPr>
      </w:pPr>
      <w:bookmarkStart w:id="85" w:name="_Toc18978"/>
      <w:r>
        <w:rPr>
          <w:rFonts w:hint="eastAsia" w:ascii="方正黑体_GBK" w:hAnsi="方正黑体_GBK" w:eastAsia="方正黑体_GBK" w:cs="方正黑体_GBK"/>
          <w:b/>
          <w:color w:val="auto"/>
          <w:kern w:val="2"/>
          <w:sz w:val="33"/>
          <w:szCs w:val="24"/>
          <w:lang w:val="en-US"/>
        </w:rPr>
        <w:t>十二、国有资本经营预算财政拨款支出决算表</w:t>
      </w:r>
      <w:bookmarkEnd w:id="85"/>
    </w:p>
    <w:p>
      <w:pPr>
        <w:pStyle w:val="4"/>
        <w:keepNext w:val="0"/>
        <w:keepLines w:val="0"/>
        <w:pageBreakBefore w:val="0"/>
        <w:widowControl w:val="0"/>
        <w:kinsoku/>
        <w:wordWrap/>
        <w:overflowPunct/>
        <w:topLinePunct w:val="0"/>
        <w:autoSpaceDE w:val="0"/>
        <w:autoSpaceDN w:val="0"/>
        <w:bidi w:val="0"/>
        <w:adjustRightInd w:val="0"/>
        <w:snapToGrid/>
        <w:spacing w:beforeLines="0" w:afterLines="0" w:line="590" w:lineRule="exact"/>
        <w:ind w:firstLine="1440"/>
        <w:jc w:val="both"/>
        <w:textAlignment w:val="auto"/>
        <w:rPr>
          <w:rFonts w:hint="eastAsia" w:ascii="方正黑体_GBK" w:hAnsi="方正黑体_GBK" w:eastAsia="方正黑体_GBK" w:cs="方正黑体_GBK"/>
          <w:b/>
          <w:color w:val="auto"/>
          <w:kern w:val="2"/>
          <w:sz w:val="33"/>
          <w:szCs w:val="24"/>
          <w:lang w:val="en-US"/>
        </w:rPr>
      </w:pPr>
      <w:bookmarkStart w:id="86" w:name="_Toc8344"/>
      <w:r>
        <w:rPr>
          <w:rFonts w:hint="eastAsia" w:ascii="方正黑体_GBK" w:hAnsi="方正黑体_GBK" w:eastAsia="方正黑体_GBK" w:cs="方正黑体_GBK"/>
          <w:b/>
          <w:color w:val="auto"/>
          <w:kern w:val="2"/>
          <w:sz w:val="33"/>
          <w:szCs w:val="24"/>
          <w:lang w:val="en-US"/>
        </w:rPr>
        <w:t>十三、财政拨款</w:t>
      </w:r>
      <w:r>
        <w:rPr>
          <w:rFonts w:hint="default" w:ascii="方正黑体_GBK" w:hAnsi="方正黑体_GBK" w:eastAsia="方正黑体_GBK" w:cs="方正黑体_GBK"/>
          <w:b/>
          <w:color w:val="auto"/>
          <w:kern w:val="2"/>
          <w:sz w:val="33"/>
          <w:szCs w:val="24"/>
          <w:lang w:val="en-US"/>
        </w:rPr>
        <w:t>“</w:t>
      </w:r>
      <w:r>
        <w:rPr>
          <w:rFonts w:hint="eastAsia" w:ascii="方正黑体_GBK" w:hAnsi="方正黑体_GBK" w:eastAsia="方正黑体_GBK" w:cs="方正黑体_GBK"/>
          <w:b/>
          <w:color w:val="auto"/>
          <w:kern w:val="2"/>
          <w:sz w:val="33"/>
          <w:szCs w:val="24"/>
          <w:lang w:val="en-US"/>
        </w:rPr>
        <w:t>三公</w:t>
      </w:r>
      <w:r>
        <w:rPr>
          <w:rFonts w:hint="default" w:ascii="方正黑体_GBK" w:hAnsi="方正黑体_GBK" w:eastAsia="方正黑体_GBK" w:cs="方正黑体_GBK"/>
          <w:b/>
          <w:color w:val="auto"/>
          <w:kern w:val="2"/>
          <w:sz w:val="33"/>
          <w:szCs w:val="24"/>
          <w:lang w:val="en-US"/>
        </w:rPr>
        <w:t>”</w:t>
      </w:r>
      <w:r>
        <w:rPr>
          <w:rFonts w:hint="eastAsia" w:ascii="方正黑体_GBK" w:hAnsi="方正黑体_GBK" w:eastAsia="方正黑体_GBK" w:cs="方正黑体_GBK"/>
          <w:b/>
          <w:color w:val="auto"/>
          <w:kern w:val="2"/>
          <w:sz w:val="33"/>
          <w:szCs w:val="24"/>
          <w:lang w:val="en-US"/>
        </w:rPr>
        <w:t>经费支出决算表</w:t>
      </w:r>
      <w:bookmarkEnd w:id="86"/>
    </w:p>
    <w:sectPr>
      <w:pgSz w:w="12240" w:h="15840"/>
      <w:pgMar w:top="2041" w:right="1531" w:bottom="1701" w:left="1531" w:header="720" w:footer="720" w:gutter="0"/>
      <w:lnNumType w:countBy="0" w:distance="36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sans-serif">
    <w:altName w:val="阿里巴巴普惠体 R"/>
    <w:panose1 w:val="00000000000000000000"/>
    <w:charset w:val="00"/>
    <w:family w:val="auto"/>
    <w:pitch w:val="default"/>
    <w:sig w:usb0="00000000" w:usb1="00000000" w:usb2="00000000" w:usb3="00000000" w:csb0="00000000" w:csb1="00000000"/>
  </w:font>
  <w:font w:name="阿里巴巴普惠体 R">
    <w:panose1 w:val="00020600040101010101"/>
    <w:charset w:val="86"/>
    <w:family w:val="auto"/>
    <w:pitch w:val="default"/>
    <w:sig w:usb0="A00002FF" w:usb1="7ACF7CFB" w:usb2="0000001E"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BEF323"/>
    <w:multiLevelType w:val="singleLevel"/>
    <w:tmpl w:val="DEBEF323"/>
    <w:lvl w:ilvl="0" w:tentative="0">
      <w:start w:val="4"/>
      <w:numFmt w:val="chineseCounting"/>
      <w:suff w:val="nothing"/>
      <w:lvlText w:val="（%1）"/>
      <w:lvlJc w:val="left"/>
      <w:rPr>
        <w:rFonts w:hint="eastAsia"/>
      </w:rPr>
    </w:lvl>
  </w:abstractNum>
  <w:abstractNum w:abstractNumId="1">
    <w:nsid w:val="E14EDD0B"/>
    <w:multiLevelType w:val="singleLevel"/>
    <w:tmpl w:val="E14EDD0B"/>
    <w:lvl w:ilvl="0" w:tentative="0">
      <w:start w:val="1"/>
      <w:numFmt w:val="chineseCounting"/>
      <w:suff w:val="nothing"/>
      <w:lvlText w:val="（%1）"/>
      <w:lvlJc w:val="left"/>
      <w:rPr>
        <w:rFonts w:hint="eastAsia"/>
      </w:rPr>
    </w:lvl>
  </w:abstractNum>
  <w:abstractNum w:abstractNumId="2">
    <w:nsid w:val="FFF674BC"/>
    <w:multiLevelType w:val="singleLevel"/>
    <w:tmpl w:val="FFF674BC"/>
    <w:lvl w:ilvl="0" w:tentative="0">
      <w:start w:val="1"/>
      <w:numFmt w:val="chineseCounting"/>
      <w:suff w:val="nothing"/>
      <w:lvlText w:val="%1、"/>
      <w:lvlJc w:val="left"/>
      <w:rPr>
        <w:rFonts w:hint="eastAsia"/>
      </w:rPr>
    </w:lvl>
  </w:abstractNum>
  <w:abstractNum w:abstractNumId="3">
    <w:nsid w:val="6A4F3579"/>
    <w:multiLevelType w:val="singleLevel"/>
    <w:tmpl w:val="6A4F3579"/>
    <w:lvl w:ilvl="0" w:tentative="0">
      <w:start w:val="5"/>
      <w:numFmt w:val="chineseCounting"/>
      <w:suff w:val="space"/>
      <w:lvlText w:val="第%1部分"/>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YmQ3MWE3NmQ0NzEzN2ZkZjIwMGM5ZWE1NjFhY2IifQ=="/>
  </w:docVars>
  <w:rsids>
    <w:rsidRoot w:val="00172A27"/>
    <w:rsid w:val="04322A3C"/>
    <w:rsid w:val="0AB0384C"/>
    <w:rsid w:val="0CC76398"/>
    <w:rsid w:val="0E37137B"/>
    <w:rsid w:val="0F8F6501"/>
    <w:rsid w:val="10131974"/>
    <w:rsid w:val="11BE3B61"/>
    <w:rsid w:val="130C25E4"/>
    <w:rsid w:val="15114B9C"/>
    <w:rsid w:val="1E2D0425"/>
    <w:rsid w:val="25231EB1"/>
    <w:rsid w:val="261A7E91"/>
    <w:rsid w:val="2AB538FB"/>
    <w:rsid w:val="2B3F5087"/>
    <w:rsid w:val="31AC48B3"/>
    <w:rsid w:val="3AB3772B"/>
    <w:rsid w:val="40342897"/>
    <w:rsid w:val="4B674346"/>
    <w:rsid w:val="4C295348"/>
    <w:rsid w:val="50E35BBB"/>
    <w:rsid w:val="5102445D"/>
    <w:rsid w:val="53445C85"/>
    <w:rsid w:val="56D60762"/>
    <w:rsid w:val="5BC11851"/>
    <w:rsid w:val="60556A0B"/>
    <w:rsid w:val="66662F8E"/>
    <w:rsid w:val="6AE966CE"/>
    <w:rsid w:val="6E2C6FFD"/>
    <w:rsid w:val="6ED22A80"/>
    <w:rsid w:val="73A276D5"/>
    <w:rsid w:val="7548217D"/>
    <w:rsid w:val="77DF65F6"/>
    <w:rsid w:val="7F9D4E82"/>
    <w:rsid w:val="FD7D71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spacing w:beforeLines="0" w:afterLines="0" w:line="570" w:lineRule="exact"/>
      <w:ind w:firstLine="1440" w:firstLineChars="200"/>
    </w:pPr>
    <w:rPr>
      <w:rFonts w:hint="default" w:ascii="Times New Roman" w:hAnsi="Times New Roman" w:eastAsia="仿宋" w:cs="Times New Roman"/>
      <w:sz w:val="32"/>
      <w:szCs w:val="24"/>
    </w:rPr>
  </w:style>
  <w:style w:type="paragraph" w:styleId="3">
    <w:name w:val="heading 1"/>
    <w:next w:val="4"/>
    <w:link w:val="22"/>
    <w:unhideWhenUsed/>
    <w:qFormat/>
    <w:uiPriority w:val="99"/>
    <w:pPr>
      <w:widowControl w:val="0"/>
      <w:autoSpaceDE w:val="0"/>
      <w:autoSpaceDN w:val="0"/>
      <w:adjustRightInd w:val="0"/>
      <w:spacing w:beforeLines="0" w:afterLines="0" w:line="590" w:lineRule="exact"/>
      <w:ind w:firstLine="1440" w:firstLineChars="200"/>
      <w:jc w:val="center"/>
      <w:outlineLvl w:val="0"/>
    </w:pPr>
    <w:rPr>
      <w:rFonts w:hint="default" w:ascii="Times New Roman" w:hAnsi="Times New Roman" w:eastAsia="方正黑体_GBK" w:cs="Times New Roman"/>
      <w:sz w:val="33"/>
      <w:szCs w:val="33"/>
    </w:rPr>
  </w:style>
  <w:style w:type="paragraph" w:styleId="4">
    <w:name w:val="heading 2"/>
    <w:next w:val="1"/>
    <w:link w:val="17"/>
    <w:unhideWhenUsed/>
    <w:qFormat/>
    <w:uiPriority w:val="99"/>
    <w:pPr>
      <w:widowControl w:val="0"/>
      <w:autoSpaceDE w:val="0"/>
      <w:autoSpaceDN w:val="0"/>
      <w:adjustRightInd w:val="0"/>
      <w:spacing w:beforeLines="0" w:afterLines="0" w:line="590" w:lineRule="exact"/>
      <w:ind w:firstLine="1440" w:firstLineChars="200"/>
      <w:outlineLvl w:val="1"/>
    </w:pPr>
    <w:rPr>
      <w:rFonts w:hint="default" w:ascii="Times New Roman" w:hAnsi="Times New Roman" w:eastAsia="方正楷体_GBK" w:cs="Times New Roman"/>
      <w:b/>
      <w:sz w:val="33"/>
      <w:szCs w:val="24"/>
    </w:rPr>
  </w:style>
  <w:style w:type="character" w:default="1" w:styleId="15">
    <w:name w:val="Default Paragraph Font"/>
    <w:semiHidden/>
    <w:unhideWhenUsed/>
    <w:qFormat/>
    <w:uiPriority w:val="99"/>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styleId="5">
    <w:name w:val="Normal Indent"/>
    <w:basedOn w:val="1"/>
    <w:qFormat/>
    <w:uiPriority w:val="99"/>
    <w:pPr>
      <w:ind w:firstLine="420" w:firstLineChars="200"/>
    </w:pPr>
  </w:style>
  <w:style w:type="paragraph" w:styleId="6">
    <w:name w:val="Body Text"/>
    <w:basedOn w:val="1"/>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semiHidden/>
    <w:unhideWhenUsed/>
    <w:qFormat/>
    <w:uiPriority w:val="99"/>
    <w:pPr>
      <w:ind w:left="840" w:leftChars="400"/>
    </w:pPr>
  </w:style>
  <w:style w:type="paragraph" w:styleId="9">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1">
    <w:name w:val="toc 1"/>
    <w:basedOn w:val="1"/>
    <w:next w:val="1"/>
    <w:semiHidden/>
    <w:unhideWhenUsed/>
    <w:qFormat/>
    <w:uiPriority w:val="99"/>
  </w:style>
  <w:style w:type="paragraph" w:styleId="12">
    <w:name w:val="toc 2"/>
    <w:basedOn w:val="1"/>
    <w:next w:val="1"/>
    <w:semiHidden/>
    <w:unhideWhenUsed/>
    <w:qFormat/>
    <w:uiPriority w:val="99"/>
    <w:pPr>
      <w:ind w:left="420" w:leftChars="200"/>
    </w:pPr>
  </w:style>
  <w:style w:type="paragraph" w:styleId="13">
    <w:name w:val="Body Text First Indent 2"/>
    <w:basedOn w:val="7"/>
    <w:unhideWhenUsed/>
    <w:qFormat/>
    <w:uiPriority w:val="99"/>
    <w:pPr>
      <w:ind w:firstLine="420" w:firstLineChars="200"/>
    </w:pPr>
  </w:style>
  <w:style w:type="character" w:styleId="16">
    <w:name w:val="Strong"/>
    <w:basedOn w:val="15"/>
    <w:qFormat/>
    <w:uiPriority w:val="99"/>
    <w:rPr>
      <w:b/>
    </w:rPr>
  </w:style>
  <w:style w:type="character" w:customStyle="1" w:styleId="17">
    <w:name w:val="标题 2 Char"/>
    <w:basedOn w:val="15"/>
    <w:link w:val="4"/>
    <w:qFormat/>
    <w:uiPriority w:val="9"/>
    <w:rPr>
      <w:rFonts w:hint="default" w:ascii="Times New Roman" w:hAnsi="Times New Roman" w:eastAsia="方正楷体_GBK" w:cs="Times New Roman"/>
      <w:b/>
      <w:sz w:val="33"/>
      <w:szCs w:val="24"/>
    </w:rPr>
  </w:style>
  <w:style w:type="paragraph" w:customStyle="1" w:styleId="18">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paragraph" w:customStyle="1" w:styleId="21">
    <w:name w:val="WPSOffice手动目录 3"/>
    <w:qFormat/>
    <w:uiPriority w:val="0"/>
    <w:pPr>
      <w:ind w:leftChars="400"/>
    </w:pPr>
    <w:rPr>
      <w:rFonts w:ascii="Times New Roman" w:hAnsi="Times New Roman" w:eastAsia="宋体" w:cs="Times New Roman"/>
      <w:sz w:val="20"/>
      <w:szCs w:val="20"/>
    </w:rPr>
  </w:style>
  <w:style w:type="character" w:customStyle="1" w:styleId="22">
    <w:name w:val="标题 1 Char"/>
    <w:link w:val="3"/>
    <w:qFormat/>
    <w:uiPriority w:val="99"/>
    <w:rPr>
      <w:rFonts w:hint="default" w:ascii="Times New Roman" w:hAnsi="Times New Roman" w:eastAsia="方正黑体_GBK" w:cs="Times New Roman"/>
      <w:sz w:val="33"/>
      <w:szCs w:val="33"/>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36130;&#21153;\2022&#24180;&#20915;&#31639;\&#22270;&#26631;&#21046;&#20316;.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36130;&#21153;\2022&#24180;&#20915;&#31639;\&#22270;&#26631;&#21046;&#20316;.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36130;&#21153;\2022&#24180;&#20915;&#31639;\&#22270;&#26631;&#21046;&#2031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36130;&#21153;\2022&#24180;&#20915;&#31639;\&#22270;&#26631;&#21046;&#2031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36130;&#21153;\2022&#24180;&#20915;&#31639;\&#22270;&#26631;&#21046;&#20316;.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36130;&#21153;\2022&#24180;&#20915;&#31639;\&#22270;&#26631;&#21046;&#2031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36130;&#21153;\2022&#24180;&#20915;&#31639;\&#22270;&#26631;&#21046;&#203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[图标制作.xlsx]Sheet1!$I$6:$I$7</c:f>
              <c:strCache>
                <c:ptCount val="2"/>
                <c:pt idx="0">
                  <c:v>2021年</c:v>
                </c:pt>
                <c:pt idx="1">
                  <c:v>2022年</c:v>
                </c:pt>
              </c:strCache>
            </c:strRef>
          </c:cat>
          <c:val>
            <c:numRef>
              <c:f>[图标制作.xlsx]Sheet1!$J$6:$J$7</c:f>
              <c:numCache>
                <c:formatCode>General</c:formatCode>
                <c:ptCount val="2"/>
                <c:pt idx="0">
                  <c:v>2022.7</c:v>
                </c:pt>
                <c:pt idx="1">
                  <c:v>3877.54</c:v>
                </c:pt>
              </c:numCache>
            </c:numRef>
          </c:val>
        </c:ser>
        <c:dLbls>
          <c:showLegendKey val="0"/>
          <c:showVal val="0"/>
          <c:showCatName val="0"/>
          <c:showSerName val="0"/>
          <c:showPercent val="0"/>
          <c:showBubbleSize val="0"/>
        </c:dLbls>
        <c:gapWidth val="219"/>
        <c:overlap val="-27"/>
        <c:axId val="59243136"/>
        <c:axId val="90940160"/>
      </c:barChart>
      <c:catAx>
        <c:axId val="5924313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940160"/>
        <c:crosses val="autoZero"/>
        <c:auto val="1"/>
        <c:lblAlgn val="ctr"/>
        <c:lblOffset val="100"/>
        <c:noMultiLvlLbl val="0"/>
      </c:catAx>
      <c:valAx>
        <c:axId val="90940160"/>
        <c:scaling>
          <c:orientation val="minMax"/>
          <c:max val="4000"/>
          <c:min val="100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243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[图标制作.xlsx]Sheet1!$T$13:$T$14</c:f>
              <c:strCache>
                <c:ptCount val="2"/>
                <c:pt idx="0">
                  <c:v>一般公共预算财政拨款收入</c:v>
                </c:pt>
                <c:pt idx="1">
                  <c:v>政府性基金预算财政拨款收入</c:v>
                </c:pt>
              </c:strCache>
            </c:strRef>
          </c:cat>
          <c:val>
            <c:numRef>
              <c:f>[图标制作.xlsx]Sheet1!$U$13:$U$14</c:f>
              <c:numCache>
                <c:formatCode>0.00%</c:formatCode>
                <c:ptCount val="2"/>
                <c:pt idx="0">
                  <c:v>0.9974</c:v>
                </c:pt>
                <c:pt idx="1">
                  <c:v>0.0026</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[图标制作.xlsx]Sheet1!$D$40:$D$41</c:f>
              <c:strCache>
                <c:ptCount val="2"/>
                <c:pt idx="0">
                  <c:v>基本支出</c:v>
                </c:pt>
                <c:pt idx="1">
                  <c:v>项目支出</c:v>
                </c:pt>
              </c:strCache>
            </c:strRef>
          </c:cat>
          <c:val>
            <c:numRef>
              <c:f>[图标制作.xlsx]Sheet1!$E$40:$E$41</c:f>
              <c:numCache>
                <c:formatCode>0.00%</c:formatCode>
                <c:ptCount val="2"/>
                <c:pt idx="0">
                  <c:v>0.3081</c:v>
                </c:pt>
                <c:pt idx="1">
                  <c:v>0.6919</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[图标制作.xlsx]Sheet1!$I$6:$I$7</c:f>
              <c:strCache>
                <c:ptCount val="2"/>
                <c:pt idx="0">
                  <c:v>2021年</c:v>
                </c:pt>
                <c:pt idx="1">
                  <c:v>2022年</c:v>
                </c:pt>
              </c:strCache>
            </c:strRef>
          </c:cat>
          <c:val>
            <c:numRef>
              <c:f>[图标制作.xlsx]Sheet1!$J$6:$J$7</c:f>
              <c:numCache>
                <c:formatCode>General</c:formatCode>
                <c:ptCount val="2"/>
                <c:pt idx="0">
                  <c:v>2022.7</c:v>
                </c:pt>
                <c:pt idx="1">
                  <c:v>3877.54</c:v>
                </c:pt>
              </c:numCache>
            </c:numRef>
          </c:val>
        </c:ser>
        <c:dLbls>
          <c:showLegendKey val="0"/>
          <c:showVal val="0"/>
          <c:showCatName val="0"/>
          <c:showSerName val="0"/>
          <c:showPercent val="0"/>
          <c:showBubbleSize val="0"/>
        </c:dLbls>
        <c:gapWidth val="219"/>
        <c:overlap val="-27"/>
        <c:axId val="59243136"/>
        <c:axId val="90940160"/>
      </c:barChart>
      <c:catAx>
        <c:axId val="5924313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940160"/>
        <c:crosses val="autoZero"/>
        <c:auto val="1"/>
        <c:lblAlgn val="ctr"/>
        <c:lblOffset val="100"/>
        <c:noMultiLvlLbl val="0"/>
      </c:catAx>
      <c:valAx>
        <c:axId val="90940160"/>
        <c:scaling>
          <c:orientation val="minMax"/>
          <c:max val="4000"/>
          <c:min val="100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243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[图标制作.xlsx]Sheet1!$I$6:$I$7</c:f>
              <c:strCache>
                <c:ptCount val="2"/>
                <c:pt idx="0">
                  <c:v>2021年</c:v>
                </c:pt>
                <c:pt idx="1">
                  <c:v>2022年</c:v>
                </c:pt>
              </c:strCache>
            </c:strRef>
          </c:cat>
          <c:val>
            <c:numRef>
              <c:f>[图标制作.xlsx]Sheet1!$J$6:$J$7</c:f>
              <c:numCache>
                <c:formatCode>General</c:formatCode>
                <c:ptCount val="2"/>
                <c:pt idx="0">
                  <c:v>2022.7</c:v>
                </c:pt>
                <c:pt idx="1">
                  <c:v>3867.54</c:v>
                </c:pt>
              </c:numCache>
            </c:numRef>
          </c:val>
        </c:ser>
        <c:dLbls>
          <c:showLegendKey val="0"/>
          <c:showVal val="0"/>
          <c:showCatName val="0"/>
          <c:showSerName val="0"/>
          <c:showPercent val="0"/>
          <c:showBubbleSize val="0"/>
        </c:dLbls>
        <c:gapWidth val="219"/>
        <c:overlap val="-27"/>
        <c:axId val="59243136"/>
        <c:axId val="90940160"/>
      </c:barChart>
      <c:catAx>
        <c:axId val="5924313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940160"/>
        <c:crosses val="autoZero"/>
        <c:auto val="1"/>
        <c:lblAlgn val="ctr"/>
        <c:lblOffset val="100"/>
        <c:noMultiLvlLbl val="0"/>
      </c:catAx>
      <c:valAx>
        <c:axId val="90940160"/>
        <c:scaling>
          <c:orientation val="minMax"/>
          <c:max val="4000"/>
          <c:min val="100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243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manualLayout>
                  <c:x val="-0.262311343916238"/>
                  <c:y val="0.015224328704854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43414141630109"/>
                  <c:y val="0.038065806245773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[图标制作.xlsx]Sheet1!$E$104:$E$106</c:f>
              <c:strCache>
                <c:ptCount val="3"/>
                <c:pt idx="0">
                  <c:v>社会保障和就业（类）支出</c:v>
                </c:pt>
                <c:pt idx="1">
                  <c:v>卫生健康（类）支出</c:v>
                </c:pt>
                <c:pt idx="2">
                  <c:v>灾害防治及应急管理（类）支出</c:v>
                </c:pt>
              </c:strCache>
            </c:strRef>
          </c:cat>
          <c:val>
            <c:numRef>
              <c:f>[图标制作.xlsx]Sheet1!$F$104:$F$106</c:f>
              <c:numCache>
                <c:formatCode>0.00%</c:formatCode>
                <c:ptCount val="3"/>
                <c:pt idx="0">
                  <c:v>0.0196</c:v>
                </c:pt>
                <c:pt idx="1">
                  <c:v>0.0109</c:v>
                </c:pt>
                <c:pt idx="2">
                  <c:v>0.9695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Lbls>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[图标制作.xlsx]Sheet1!$E$121:$E$123</c:f>
              <c:strCache>
                <c:ptCount val="3"/>
                <c:pt idx="0">
                  <c:v>公务用车购置及运行维护费支出</c:v>
                </c:pt>
                <c:pt idx="1">
                  <c:v>公务接待费支出</c:v>
                </c:pt>
                <c:pt idx="2">
                  <c:v>因公出国（境）费支出</c:v>
                </c:pt>
              </c:strCache>
            </c:strRef>
          </c:cat>
          <c:val>
            <c:numRef>
              <c:f>[图标制作.xlsx]Sheet1!$F$121:$F$123</c:f>
              <c:numCache>
                <c:formatCode>0.00%</c:formatCode>
                <c:ptCount val="3"/>
                <c:pt idx="0">
                  <c:v>0.7729</c:v>
                </c:pt>
                <c:pt idx="1">
                  <c:v>0.2271</c:v>
                </c:pt>
                <c:pt idx="2" c:formatCode="0%">
                  <c:v>0</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0.40347</cdr:x>
      <cdr:y>0.56134</cdr:y>
    </cdr:from>
    <cdr:to>
      <cdr:x>0.45556</cdr:x>
      <cdr:y>0.63773</cdr:y>
    </cdr:to>
    <cdr:sp>
      <cdr:nvSpPr>
        <cdr:cNvPr id="2" name="矩形 1"/>
        <cdr:cNvSpPr/>
      </cdr:nvSpPr>
      <cdr:spPr xmlns:a="http://schemas.openxmlformats.org/drawingml/2006/main">
        <a:xfrm xmlns:a="http://schemas.openxmlformats.org/drawingml/2006/main">
          <a:off x="1844675" y="1539875"/>
          <a:ext cx="238125"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lstStyle/>
        <a:p>
          <a:endParaRPr lang="zh-CN" altLang="en-US"/>
        </a:p>
      </cdr:txBody>
    </cdr:sp>
  </cdr:relSizeAnchor>
</c:userShap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79</Pages>
  <Lines>1</Lines>
  <Paragraphs>1</Paragraphs>
  <TotalTime>56</TotalTime>
  <ScaleCrop>false</ScaleCrop>
  <LinksUpToDate>false</LinksUpToDate>
  <Application>WPS Office_12.8.2.1113_F1E327BC-269C-435d-A152-05C5408002CA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2023-09-18T17:53:00Z</dcterms:created>
  <dc:creator>zz</dc:creator>
  <cp:lastModifiedBy>XLX-97</cp:lastModifiedBy>
  <cp:lastPrinted>2023-09-25T23:46:00Z</cp:lastPrinted>
  <dcterms:modified xsi:type="dcterms:W3CDTF">2025-01-17T11:42:26Z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48BD712FB5C43139A2D189671EC36D23_43</vt:lpwstr>
  </property>
</Properties>
</file>