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2036D">
      <w:pPr>
        <w:spacing w:line="0" w:lineRule="atLeast"/>
        <w:jc w:val="both"/>
        <w:rPr>
          <w:rFonts w:hint="default" w:ascii="方正小标宋_GBK" w:eastAsia="方正小标宋_GBK"/>
          <w:sz w:val="33"/>
          <w:szCs w:val="33"/>
          <w:lang w:val="en-US" w:eastAsia="zh-CN"/>
        </w:rPr>
      </w:pPr>
      <w:r>
        <w:rPr>
          <w:rFonts w:hint="eastAsia" w:ascii="方正小标宋_GBK" w:eastAsia="方正小标宋_GBK"/>
          <w:sz w:val="33"/>
          <w:szCs w:val="33"/>
          <w:lang w:eastAsia="zh-CN"/>
        </w:rPr>
        <w:t>附件</w:t>
      </w:r>
      <w:r>
        <w:rPr>
          <w:rFonts w:hint="eastAsia" w:ascii="方正小标宋_GBK" w:eastAsia="方正小标宋_GBK"/>
          <w:sz w:val="33"/>
          <w:szCs w:val="33"/>
          <w:lang w:val="en-US" w:eastAsia="zh-CN"/>
        </w:rPr>
        <w:t>1</w:t>
      </w:r>
    </w:p>
    <w:p w14:paraId="527F43A7">
      <w:pPr>
        <w:spacing w:line="0" w:lineRule="atLeast"/>
        <w:jc w:val="center"/>
        <w:rPr>
          <w:rFonts w:hint="eastAsia" w:ascii="方正小标宋_GBK" w:eastAsia="方正小标宋_GBK"/>
          <w:sz w:val="44"/>
          <w:szCs w:val="44"/>
        </w:rPr>
      </w:pPr>
    </w:p>
    <w:p w14:paraId="1FF7F411">
      <w:pPr>
        <w:spacing w:line="0" w:lineRule="atLeast"/>
        <w:jc w:val="center"/>
        <w:rPr>
          <w:rFonts w:hint="eastAsia" w:ascii="方正小标宋_GBK" w:eastAsia="方正小标宋_GBK"/>
          <w:color w:val="auto"/>
          <w:sz w:val="44"/>
          <w:szCs w:val="44"/>
        </w:rPr>
      </w:pPr>
      <w:r>
        <w:rPr>
          <w:rFonts w:hint="eastAsia" w:ascii="方正小标宋_GBK" w:eastAsia="方正小标宋_GBK"/>
          <w:color w:val="auto"/>
          <w:sz w:val="44"/>
          <w:szCs w:val="44"/>
        </w:rPr>
        <w:t>202</w:t>
      </w:r>
      <w:r>
        <w:rPr>
          <w:rFonts w:hint="eastAsia" w:ascii="方正小标宋_GBK" w:eastAsia="方正小标宋_GBK"/>
          <w:color w:val="auto"/>
          <w:sz w:val="44"/>
          <w:szCs w:val="44"/>
          <w:lang w:val="en-US" w:eastAsia="zh-CN"/>
        </w:rPr>
        <w:t>4</w:t>
      </w:r>
      <w:r>
        <w:rPr>
          <w:rFonts w:hint="eastAsia" w:ascii="方正小标宋_GBK" w:eastAsia="方正小标宋_GBK"/>
          <w:color w:val="auto"/>
          <w:sz w:val="44"/>
          <w:szCs w:val="44"/>
        </w:rPr>
        <w:t>年度广安市</w:t>
      </w:r>
      <w:r>
        <w:rPr>
          <w:rFonts w:hint="eastAsia" w:ascii="方正小标宋_GBK" w:eastAsia="方正小标宋_GBK"/>
          <w:color w:val="auto"/>
          <w:sz w:val="44"/>
          <w:szCs w:val="44"/>
          <w:lang w:eastAsia="zh-CN"/>
        </w:rPr>
        <w:t>中省</w:t>
      </w:r>
      <w:r>
        <w:rPr>
          <w:rFonts w:hint="eastAsia" w:ascii="方正小标宋_GBK" w:eastAsia="方正小标宋_GBK"/>
          <w:color w:val="auto"/>
          <w:sz w:val="44"/>
          <w:szCs w:val="44"/>
        </w:rPr>
        <w:t>彩票公益金</w:t>
      </w:r>
    </w:p>
    <w:p w14:paraId="0D8592FA">
      <w:pPr>
        <w:spacing w:line="0" w:lineRule="atLeast"/>
        <w:jc w:val="center"/>
        <w:rPr>
          <w:rFonts w:hint="eastAsia" w:ascii="方正小标宋_GBK" w:eastAsia="方正小标宋_GBK"/>
          <w:color w:val="auto"/>
          <w:sz w:val="44"/>
          <w:szCs w:val="44"/>
        </w:rPr>
      </w:pPr>
      <w:r>
        <w:rPr>
          <w:rFonts w:hint="eastAsia" w:ascii="方正小标宋_GBK" w:eastAsia="方正小标宋_GBK"/>
          <w:color w:val="auto"/>
          <w:sz w:val="44"/>
          <w:szCs w:val="44"/>
        </w:rPr>
        <w:t>转移支付绩效自评报告</w:t>
      </w:r>
    </w:p>
    <w:p w14:paraId="2111C192">
      <w:pPr>
        <w:pStyle w:val="7"/>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3"/>
          <w:szCs w:val="33"/>
          <w:highlight w:val="none"/>
        </w:rPr>
      </w:pPr>
    </w:p>
    <w:p w14:paraId="0C11E094">
      <w:pPr>
        <w:bidi w:val="0"/>
        <w:ind w:firstLine="663" w:firstLineChars="200"/>
        <w:rPr>
          <w:rFonts w:hint="default" w:ascii="方正黑体_GBK" w:hAnsi="方正黑体_GBK" w:eastAsia="方正黑体_GBK" w:cs="方正黑体_GBK"/>
          <w:b/>
          <w:bCs/>
          <w:sz w:val="33"/>
          <w:szCs w:val="33"/>
          <w:lang w:val="zh-CN" w:eastAsia="zh-CN"/>
        </w:rPr>
      </w:pPr>
      <w:r>
        <w:rPr>
          <w:rFonts w:hint="eastAsia" w:ascii="方正黑体_GBK" w:hAnsi="方正黑体_GBK" w:eastAsia="方正黑体_GBK" w:cs="方正黑体_GBK"/>
          <w:b/>
          <w:bCs/>
          <w:sz w:val="33"/>
          <w:szCs w:val="33"/>
          <w:lang w:val="zh-CN" w:eastAsia="zh-CN"/>
        </w:rPr>
        <w:t>一、项目概况</w:t>
      </w:r>
    </w:p>
    <w:p w14:paraId="3E90AFA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63" w:firstLineChars="200"/>
        <w:contextualSpacing/>
        <w:jc w:val="left"/>
        <w:textAlignment w:val="auto"/>
        <w:rPr>
          <w:rFonts w:hint="eastAsia" w:ascii="楷体_GB2312" w:hAnsi="宋体" w:eastAsia="楷体_GB2312"/>
          <w:b/>
          <w:color w:val="auto"/>
          <w:sz w:val="33"/>
          <w:szCs w:val="33"/>
          <w:highlight w:val="none"/>
          <w:u w:val="none"/>
          <w:lang w:val="zh-CN"/>
        </w:rPr>
      </w:pPr>
      <w:r>
        <w:rPr>
          <w:rFonts w:hint="eastAsia" w:ascii="楷体_GB2312" w:hAnsi="宋体" w:eastAsia="楷体_GB2312"/>
          <w:b/>
          <w:color w:val="auto"/>
          <w:sz w:val="33"/>
          <w:szCs w:val="33"/>
          <w:highlight w:val="none"/>
          <w:u w:val="none"/>
          <w:lang w:val="zh-CN"/>
        </w:rPr>
        <w:t>（一）设立背景及基本情况。</w:t>
      </w:r>
    </w:p>
    <w:p w14:paraId="523386DF">
      <w:pPr>
        <w:ind w:firstLine="660" w:firstLineChars="200"/>
        <w:rPr>
          <w:rFonts w:hint="eastAsia" w:ascii="Times New Roman" w:hAnsi="Times New Roman" w:eastAsia="方正仿宋_GBK" w:cs="Times New Roman"/>
          <w:bCs/>
          <w:color w:val="auto"/>
          <w:sz w:val="33"/>
          <w:szCs w:val="33"/>
          <w:lang w:val="zh-CN" w:eastAsia="zh-CN"/>
        </w:rPr>
      </w:pPr>
      <w:r>
        <w:rPr>
          <w:rFonts w:hint="eastAsia" w:ascii="Times New Roman" w:hAnsi="Times New Roman" w:eastAsia="方正仿宋_GBK" w:cs="Times New Roman"/>
          <w:bCs/>
          <w:color w:val="auto"/>
          <w:sz w:val="33"/>
          <w:szCs w:val="33"/>
          <w:lang w:val="en-US" w:eastAsia="zh-CN"/>
        </w:rPr>
        <w:t>2024年我市用于老年人、残疾人、儿童等特殊群体福利项目的资金缺口巨大。根据</w:t>
      </w:r>
      <w:r>
        <w:rPr>
          <w:rFonts w:hint="default" w:ascii="Times New Roman" w:hAnsi="Times New Roman" w:eastAsia="方正仿宋_GBK" w:cs="Times New Roman"/>
          <w:bCs/>
          <w:color w:val="auto"/>
          <w:sz w:val="33"/>
          <w:szCs w:val="33"/>
          <w:lang w:val="en-US" w:eastAsia="zh-CN"/>
        </w:rPr>
        <w:t>川财社〔2023〕</w:t>
      </w:r>
      <w:r>
        <w:rPr>
          <w:rFonts w:hint="eastAsia" w:ascii="Times New Roman" w:hAnsi="Times New Roman" w:eastAsia="方正仿宋_GBK" w:cs="Times New Roman"/>
          <w:bCs/>
          <w:color w:val="auto"/>
          <w:sz w:val="33"/>
          <w:szCs w:val="33"/>
          <w:lang w:val="en-US" w:eastAsia="zh-CN"/>
        </w:rPr>
        <w:t>171</w:t>
      </w:r>
      <w:r>
        <w:rPr>
          <w:rFonts w:hint="default" w:ascii="Times New Roman" w:hAnsi="Times New Roman" w:eastAsia="方正仿宋_GBK" w:cs="Times New Roman"/>
          <w:bCs/>
          <w:color w:val="auto"/>
          <w:sz w:val="33"/>
          <w:szCs w:val="33"/>
          <w:lang w:val="en-US" w:eastAsia="zh-CN"/>
        </w:rPr>
        <w:t>号、川财</w:t>
      </w:r>
      <w:r>
        <w:rPr>
          <w:rFonts w:hint="eastAsia" w:eastAsia="方正仿宋_GBK" w:cs="Times New Roman"/>
          <w:bCs/>
          <w:color w:val="auto"/>
          <w:sz w:val="33"/>
          <w:szCs w:val="33"/>
          <w:lang w:val="en-US" w:eastAsia="zh-CN"/>
        </w:rPr>
        <w:t>综</w:t>
      </w:r>
      <w:r>
        <w:rPr>
          <w:rFonts w:hint="default" w:ascii="Times New Roman" w:hAnsi="Times New Roman" w:eastAsia="方正仿宋_GBK" w:cs="Times New Roman"/>
          <w:bCs/>
          <w:color w:val="auto"/>
          <w:sz w:val="33"/>
          <w:szCs w:val="33"/>
          <w:lang w:val="en-US" w:eastAsia="zh-CN"/>
        </w:rPr>
        <w:t>〔202</w:t>
      </w:r>
      <w:r>
        <w:rPr>
          <w:rFonts w:hint="eastAsia" w:ascii="Times New Roman" w:hAnsi="Times New Roman" w:eastAsia="方正仿宋_GBK" w:cs="Times New Roman"/>
          <w:bCs/>
          <w:color w:val="auto"/>
          <w:sz w:val="33"/>
          <w:szCs w:val="33"/>
          <w:lang w:val="en-US" w:eastAsia="zh-CN"/>
        </w:rPr>
        <w:t>4</w:t>
      </w:r>
      <w:r>
        <w:rPr>
          <w:rFonts w:hint="default" w:ascii="Times New Roman" w:hAnsi="Times New Roman" w:eastAsia="方正仿宋_GBK" w:cs="Times New Roman"/>
          <w:bCs/>
          <w:color w:val="auto"/>
          <w:sz w:val="33"/>
          <w:szCs w:val="33"/>
          <w:lang w:val="en-US" w:eastAsia="zh-CN"/>
        </w:rPr>
        <w:t>〕</w:t>
      </w:r>
      <w:r>
        <w:rPr>
          <w:rFonts w:hint="eastAsia" w:ascii="Times New Roman" w:hAnsi="Times New Roman" w:eastAsia="方正仿宋_GBK" w:cs="Times New Roman"/>
          <w:bCs/>
          <w:color w:val="auto"/>
          <w:sz w:val="33"/>
          <w:szCs w:val="33"/>
          <w:lang w:val="en-US" w:eastAsia="zh-CN"/>
        </w:rPr>
        <w:t>1</w:t>
      </w:r>
      <w:r>
        <w:rPr>
          <w:rFonts w:hint="default" w:ascii="Times New Roman" w:hAnsi="Times New Roman" w:eastAsia="方正仿宋_GBK" w:cs="Times New Roman"/>
          <w:bCs/>
          <w:color w:val="auto"/>
          <w:sz w:val="33"/>
          <w:szCs w:val="33"/>
          <w:lang w:val="en-US" w:eastAsia="zh-CN"/>
        </w:rPr>
        <w:t>号</w:t>
      </w:r>
      <w:r>
        <w:rPr>
          <w:rFonts w:hint="eastAsia" w:ascii="Times New Roman" w:hAnsi="Times New Roman" w:eastAsia="方正仿宋_GBK" w:cs="Times New Roman"/>
          <w:bCs/>
          <w:color w:val="auto"/>
          <w:sz w:val="33"/>
          <w:szCs w:val="33"/>
          <w:lang w:val="en-US" w:eastAsia="zh-CN"/>
        </w:rPr>
        <w:t>、</w:t>
      </w:r>
      <w:r>
        <w:rPr>
          <w:rFonts w:hint="default" w:ascii="Times New Roman" w:hAnsi="Times New Roman" w:eastAsia="方正仿宋_GBK" w:cs="Times New Roman"/>
          <w:bCs/>
          <w:color w:val="auto"/>
          <w:sz w:val="33"/>
          <w:szCs w:val="33"/>
          <w:lang w:val="en-US" w:eastAsia="zh-CN"/>
        </w:rPr>
        <w:t>川财社〔202</w:t>
      </w:r>
      <w:r>
        <w:rPr>
          <w:rFonts w:hint="eastAsia" w:eastAsia="方正仿宋_GBK" w:cs="Times New Roman"/>
          <w:bCs/>
          <w:color w:val="auto"/>
          <w:sz w:val="33"/>
          <w:szCs w:val="33"/>
          <w:lang w:val="en-US" w:eastAsia="zh-CN"/>
        </w:rPr>
        <w:t>4</w:t>
      </w:r>
      <w:r>
        <w:rPr>
          <w:rFonts w:hint="default" w:ascii="Times New Roman" w:hAnsi="Times New Roman" w:eastAsia="方正仿宋_GBK" w:cs="Times New Roman"/>
          <w:bCs/>
          <w:color w:val="auto"/>
          <w:sz w:val="33"/>
          <w:szCs w:val="33"/>
          <w:lang w:val="en-US" w:eastAsia="zh-CN"/>
        </w:rPr>
        <w:t>〕</w:t>
      </w:r>
      <w:r>
        <w:rPr>
          <w:rFonts w:hint="eastAsia" w:ascii="Times New Roman" w:hAnsi="Times New Roman" w:eastAsia="方正仿宋_GBK" w:cs="Times New Roman"/>
          <w:bCs/>
          <w:color w:val="auto"/>
          <w:sz w:val="33"/>
          <w:szCs w:val="33"/>
          <w:lang w:val="en-US" w:eastAsia="zh-CN"/>
        </w:rPr>
        <w:t>32号、33号、80号、107号</w:t>
      </w:r>
      <w:r>
        <w:rPr>
          <w:rFonts w:hint="default" w:ascii="Times New Roman" w:hAnsi="Times New Roman" w:eastAsia="方正仿宋_GBK" w:cs="Times New Roman"/>
          <w:bCs/>
          <w:color w:val="auto"/>
          <w:sz w:val="33"/>
          <w:szCs w:val="33"/>
          <w:lang w:val="en-US" w:eastAsia="zh-CN"/>
        </w:rPr>
        <w:t>文件作为项目立项、资金申报的依据，按照“谁使用、谁管理、谁负责”的要求。</w:t>
      </w:r>
      <w:r>
        <w:rPr>
          <w:rFonts w:hint="eastAsia" w:ascii="Times New Roman" w:hAnsi="Times New Roman" w:eastAsia="方正仿宋_GBK" w:cs="Times New Roman"/>
          <w:bCs/>
          <w:color w:val="auto"/>
          <w:sz w:val="33"/>
          <w:szCs w:val="33"/>
          <w:lang w:val="en-US" w:eastAsia="zh-CN"/>
        </w:rPr>
        <w:t>根据民政职能职责和业务工作实际，由民政福利部门作为市、县民政部门内部的福利彩票公益金日常管理部门，负责相关科（股）室公益金切块资金归口管理部门，负责本业务领域切块公益金的使用管理，承担本业务领域公益金项目的规划及预算申请和初评，指导和督促本领域项目执行、拟定本领域公益金使用管理办法等。具体</w:t>
      </w:r>
      <w:r>
        <w:rPr>
          <w:rFonts w:hint="default" w:ascii="Times New Roman" w:hAnsi="Times New Roman" w:eastAsia="方正仿宋_GBK" w:cs="Times New Roman"/>
          <w:bCs/>
          <w:color w:val="auto"/>
          <w:sz w:val="33"/>
          <w:szCs w:val="33"/>
          <w:lang w:val="en-US" w:eastAsia="zh-CN"/>
        </w:rPr>
        <w:t>在项目管理中</w:t>
      </w:r>
      <w:r>
        <w:rPr>
          <w:rFonts w:hint="eastAsia" w:ascii="Times New Roman" w:hAnsi="Times New Roman" w:eastAsia="方正仿宋_GBK" w:cs="Times New Roman"/>
          <w:bCs/>
          <w:color w:val="auto"/>
          <w:sz w:val="33"/>
          <w:szCs w:val="33"/>
          <w:lang w:val="en-US" w:eastAsia="zh-CN"/>
        </w:rPr>
        <w:t>负责</w:t>
      </w:r>
      <w:r>
        <w:rPr>
          <w:rFonts w:hint="eastAsia" w:ascii="Times New Roman" w:hAnsi="Times New Roman" w:eastAsia="方正仿宋_GBK" w:cs="Times New Roman"/>
          <w:bCs/>
          <w:color w:val="auto"/>
          <w:sz w:val="33"/>
          <w:szCs w:val="33"/>
          <w:lang w:val="zh-TW" w:eastAsia="zh-TW"/>
        </w:rPr>
        <w:t>统筹推进、督促指导、监督管理养老</w:t>
      </w:r>
      <w:r>
        <w:rPr>
          <w:rFonts w:hint="eastAsia" w:ascii="Times New Roman" w:hAnsi="Times New Roman" w:eastAsia="方正仿宋_GBK" w:cs="Times New Roman"/>
          <w:bCs/>
          <w:color w:val="auto"/>
          <w:sz w:val="33"/>
          <w:szCs w:val="33"/>
          <w:lang w:val="zh-TW" w:eastAsia="zh-CN"/>
        </w:rPr>
        <w:t>服务</w:t>
      </w:r>
      <w:r>
        <w:rPr>
          <w:rFonts w:hint="eastAsia" w:ascii="Times New Roman" w:hAnsi="Times New Roman" w:eastAsia="方正仿宋_GBK" w:cs="Times New Roman"/>
          <w:bCs/>
          <w:color w:val="auto"/>
          <w:sz w:val="33"/>
          <w:szCs w:val="33"/>
          <w:lang w:val="zh-TW" w:eastAsia="zh-TW"/>
        </w:rPr>
        <w:t>工作，拟订养老服务体系建设规划、政策、标准并组织实施，</w:t>
      </w:r>
      <w:r>
        <w:rPr>
          <w:rFonts w:hint="default" w:ascii="Times New Roman" w:hAnsi="Times New Roman" w:eastAsia="方正仿宋_GBK" w:cs="Times New Roman"/>
          <w:bCs/>
          <w:color w:val="auto"/>
          <w:sz w:val="33"/>
          <w:szCs w:val="33"/>
          <w:lang w:val="en-US" w:eastAsia="zh-CN"/>
        </w:rPr>
        <w:t>指导</w:t>
      </w:r>
      <w:r>
        <w:rPr>
          <w:rFonts w:hint="eastAsia" w:ascii="Times New Roman" w:hAnsi="Times New Roman" w:eastAsia="方正仿宋_GBK" w:cs="Times New Roman"/>
          <w:bCs/>
          <w:color w:val="auto"/>
          <w:sz w:val="33"/>
          <w:szCs w:val="33"/>
          <w:lang w:val="en-US" w:eastAsia="zh-CN"/>
        </w:rPr>
        <w:t>镇（街道）进行社区建设等项目实施</w:t>
      </w:r>
      <w:r>
        <w:rPr>
          <w:rFonts w:hint="default" w:ascii="Times New Roman" w:hAnsi="Times New Roman" w:eastAsia="方正仿宋_GBK" w:cs="Times New Roman"/>
          <w:bCs/>
          <w:color w:val="auto"/>
          <w:sz w:val="33"/>
          <w:szCs w:val="33"/>
          <w:lang w:val="en-US" w:eastAsia="zh-CN"/>
        </w:rPr>
        <w:t>，监督</w:t>
      </w:r>
      <w:r>
        <w:rPr>
          <w:rFonts w:hint="eastAsia" w:ascii="Times New Roman" w:hAnsi="Times New Roman" w:eastAsia="方正仿宋_GBK" w:cs="Times New Roman"/>
          <w:bCs/>
          <w:color w:val="auto"/>
          <w:sz w:val="33"/>
          <w:szCs w:val="33"/>
          <w:lang w:val="en-US" w:eastAsia="zh-CN"/>
        </w:rPr>
        <w:t xml:space="preserve">项目建设资金使用等等。 </w:t>
      </w:r>
    </w:p>
    <w:p w14:paraId="62813DBD">
      <w:pPr>
        <w:keepNext w:val="0"/>
        <w:keepLines w:val="0"/>
        <w:pageBreakBefore w:val="0"/>
        <w:widowControl w:val="0"/>
        <w:kinsoku/>
        <w:wordWrap/>
        <w:overflowPunct w:val="0"/>
        <w:topLinePunct w:val="0"/>
        <w:autoSpaceDE/>
        <w:autoSpaceDN/>
        <w:bidi w:val="0"/>
        <w:adjustRightInd w:val="0"/>
        <w:snapToGrid w:val="0"/>
        <w:spacing w:line="590" w:lineRule="exact"/>
        <w:ind w:left="0" w:leftChars="0" w:firstLine="663" w:firstLineChars="200"/>
        <w:jc w:val="both"/>
        <w:textAlignment w:val="auto"/>
        <w:rPr>
          <w:rFonts w:hint="default" w:ascii="Times New Roman" w:hAnsi="Times New Roman" w:cs="Times New Roman"/>
          <w:sz w:val="33"/>
          <w:szCs w:val="33"/>
          <w:lang w:val="zh-CN"/>
        </w:rPr>
      </w:pPr>
      <w:bookmarkStart w:id="0" w:name="OLE_LINK2"/>
      <w:r>
        <w:rPr>
          <w:rFonts w:hint="eastAsia" w:ascii="楷体_GB2312" w:hAnsi="宋体" w:eastAsia="楷体_GB2312" w:cs="Times New Roman"/>
          <w:b/>
          <w:color w:val="auto"/>
          <w:sz w:val="33"/>
          <w:szCs w:val="33"/>
          <w:highlight w:val="none"/>
          <w:u w:val="none"/>
          <w:lang w:val="en-US" w:eastAsia="zh-CN"/>
        </w:rPr>
        <w:t>(二)</w:t>
      </w:r>
      <w:r>
        <w:rPr>
          <w:rFonts w:hint="default" w:ascii="楷体_GB2312" w:hAnsi="宋体" w:eastAsia="楷体_GB2312" w:cs="Times New Roman"/>
          <w:b/>
          <w:color w:val="auto"/>
          <w:sz w:val="33"/>
          <w:szCs w:val="33"/>
          <w:highlight w:val="none"/>
          <w:u w:val="none"/>
          <w:lang w:val="en-US" w:eastAsia="zh-CN"/>
        </w:rPr>
        <w:t>实施目的及支持方向</w:t>
      </w:r>
      <w:r>
        <w:rPr>
          <w:rFonts w:hint="eastAsia" w:ascii="楷体_GB2312" w:hAnsi="宋体" w:eastAsia="楷体_GB2312" w:cs="Times New Roman"/>
          <w:b/>
          <w:color w:val="auto"/>
          <w:sz w:val="33"/>
          <w:szCs w:val="33"/>
          <w:highlight w:val="none"/>
          <w:u w:val="none"/>
          <w:lang w:val="en-US" w:eastAsia="zh-CN"/>
        </w:rPr>
        <w:t>。</w:t>
      </w:r>
      <w:r>
        <w:rPr>
          <w:rFonts w:hint="eastAsia" w:ascii="Times New Roman" w:hAnsi="Times New Roman" w:eastAsia="方正仿宋_GBK" w:cs="Times New Roman"/>
          <w:bCs/>
          <w:color w:val="auto"/>
          <w:sz w:val="33"/>
          <w:szCs w:val="33"/>
          <w:lang w:val="en-US" w:eastAsia="zh-CN"/>
        </w:rPr>
        <w:t>市、县（市、区）民政部门依据上级彩票公益金管理办法、市财政财务资金管理规则以及《广安市民政局关于印发〈广安市福利彩票公益金使用管理办法〉的通知》等政策制度文件规范使用、专款专用。</w:t>
      </w:r>
      <w:r>
        <w:rPr>
          <w:rFonts w:hint="default" w:ascii="Times New Roman" w:hAnsi="Times New Roman" w:eastAsia="方正仿宋_GBK" w:cs="Times New Roman"/>
          <w:bCs/>
          <w:color w:val="auto"/>
          <w:sz w:val="33"/>
          <w:szCs w:val="33"/>
          <w:lang w:val="zh-CN" w:eastAsia="zh-CN"/>
        </w:rPr>
        <w:t>一是为了培育公益性社会组织，促进其健康发展，提高社会组织能力，提升居民的生活质量；二是集中资源合力推动精神障碍社区康复服务工作，统一康复服务站点建设及服务标准，指导各站点规范设置精康社区康复项目，让精神病患者更好地康复；三是为孤儿教育提供保障资金，助力孤儿顺利完成学业。</w:t>
      </w:r>
    </w:p>
    <w:bookmarkEnd w:id="0"/>
    <w:p w14:paraId="3F785AF4">
      <w:pPr>
        <w:keepNext w:val="0"/>
        <w:keepLines w:val="0"/>
        <w:pageBreakBefore w:val="0"/>
        <w:numPr>
          <w:ilvl w:val="0"/>
          <w:numId w:val="1"/>
        </w:numPr>
        <w:kinsoku/>
        <w:wordWrap/>
        <w:overflowPunct/>
        <w:topLinePunct w:val="0"/>
        <w:autoSpaceDE/>
        <w:autoSpaceDN/>
        <w:bidi w:val="0"/>
        <w:adjustRightInd w:val="0"/>
        <w:snapToGrid w:val="0"/>
        <w:spacing w:line="578" w:lineRule="exact"/>
        <w:ind w:firstLine="663" w:firstLineChars="200"/>
        <w:textAlignment w:val="auto"/>
        <w:rPr>
          <w:rFonts w:hint="eastAsia" w:ascii="Times New Roman" w:hAnsi="Times New Roman" w:eastAsia="方正仿宋_GBK" w:cs="Times New Roman"/>
          <w:bCs/>
          <w:color w:val="auto"/>
          <w:sz w:val="33"/>
          <w:szCs w:val="33"/>
          <w:lang w:val="en-US" w:eastAsia="zh-CN"/>
        </w:rPr>
      </w:pPr>
      <w:r>
        <w:rPr>
          <w:rFonts w:hint="default" w:ascii="楷体_GB2312" w:hAnsi="宋体" w:eastAsia="楷体_GB2312" w:cs="Times New Roman"/>
          <w:b/>
          <w:color w:val="auto"/>
          <w:sz w:val="33"/>
          <w:szCs w:val="33"/>
          <w:highlight w:val="none"/>
          <w:u w:val="none"/>
          <w:lang w:val="en-US" w:eastAsia="zh-CN"/>
        </w:rPr>
        <w:t>预算安排及分配管理</w:t>
      </w:r>
      <w:r>
        <w:rPr>
          <w:rFonts w:hint="eastAsia" w:ascii="楷体_GB2312" w:hAnsi="宋体" w:eastAsia="楷体_GB2312" w:cs="Times New Roman"/>
          <w:b/>
          <w:color w:val="auto"/>
          <w:sz w:val="33"/>
          <w:szCs w:val="33"/>
          <w:highlight w:val="none"/>
          <w:u w:val="none"/>
          <w:lang w:val="zh-CN" w:eastAsia="zh-CN"/>
        </w:rPr>
        <w:t>。</w:t>
      </w:r>
      <w:r>
        <w:rPr>
          <w:rFonts w:hint="eastAsia" w:ascii="Times New Roman" w:hAnsi="Times New Roman" w:eastAsia="方正仿宋_GBK" w:cs="Times New Roman"/>
          <w:bCs/>
          <w:color w:val="auto"/>
          <w:sz w:val="33"/>
          <w:szCs w:val="33"/>
          <w:lang w:val="en-US" w:eastAsia="zh-CN"/>
        </w:rPr>
        <w:t>202</w:t>
      </w:r>
      <w:r>
        <w:rPr>
          <w:rFonts w:hint="eastAsia" w:eastAsia="方正仿宋_GBK" w:cs="Times New Roman"/>
          <w:bCs/>
          <w:color w:val="auto"/>
          <w:sz w:val="33"/>
          <w:szCs w:val="33"/>
          <w:lang w:val="en-US" w:eastAsia="zh-CN"/>
        </w:rPr>
        <w:t>4</w:t>
      </w:r>
      <w:r>
        <w:rPr>
          <w:rFonts w:hint="eastAsia" w:ascii="Times New Roman" w:hAnsi="Times New Roman" w:eastAsia="方正仿宋_GBK" w:cs="Times New Roman"/>
          <w:bCs/>
          <w:color w:val="auto"/>
          <w:sz w:val="33"/>
          <w:szCs w:val="33"/>
          <w:lang w:val="en-US" w:eastAsia="zh-CN"/>
        </w:rPr>
        <w:t>年，市、县（市、区）民政负责及时与本级财政部门会商后联合下达</w:t>
      </w:r>
      <w:r>
        <w:rPr>
          <w:rFonts w:hint="eastAsia" w:eastAsia="方正仿宋_GBK" w:cs="Times New Roman"/>
          <w:bCs/>
          <w:color w:val="auto"/>
          <w:sz w:val="33"/>
          <w:szCs w:val="33"/>
          <w:lang w:val="en-US" w:eastAsia="zh-CN"/>
        </w:rPr>
        <w:t>中省</w:t>
      </w:r>
      <w:r>
        <w:rPr>
          <w:rFonts w:hint="eastAsia" w:ascii="Times New Roman" w:hAnsi="Times New Roman" w:eastAsia="方正仿宋_GBK" w:cs="Times New Roman"/>
          <w:bCs/>
          <w:color w:val="auto"/>
          <w:sz w:val="33"/>
          <w:szCs w:val="33"/>
          <w:lang w:val="en-US" w:eastAsia="zh-CN"/>
        </w:rPr>
        <w:t>彩票公益金资金文件，并同步下达区域绩效目标。各项</w:t>
      </w:r>
      <w:r>
        <w:rPr>
          <w:rFonts w:hint="eastAsia" w:eastAsia="方正仿宋_GBK" w:cs="Times New Roman"/>
          <w:bCs/>
          <w:color w:val="auto"/>
          <w:sz w:val="33"/>
          <w:szCs w:val="33"/>
          <w:lang w:val="en-US" w:eastAsia="zh-CN"/>
        </w:rPr>
        <w:t>中省</w:t>
      </w:r>
      <w:r>
        <w:rPr>
          <w:rFonts w:hint="eastAsia" w:ascii="Times New Roman" w:hAnsi="Times New Roman" w:eastAsia="方正仿宋_GBK" w:cs="Times New Roman"/>
          <w:bCs/>
          <w:color w:val="auto"/>
          <w:sz w:val="33"/>
          <w:szCs w:val="33"/>
          <w:lang w:val="en-US" w:eastAsia="zh-CN"/>
        </w:rPr>
        <w:t>彩票公益金</w:t>
      </w:r>
      <w:r>
        <w:rPr>
          <w:rFonts w:hint="eastAsia" w:ascii="Times New Roman" w:hAnsi="Times New Roman" w:eastAsia="方正仿宋_GBK" w:cs="Times New Roman"/>
          <w:bCs/>
          <w:color w:val="auto"/>
          <w:sz w:val="33"/>
          <w:szCs w:val="33"/>
          <w:lang w:val="zh-CN" w:eastAsia="zh-CN"/>
        </w:rPr>
        <w:t>项目设立依据充分，基本上经过事前评估或可行性论证，较符合专项设立的基本规范和程序要求。</w:t>
      </w:r>
      <w:r>
        <w:rPr>
          <w:rFonts w:hint="eastAsia" w:ascii="Times New Roman" w:hAnsi="Times New Roman" w:eastAsia="方正仿宋_GBK" w:cs="Times New Roman"/>
          <w:bCs/>
          <w:color w:val="auto"/>
          <w:sz w:val="33"/>
          <w:szCs w:val="33"/>
          <w:lang w:val="en-US" w:eastAsia="zh-CN"/>
        </w:rPr>
        <w:t>公益金资金在切块基础上，采取因素法、据实法、项目法等进行分配，严格按照《预算法》的规定，</w:t>
      </w:r>
      <w:r>
        <w:rPr>
          <w:rFonts w:hint="eastAsia" w:eastAsia="方正仿宋_GBK" w:cs="Times New Roman"/>
          <w:bCs/>
          <w:color w:val="auto"/>
          <w:sz w:val="33"/>
          <w:szCs w:val="33"/>
          <w:lang w:val="en-US" w:eastAsia="zh-CN"/>
        </w:rPr>
        <w:t>中省</w:t>
      </w:r>
      <w:r>
        <w:rPr>
          <w:rFonts w:hint="eastAsia" w:ascii="Times New Roman" w:hAnsi="Times New Roman" w:eastAsia="方正仿宋_GBK" w:cs="Times New Roman"/>
          <w:bCs/>
          <w:color w:val="auto"/>
          <w:sz w:val="33"/>
          <w:szCs w:val="33"/>
          <w:lang w:val="en-US" w:eastAsia="zh-CN"/>
        </w:rPr>
        <w:t>资金在收文后1个月内分解下达资金计划，确保了彩票公益金预算及时下达。各县（市、区）、园区民政部门承担补助县（市、区）、园区项目资金在本地的分配、使用管理和监督，报告项目实施、资金使用情况、公开信息等职责。直接使用公益金的局机关和直属事业单位等公益金项目具体执行部门，承担公益金项目的预算编写、具体执行、周长管理、配合做好绩效评估和信息公开、制定本单位公益金使用管理制度等职责。共分配下达</w:t>
      </w:r>
      <w:r>
        <w:rPr>
          <w:rFonts w:hint="eastAsia" w:eastAsia="方正仿宋_GBK" w:cs="Times New Roman"/>
          <w:bCs/>
          <w:color w:val="auto"/>
          <w:sz w:val="33"/>
          <w:szCs w:val="33"/>
          <w:lang w:val="en-US" w:eastAsia="zh-CN"/>
        </w:rPr>
        <w:t>2352.70</w:t>
      </w:r>
      <w:r>
        <w:rPr>
          <w:rFonts w:hint="eastAsia" w:ascii="Times New Roman" w:hAnsi="Times New Roman" w:eastAsia="方正仿宋_GBK" w:cs="Times New Roman"/>
          <w:bCs/>
          <w:color w:val="auto"/>
          <w:sz w:val="33"/>
          <w:szCs w:val="33"/>
          <w:lang w:val="en-US" w:eastAsia="zh-CN"/>
        </w:rPr>
        <w:t>万元</w:t>
      </w:r>
      <w:r>
        <w:rPr>
          <w:rFonts w:hint="eastAsia" w:eastAsia="方正仿宋_GBK" w:cs="Times New Roman"/>
          <w:bCs/>
          <w:color w:val="auto"/>
          <w:sz w:val="33"/>
          <w:szCs w:val="33"/>
          <w:lang w:val="en-US" w:eastAsia="zh-CN"/>
        </w:rPr>
        <w:t>，其中：中央财政福利彩票公益金1090.70万元，省级财政福利彩票公益金1262.00万元</w:t>
      </w:r>
      <w:r>
        <w:rPr>
          <w:rFonts w:hint="eastAsia" w:ascii="Times New Roman" w:hAnsi="Times New Roman" w:eastAsia="方正仿宋_GBK" w:cs="Times New Roman"/>
          <w:bCs/>
          <w:color w:val="auto"/>
          <w:sz w:val="33"/>
          <w:szCs w:val="33"/>
          <w:lang w:val="en-US" w:eastAsia="zh-CN"/>
        </w:rPr>
        <w:t>。</w:t>
      </w:r>
    </w:p>
    <w:p w14:paraId="542169CC">
      <w:pPr>
        <w:ind w:firstLine="663" w:firstLineChars="200"/>
        <w:rPr>
          <w:rFonts w:hint="eastAsia" w:ascii="Times New Roman" w:hAnsi="Times New Roman" w:eastAsia="方正仿宋_GBK" w:cs="Times New Roman"/>
          <w:bCs/>
          <w:color w:val="auto"/>
          <w:sz w:val="33"/>
          <w:szCs w:val="33"/>
          <w:lang w:val="zh-CN" w:eastAsia="zh-CN"/>
        </w:rPr>
      </w:pPr>
      <w:r>
        <w:rPr>
          <w:rFonts w:hint="eastAsia" w:ascii="楷体_GB2312" w:hAnsi="宋体" w:eastAsia="楷体_GB2312" w:cs="Times New Roman"/>
          <w:b/>
          <w:color w:val="auto"/>
          <w:sz w:val="33"/>
          <w:szCs w:val="33"/>
          <w:highlight w:val="none"/>
          <w:u w:val="none"/>
          <w:lang w:val="zh-CN" w:eastAsia="zh-CN"/>
        </w:rPr>
        <w:t>（四）项目绩效目标设置。</w:t>
      </w:r>
      <w:r>
        <w:rPr>
          <w:rFonts w:hint="eastAsia" w:ascii="Times New Roman" w:hAnsi="Times New Roman" w:eastAsia="方正仿宋_GBK" w:cs="Times New Roman"/>
          <w:bCs/>
          <w:color w:val="auto"/>
          <w:sz w:val="33"/>
          <w:szCs w:val="33"/>
          <w:lang w:val="en-US" w:eastAsia="zh-CN"/>
        </w:rPr>
        <w:t>202</w:t>
      </w:r>
      <w:r>
        <w:rPr>
          <w:rFonts w:hint="eastAsia" w:eastAsia="方正仿宋_GBK" w:cs="Times New Roman"/>
          <w:bCs/>
          <w:color w:val="auto"/>
          <w:sz w:val="33"/>
          <w:szCs w:val="33"/>
          <w:lang w:val="en-US" w:eastAsia="zh-CN"/>
        </w:rPr>
        <w:t>4</w:t>
      </w:r>
      <w:r>
        <w:rPr>
          <w:rFonts w:hint="eastAsia" w:ascii="Times New Roman" w:hAnsi="Times New Roman" w:eastAsia="方正仿宋_GBK" w:cs="Times New Roman"/>
          <w:bCs/>
          <w:color w:val="auto"/>
          <w:sz w:val="33"/>
          <w:szCs w:val="33"/>
          <w:lang w:val="en-US" w:eastAsia="zh-CN"/>
        </w:rPr>
        <w:t>年，根据预算绩效管理要求，市、县（市、区）民政部门在部门预算编制阶段，对</w:t>
      </w:r>
      <w:r>
        <w:rPr>
          <w:rFonts w:hint="eastAsia" w:eastAsia="方正仿宋_GBK" w:cs="Times New Roman"/>
          <w:bCs/>
          <w:color w:val="auto"/>
          <w:sz w:val="33"/>
          <w:szCs w:val="33"/>
          <w:lang w:val="en-US" w:eastAsia="zh-CN"/>
        </w:rPr>
        <w:t>中省</w:t>
      </w:r>
      <w:r>
        <w:rPr>
          <w:rFonts w:hint="eastAsia" w:ascii="Times New Roman" w:hAnsi="Times New Roman" w:eastAsia="方正仿宋_GBK" w:cs="Times New Roman"/>
          <w:bCs/>
          <w:color w:val="auto"/>
          <w:sz w:val="33"/>
          <w:szCs w:val="33"/>
          <w:lang w:val="en-US" w:eastAsia="zh-CN"/>
        </w:rPr>
        <w:t>福利彩票公益金编制绩效总体目标和分类具体细项绩效指标等。年初制定的绩效目标包括数量、质量、成本、满意率等均通过本级财政部门审核。</w:t>
      </w:r>
    </w:p>
    <w:p w14:paraId="45C373C5">
      <w:pPr>
        <w:ind w:firstLine="660" w:firstLineChars="200"/>
        <w:rPr>
          <w:rFonts w:hint="default" w:ascii="Times New Roman" w:hAnsi="Times New Roman" w:eastAsia="方正仿宋_GBK" w:cs="Times New Roman"/>
          <w:bCs/>
          <w:color w:val="auto"/>
          <w:sz w:val="33"/>
          <w:szCs w:val="33"/>
          <w:lang w:val="en-US" w:eastAsia="zh-CN"/>
        </w:rPr>
      </w:pPr>
      <w:r>
        <w:rPr>
          <w:rFonts w:hint="default" w:ascii="Times New Roman" w:hAnsi="Times New Roman" w:eastAsia="方正仿宋_GBK" w:cs="Times New Roman"/>
          <w:bCs/>
          <w:color w:val="auto"/>
          <w:sz w:val="33"/>
          <w:szCs w:val="33"/>
          <w:lang w:val="en-US" w:eastAsia="zh-CN"/>
        </w:rPr>
        <w:t>1.福利彩票公益金项目使用的绩效目标：</w:t>
      </w:r>
      <w:r>
        <w:rPr>
          <w:rFonts w:hint="eastAsia" w:ascii="Times New Roman" w:hAnsi="Times New Roman" w:eastAsia="方正仿宋_GBK" w:cs="Times New Roman"/>
          <w:bCs/>
          <w:color w:val="auto"/>
          <w:sz w:val="33"/>
          <w:szCs w:val="33"/>
          <w:lang w:val="en-US" w:eastAsia="zh-CN"/>
        </w:rPr>
        <w:t>登记康复对象接受规范精康服务人次数≥5000人次，精神障碍社区康复服务县（市、区）覆盖率≥85%，</w:t>
      </w:r>
      <w:r>
        <w:rPr>
          <w:rFonts w:hint="eastAsia" w:ascii="Times New Roman" w:hAnsi="Times New Roman" w:eastAsia="方正仿宋_GBK" w:cs="Times New Roman"/>
          <w:bCs/>
          <w:color w:val="auto"/>
          <w:sz w:val="33"/>
          <w:szCs w:val="33"/>
          <w:lang w:val="en-US" w:eastAsia="zh-CN"/>
        </w:rPr>
        <w:t>“福彩圆梦·孤儿助学工程”资助孤儿人数≥160人，符合助学条件的孤儿和事实无人抚养儿童认定准确率100%，</w:t>
      </w:r>
      <w:r>
        <w:rPr>
          <w:rFonts w:hint="eastAsia" w:ascii="Times New Roman" w:hAnsi="Times New Roman" w:eastAsia="方正仿宋_GBK" w:cs="Times New Roman"/>
          <w:bCs/>
          <w:color w:val="auto"/>
          <w:sz w:val="33"/>
          <w:szCs w:val="33"/>
          <w:lang w:val="en-US" w:eastAsia="zh-CN"/>
        </w:rPr>
        <w:t>符合助学条件的孤儿和事实无人抚养儿童资助率</w:t>
      </w:r>
      <w:bookmarkStart w:id="1" w:name="_GoBack"/>
      <w:bookmarkEnd w:id="1"/>
      <w:r>
        <w:rPr>
          <w:rFonts w:hint="eastAsia" w:ascii="Times New Roman" w:hAnsi="Times New Roman" w:eastAsia="方正仿宋_GBK" w:cs="Times New Roman"/>
          <w:bCs/>
          <w:color w:val="auto"/>
          <w:sz w:val="33"/>
          <w:szCs w:val="33"/>
          <w:lang w:val="en-US" w:eastAsia="zh-CN"/>
        </w:rPr>
        <w:t>“应救尽救”，</w:t>
      </w:r>
      <w:r>
        <w:rPr>
          <w:rFonts w:hint="eastAsia" w:ascii="Times New Roman" w:hAnsi="Times New Roman" w:eastAsia="方正仿宋_GBK" w:cs="Times New Roman"/>
          <w:bCs/>
          <w:color w:val="auto"/>
          <w:sz w:val="33"/>
          <w:szCs w:val="33"/>
          <w:lang w:val="en-US" w:eastAsia="zh-CN"/>
        </w:rPr>
        <w:t>“孤儿医疗康复明天计划”资助孤儿人数≥10人，护理型床位验收合格率100%，受益残疾人满意度85</w:t>
      </w:r>
      <w:r>
        <w:rPr>
          <w:rFonts w:hint="eastAsia" w:ascii="Times New Roman" w:hAnsi="Times New Roman" w:eastAsia="方正仿宋_GBK" w:cs="Times New Roman"/>
          <w:bCs/>
          <w:color w:val="auto"/>
          <w:sz w:val="33"/>
          <w:szCs w:val="33"/>
          <w:lang w:val="en-US" w:eastAsia="zh-CN"/>
        </w:rPr>
        <w:t>%，接受孤儿助学项目资助的孤儿满意度85</w:t>
      </w:r>
      <w:r>
        <w:rPr>
          <w:rFonts w:hint="eastAsia" w:ascii="Times New Roman" w:hAnsi="Times New Roman" w:eastAsia="方正仿宋_GBK" w:cs="Times New Roman"/>
          <w:bCs/>
          <w:color w:val="auto"/>
          <w:sz w:val="33"/>
          <w:szCs w:val="33"/>
          <w:lang w:val="en-US" w:eastAsia="zh-CN"/>
        </w:rPr>
        <w:t>%，设施设备验收合格率100%，</w:t>
      </w:r>
      <w:r>
        <w:rPr>
          <w:rFonts w:hint="eastAsia" w:ascii="Times New Roman" w:hAnsi="Times New Roman" w:eastAsia="方正仿宋_GBK" w:cs="Times New Roman"/>
          <w:bCs/>
          <w:color w:val="auto"/>
          <w:sz w:val="33"/>
          <w:szCs w:val="33"/>
          <w:lang w:val="en-US" w:eastAsia="zh-CN"/>
        </w:rPr>
        <w:t>精神障碍社区康复服务能力和</w:t>
      </w:r>
      <w:r>
        <w:rPr>
          <w:rFonts w:hint="eastAsia" w:ascii="Times New Roman" w:hAnsi="Times New Roman" w:eastAsia="方正仿宋_GBK" w:cs="Times New Roman"/>
          <w:bCs/>
          <w:color w:val="auto"/>
          <w:sz w:val="33"/>
          <w:szCs w:val="33"/>
          <w:lang w:val="en-US" w:eastAsia="zh-CN"/>
        </w:rPr>
        <w:t>福彩公益金社会影响力显著提升</w:t>
      </w:r>
      <w:r>
        <w:rPr>
          <w:rFonts w:hint="default" w:ascii="Times New Roman" w:hAnsi="Times New Roman" w:eastAsia="方正仿宋_GBK" w:cs="Times New Roman"/>
          <w:bCs/>
          <w:color w:val="auto"/>
          <w:sz w:val="33"/>
          <w:szCs w:val="33"/>
          <w:lang w:val="en-US" w:eastAsia="zh-CN"/>
        </w:rPr>
        <w:t>。</w:t>
      </w:r>
    </w:p>
    <w:p w14:paraId="034A3D2F">
      <w:pPr>
        <w:ind w:firstLine="660" w:firstLineChars="200"/>
        <w:rPr>
          <w:rFonts w:hint="default" w:ascii="Times New Roman" w:hAnsi="Times New Roman" w:eastAsia="方正仿宋_GBK" w:cs="Times New Roman"/>
          <w:bCs/>
          <w:color w:val="auto"/>
          <w:sz w:val="33"/>
          <w:szCs w:val="33"/>
          <w:lang w:val="en-US" w:eastAsia="zh-CN"/>
        </w:rPr>
      </w:pPr>
      <w:r>
        <w:rPr>
          <w:rFonts w:hint="default" w:ascii="Times New Roman" w:hAnsi="Times New Roman" w:eastAsia="方正仿宋_GBK" w:cs="Times New Roman"/>
          <w:bCs/>
          <w:color w:val="auto"/>
          <w:sz w:val="33"/>
          <w:szCs w:val="33"/>
          <w:lang w:val="en-US" w:eastAsia="zh-CN"/>
        </w:rPr>
        <w:t>2.项目自评工作开展情况。根据</w:t>
      </w:r>
      <w:r>
        <w:rPr>
          <w:rFonts w:hint="default" w:ascii="Times New Roman" w:hAnsi="Times New Roman" w:eastAsia="方正仿宋_GBK" w:cs="Times New Roman"/>
          <w:bCs/>
          <w:color w:val="auto"/>
          <w:sz w:val="33"/>
          <w:szCs w:val="33"/>
          <w:lang w:val="zh-CN" w:eastAsia="zh-CN"/>
        </w:rPr>
        <w:t>四川省财政厅关于开展</w:t>
      </w:r>
      <w:r>
        <w:rPr>
          <w:rFonts w:hint="eastAsia" w:eastAsia="方正仿宋_GBK" w:cs="Times New Roman"/>
          <w:bCs/>
          <w:color w:val="auto"/>
          <w:sz w:val="33"/>
          <w:szCs w:val="33"/>
          <w:lang w:val="zh-CN" w:eastAsia="zh-CN"/>
        </w:rPr>
        <w:t>中省</w:t>
      </w:r>
      <w:r>
        <w:rPr>
          <w:rFonts w:hint="default" w:ascii="Times New Roman" w:hAnsi="Times New Roman" w:eastAsia="方正仿宋_GBK" w:cs="Times New Roman"/>
          <w:bCs/>
          <w:color w:val="auto"/>
          <w:sz w:val="33"/>
          <w:szCs w:val="33"/>
          <w:lang w:val="zh-CN" w:eastAsia="zh-CN"/>
        </w:rPr>
        <w:t>部门绩效自评工作的通知</w:t>
      </w:r>
      <w:r>
        <w:rPr>
          <w:rFonts w:hint="eastAsia" w:eastAsia="方正仿宋_GBK" w:cs="Times New Roman"/>
          <w:bCs/>
          <w:color w:val="auto"/>
          <w:sz w:val="33"/>
          <w:szCs w:val="33"/>
          <w:lang w:val="zh-CN" w:eastAsia="zh-CN"/>
        </w:rPr>
        <w:t>精神</w:t>
      </w:r>
      <w:r>
        <w:rPr>
          <w:rFonts w:hint="default" w:ascii="Times New Roman" w:hAnsi="Times New Roman" w:eastAsia="方正仿宋_GBK" w:cs="Times New Roman"/>
          <w:bCs/>
          <w:color w:val="auto"/>
          <w:sz w:val="33"/>
          <w:szCs w:val="33"/>
          <w:lang w:val="en-US" w:eastAsia="zh-CN"/>
        </w:rPr>
        <w:t>，我</w:t>
      </w:r>
      <w:r>
        <w:rPr>
          <w:rFonts w:hint="eastAsia" w:ascii="Times New Roman" w:hAnsi="Times New Roman" w:eastAsia="方正仿宋_GBK" w:cs="Times New Roman"/>
          <w:bCs/>
          <w:color w:val="auto"/>
          <w:sz w:val="33"/>
          <w:szCs w:val="33"/>
          <w:lang w:val="en-US" w:eastAsia="zh-CN"/>
        </w:rPr>
        <w:t>市组织各县市区</w:t>
      </w:r>
      <w:r>
        <w:rPr>
          <w:rFonts w:hint="default" w:ascii="Times New Roman" w:hAnsi="Times New Roman" w:eastAsia="方正仿宋_GBK" w:cs="Times New Roman"/>
          <w:bCs/>
          <w:color w:val="auto"/>
          <w:sz w:val="33"/>
          <w:szCs w:val="33"/>
          <w:lang w:val="en-US" w:eastAsia="zh-CN"/>
        </w:rPr>
        <w:t>积极组织</w:t>
      </w:r>
      <w:r>
        <w:rPr>
          <w:rFonts w:hint="eastAsia" w:ascii="Times New Roman" w:hAnsi="Times New Roman" w:eastAsia="方正仿宋_GBK" w:cs="Times New Roman"/>
          <w:bCs/>
          <w:color w:val="auto"/>
          <w:sz w:val="33"/>
          <w:szCs w:val="33"/>
          <w:lang w:val="en-US" w:eastAsia="zh-CN"/>
        </w:rPr>
        <w:t>开展</w:t>
      </w:r>
      <w:r>
        <w:rPr>
          <w:rFonts w:hint="default" w:ascii="Times New Roman" w:hAnsi="Times New Roman" w:eastAsia="方正仿宋_GBK" w:cs="Times New Roman"/>
          <w:bCs/>
          <w:color w:val="auto"/>
          <w:sz w:val="33"/>
          <w:szCs w:val="33"/>
          <w:lang w:val="en-US" w:eastAsia="zh-CN"/>
        </w:rPr>
        <w:t>对202</w:t>
      </w:r>
      <w:r>
        <w:rPr>
          <w:rFonts w:hint="eastAsia" w:eastAsia="方正仿宋_GBK" w:cs="Times New Roman"/>
          <w:bCs/>
          <w:color w:val="auto"/>
          <w:sz w:val="33"/>
          <w:szCs w:val="33"/>
          <w:lang w:val="en-US" w:eastAsia="zh-CN"/>
        </w:rPr>
        <w:t>4</w:t>
      </w:r>
      <w:r>
        <w:rPr>
          <w:rFonts w:hint="default" w:ascii="Times New Roman" w:hAnsi="Times New Roman" w:eastAsia="方正仿宋_GBK" w:cs="Times New Roman"/>
          <w:bCs/>
          <w:color w:val="auto"/>
          <w:sz w:val="33"/>
          <w:szCs w:val="33"/>
          <w:lang w:val="en-US" w:eastAsia="zh-CN"/>
        </w:rPr>
        <w:t>年</w:t>
      </w:r>
      <w:r>
        <w:rPr>
          <w:rFonts w:hint="eastAsia" w:eastAsia="方正仿宋_GBK" w:cs="Times New Roman"/>
          <w:bCs/>
          <w:color w:val="auto"/>
          <w:sz w:val="33"/>
          <w:szCs w:val="33"/>
          <w:lang w:val="en-US" w:eastAsia="zh-CN"/>
        </w:rPr>
        <w:t>中省</w:t>
      </w:r>
      <w:r>
        <w:rPr>
          <w:rFonts w:hint="default" w:ascii="Times New Roman" w:hAnsi="Times New Roman" w:eastAsia="方正仿宋_GBK" w:cs="Times New Roman"/>
          <w:bCs/>
          <w:color w:val="auto"/>
          <w:sz w:val="33"/>
          <w:szCs w:val="33"/>
          <w:lang w:val="en-US" w:eastAsia="zh-CN"/>
        </w:rPr>
        <w:t>福利彩票公益金项目绩效</w:t>
      </w:r>
      <w:r>
        <w:rPr>
          <w:rFonts w:hint="eastAsia" w:ascii="Times New Roman" w:hAnsi="Times New Roman" w:eastAsia="方正仿宋_GBK" w:cs="Times New Roman"/>
          <w:bCs/>
          <w:color w:val="auto"/>
          <w:sz w:val="33"/>
          <w:szCs w:val="33"/>
          <w:lang w:val="en-US" w:eastAsia="zh-CN"/>
        </w:rPr>
        <w:t>目标</w:t>
      </w:r>
      <w:r>
        <w:rPr>
          <w:rFonts w:hint="default" w:ascii="Times New Roman" w:hAnsi="Times New Roman" w:eastAsia="方正仿宋_GBK" w:cs="Times New Roman"/>
          <w:bCs/>
          <w:color w:val="auto"/>
          <w:sz w:val="33"/>
          <w:szCs w:val="33"/>
          <w:lang w:val="en-US" w:eastAsia="zh-CN"/>
        </w:rPr>
        <w:t>逐项、分指标进行全面系统</w:t>
      </w:r>
      <w:r>
        <w:rPr>
          <w:rFonts w:hint="eastAsia" w:ascii="Times New Roman" w:hAnsi="Times New Roman" w:eastAsia="方正仿宋_GBK" w:cs="Times New Roman"/>
          <w:bCs/>
          <w:color w:val="auto"/>
          <w:sz w:val="33"/>
          <w:szCs w:val="33"/>
          <w:lang w:val="en-US" w:eastAsia="zh-CN"/>
        </w:rPr>
        <w:t>自评</w:t>
      </w:r>
      <w:r>
        <w:rPr>
          <w:rFonts w:hint="default" w:ascii="Times New Roman" w:hAnsi="Times New Roman" w:eastAsia="方正仿宋_GBK" w:cs="Times New Roman"/>
          <w:bCs/>
          <w:color w:val="auto"/>
          <w:sz w:val="33"/>
          <w:szCs w:val="33"/>
          <w:lang w:val="en-US" w:eastAsia="zh-CN"/>
        </w:rPr>
        <w:t>。做到有计划、有安排，扎实开展本次自评工作。</w:t>
      </w:r>
    </w:p>
    <w:p w14:paraId="59810767">
      <w:pPr>
        <w:bidi w:val="0"/>
        <w:ind w:firstLine="663" w:firstLineChars="200"/>
        <w:rPr>
          <w:rFonts w:hint="eastAsia" w:ascii="方正黑体_GBK" w:hAnsi="方正黑体_GBK" w:eastAsia="方正黑体_GBK" w:cs="方正黑体_GBK"/>
          <w:b/>
          <w:bCs/>
          <w:sz w:val="33"/>
          <w:szCs w:val="33"/>
          <w:lang w:val="zh-CN" w:eastAsia="zh-CN"/>
        </w:rPr>
      </w:pPr>
      <w:r>
        <w:rPr>
          <w:rFonts w:hint="eastAsia" w:ascii="方正黑体_GBK" w:hAnsi="方正黑体_GBK" w:eastAsia="方正黑体_GBK" w:cs="方正黑体_GBK"/>
          <w:b/>
          <w:bCs/>
          <w:sz w:val="33"/>
          <w:szCs w:val="33"/>
          <w:lang w:val="zh-CN" w:eastAsia="zh-CN"/>
        </w:rPr>
        <w:t>二、评价实施</w:t>
      </w:r>
    </w:p>
    <w:p w14:paraId="1E56BC2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方正仿宋_GBK" w:cs="Times New Roman"/>
          <w:bCs/>
          <w:color w:val="auto"/>
          <w:sz w:val="33"/>
          <w:szCs w:val="33"/>
          <w:lang w:val="en-US" w:eastAsia="zh-CN"/>
        </w:rPr>
      </w:pPr>
      <w:r>
        <w:rPr>
          <w:rFonts w:hint="eastAsia" w:ascii="楷体_GB2312" w:hAnsi="宋体" w:eastAsia="楷体_GB2312"/>
          <w:b/>
          <w:color w:val="auto"/>
          <w:sz w:val="33"/>
          <w:szCs w:val="33"/>
          <w:highlight w:val="none"/>
          <w:u w:val="none"/>
          <w:lang w:val="zh-CN"/>
        </w:rPr>
        <w:t>（一）评价目的。</w:t>
      </w:r>
      <w:r>
        <w:rPr>
          <w:rFonts w:hint="eastAsia" w:ascii="Times New Roman" w:hAnsi="Times New Roman" w:eastAsia="方正仿宋_GBK" w:cs="Times New Roman"/>
          <w:bCs/>
          <w:color w:val="auto"/>
          <w:sz w:val="33"/>
          <w:szCs w:val="33"/>
          <w:lang w:val="en-US" w:eastAsia="zh-CN"/>
        </w:rPr>
        <w:t>通过项目绩效自评，确保</w:t>
      </w:r>
      <w:r>
        <w:rPr>
          <w:rFonts w:hint="eastAsia" w:ascii="Times New Roman" w:hAnsi="Times New Roman" w:eastAsia="方正仿宋_GBK" w:cs="Times New Roman"/>
          <w:bCs/>
          <w:color w:val="auto"/>
          <w:sz w:val="33"/>
          <w:szCs w:val="33"/>
          <w:lang w:val="zh-CN" w:eastAsia="zh-CN"/>
        </w:rPr>
        <w:t>项目决策程序严密，规划合理，制度完备，项目</w:t>
      </w:r>
      <w:r>
        <w:rPr>
          <w:rFonts w:hint="eastAsia" w:ascii="Times New Roman" w:hAnsi="Times New Roman" w:eastAsia="方正仿宋_GBK" w:cs="Times New Roman"/>
          <w:bCs/>
          <w:color w:val="auto"/>
          <w:sz w:val="33"/>
          <w:szCs w:val="33"/>
          <w:lang w:val="en-US" w:eastAsia="zh-CN"/>
        </w:rPr>
        <w:t>资金分配合理，使用合规，执行有效，确保完成结果较好。通过</w:t>
      </w:r>
      <w:r>
        <w:rPr>
          <w:rFonts w:hint="default" w:ascii="Times New Roman" w:hAnsi="Times New Roman" w:eastAsia="方正仿宋_GBK" w:cs="Times New Roman"/>
          <w:bCs/>
          <w:color w:val="auto"/>
          <w:sz w:val="33"/>
          <w:szCs w:val="33"/>
          <w:lang w:val="en-US" w:eastAsia="zh-CN"/>
        </w:rPr>
        <w:t>绩效指标</w:t>
      </w:r>
      <w:r>
        <w:rPr>
          <w:rFonts w:hint="eastAsia" w:ascii="Times New Roman" w:hAnsi="Times New Roman" w:eastAsia="方正仿宋_GBK" w:cs="Times New Roman"/>
          <w:bCs/>
          <w:color w:val="auto"/>
          <w:sz w:val="33"/>
          <w:szCs w:val="33"/>
          <w:lang w:val="en-US" w:eastAsia="zh-CN"/>
        </w:rPr>
        <w:t>是否</w:t>
      </w:r>
      <w:r>
        <w:rPr>
          <w:rFonts w:hint="default" w:ascii="Times New Roman" w:hAnsi="Times New Roman" w:eastAsia="方正仿宋_GBK" w:cs="Times New Roman"/>
          <w:bCs/>
          <w:color w:val="auto"/>
          <w:sz w:val="33"/>
          <w:szCs w:val="33"/>
          <w:lang w:val="en-US" w:eastAsia="zh-CN"/>
        </w:rPr>
        <w:t>达到预期目标，</w:t>
      </w:r>
      <w:r>
        <w:rPr>
          <w:rFonts w:hint="eastAsia" w:ascii="Times New Roman" w:hAnsi="Times New Roman" w:eastAsia="方正仿宋_GBK" w:cs="Times New Roman"/>
          <w:bCs/>
          <w:color w:val="auto"/>
          <w:sz w:val="33"/>
          <w:szCs w:val="33"/>
          <w:lang w:val="en-US" w:eastAsia="zh-CN"/>
        </w:rPr>
        <w:t>根据绩效自评结果规划来年资金需求情况，切实发挥绩效管理提高财政管理水平和资金使用效益的作用。</w:t>
      </w:r>
    </w:p>
    <w:p w14:paraId="403691E0">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63" w:firstLineChars="200"/>
        <w:textAlignment w:val="auto"/>
        <w:outlineLvl w:val="9"/>
        <w:rPr>
          <w:rFonts w:hint="eastAsia" w:ascii="Times New Roman" w:hAnsi="Times New Roman" w:eastAsia="方正仿宋_GBK" w:cs="Times New Roman"/>
          <w:bCs/>
          <w:color w:val="auto"/>
          <w:sz w:val="33"/>
          <w:szCs w:val="33"/>
          <w:lang w:val="zh-CN" w:eastAsia="zh-CN"/>
        </w:rPr>
      </w:pPr>
      <w:r>
        <w:rPr>
          <w:rFonts w:hint="eastAsia" w:ascii="楷体_GB2312" w:hAnsi="宋体" w:eastAsia="楷体_GB2312"/>
          <w:b/>
          <w:color w:val="auto"/>
          <w:sz w:val="33"/>
          <w:szCs w:val="33"/>
          <w:highlight w:val="none"/>
          <w:u w:val="none"/>
          <w:lang w:val="zh-CN"/>
        </w:rPr>
        <w:t>（二）预设问题及评价重点。</w:t>
      </w:r>
      <w:r>
        <w:rPr>
          <w:rFonts w:hint="eastAsia" w:eastAsia="方正仿宋_GBK" w:cs="Times New Roman"/>
          <w:bCs/>
          <w:color w:val="auto"/>
          <w:sz w:val="33"/>
          <w:szCs w:val="33"/>
          <w:lang w:val="en-US" w:eastAsia="zh-CN"/>
        </w:rPr>
        <w:t>中省</w:t>
      </w:r>
      <w:r>
        <w:rPr>
          <w:rFonts w:hint="eastAsia" w:ascii="Times New Roman" w:hAnsi="Times New Roman" w:eastAsia="方正仿宋_GBK" w:cs="Times New Roman"/>
          <w:bCs/>
          <w:color w:val="auto"/>
          <w:sz w:val="33"/>
          <w:szCs w:val="33"/>
          <w:lang w:val="en-US" w:eastAsia="zh-CN"/>
        </w:rPr>
        <w:t>福利彩票公益金项目绩效评价主要围绕各类项目支出年初制定的绩效目标包括数量、成本和时效等等开展自评</w:t>
      </w:r>
      <w:r>
        <w:rPr>
          <w:rFonts w:hint="eastAsia" w:ascii="Times New Roman" w:hAnsi="Times New Roman" w:eastAsia="方正仿宋_GBK" w:cs="Times New Roman"/>
          <w:bCs/>
          <w:color w:val="auto"/>
          <w:sz w:val="33"/>
          <w:szCs w:val="33"/>
          <w:lang w:val="zh-CN" w:eastAsia="zh-CN"/>
        </w:rPr>
        <w:t>。</w:t>
      </w:r>
      <w:r>
        <w:rPr>
          <w:rFonts w:hint="eastAsia" w:ascii="Times New Roman" w:hAnsi="Times New Roman" w:eastAsia="方正仿宋_GBK" w:cs="Times New Roman"/>
          <w:bCs/>
          <w:color w:val="auto"/>
          <w:sz w:val="33"/>
          <w:szCs w:val="33"/>
          <w:lang w:val="en-US" w:eastAsia="zh-CN"/>
        </w:rPr>
        <w:t>一是资金支出使用方面，严格按照财务管理制度进行管理，不存在截留、滞留、挤占、挪用、套取、虚报、冒领的问题，</w:t>
      </w:r>
      <w:r>
        <w:rPr>
          <w:rFonts w:hint="eastAsia" w:ascii="Times New Roman" w:hAnsi="Times New Roman" w:eastAsia="方正仿宋_GBK" w:cs="Times New Roman"/>
          <w:bCs/>
          <w:color w:val="auto"/>
          <w:sz w:val="33"/>
          <w:szCs w:val="33"/>
          <w:lang w:val="zh-CN" w:eastAsia="zh-CN"/>
        </w:rPr>
        <w:t>资金支付范围、支付标准、支付进度、支付依据等合规合法，</w:t>
      </w:r>
      <w:r>
        <w:rPr>
          <w:rFonts w:hint="eastAsia" w:ascii="Times New Roman" w:hAnsi="Times New Roman" w:eastAsia="方正仿宋_GBK" w:cs="Times New Roman"/>
          <w:bCs/>
          <w:color w:val="auto"/>
          <w:sz w:val="33"/>
          <w:szCs w:val="33"/>
          <w:lang w:val="en-US" w:eastAsia="zh-CN"/>
        </w:rPr>
        <w:t>切实做到专款专用；二是实施效果方面。</w:t>
      </w:r>
    </w:p>
    <w:p w14:paraId="48526A6E">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63" w:firstLineChars="200"/>
        <w:textAlignment w:val="auto"/>
        <w:outlineLvl w:val="9"/>
        <w:rPr>
          <w:rFonts w:hint="default" w:ascii="Times New Roman" w:hAnsi="Times New Roman" w:eastAsia="方正仿宋_GBK" w:cs="Times New Roman"/>
          <w:bCs/>
          <w:color w:val="auto"/>
          <w:sz w:val="33"/>
          <w:szCs w:val="33"/>
          <w:lang w:val="en-US" w:eastAsia="zh-CN"/>
        </w:rPr>
      </w:pPr>
      <w:r>
        <w:rPr>
          <w:rFonts w:hint="eastAsia" w:ascii="楷体_GB2312" w:hAnsi="宋体" w:eastAsia="楷体_GB2312"/>
          <w:b/>
          <w:color w:val="auto"/>
          <w:sz w:val="33"/>
          <w:szCs w:val="33"/>
          <w:highlight w:val="none"/>
          <w:u w:val="none"/>
          <w:lang w:val="zh-CN"/>
        </w:rPr>
        <w:t>（三）评价选点。</w:t>
      </w:r>
      <w:r>
        <w:rPr>
          <w:rFonts w:hint="eastAsia" w:ascii="Times New Roman" w:hAnsi="Times New Roman" w:eastAsia="方正仿宋_GBK" w:cs="Times New Roman"/>
          <w:bCs/>
          <w:color w:val="auto"/>
          <w:sz w:val="33"/>
          <w:szCs w:val="33"/>
          <w:lang w:val="en-US" w:eastAsia="zh-CN"/>
        </w:rPr>
        <w:t>项目资金下达各地后，由市、县（市、区）民政部门按照民政厅规定的资金使用方向和分配原则，结合工作实际，采取因素法、据实法和项目法等方式，提出资金分配方案，报本级财政部门审核后及时下拨资金。</w:t>
      </w:r>
    </w:p>
    <w:p w14:paraId="7E3CB5A2">
      <w:pPr>
        <w:keepNext w:val="0"/>
        <w:keepLines w:val="0"/>
        <w:pageBreakBefore w:val="0"/>
        <w:widowControl w:val="0"/>
        <w:kinsoku/>
        <w:wordWrap/>
        <w:overflowPunct w:val="0"/>
        <w:topLinePunct w:val="0"/>
        <w:autoSpaceDE/>
        <w:autoSpaceDN/>
        <w:bidi w:val="0"/>
        <w:adjustRightInd w:val="0"/>
        <w:snapToGrid w:val="0"/>
        <w:spacing w:line="590" w:lineRule="exact"/>
        <w:ind w:firstLine="663" w:firstLineChars="200"/>
        <w:jc w:val="both"/>
        <w:textAlignment w:val="auto"/>
        <w:rPr>
          <w:rFonts w:hint="default" w:ascii="Times New Roman" w:hAnsi="Times New Roman" w:eastAsia="方正仿宋_GBK" w:cs="Times New Roman"/>
          <w:bCs/>
          <w:color w:val="auto"/>
          <w:sz w:val="33"/>
          <w:szCs w:val="33"/>
          <w:lang w:val="en-US" w:eastAsia="zh-CN"/>
        </w:rPr>
      </w:pPr>
      <w:r>
        <w:rPr>
          <w:rFonts w:hint="eastAsia" w:ascii="楷体_GB2312" w:hAnsi="宋体" w:eastAsia="楷体_GB2312"/>
          <w:b/>
          <w:color w:val="auto"/>
          <w:sz w:val="33"/>
          <w:szCs w:val="33"/>
          <w:highlight w:val="none"/>
          <w:u w:val="none"/>
          <w:lang w:val="zh-CN"/>
        </w:rPr>
        <w:t>（四）评价方法。</w:t>
      </w:r>
      <w:r>
        <w:rPr>
          <w:rFonts w:hint="eastAsia" w:ascii="Times New Roman" w:hAnsi="Times New Roman" w:eastAsia="方正仿宋_GBK" w:cs="Times New Roman"/>
          <w:bCs/>
          <w:color w:val="auto"/>
          <w:sz w:val="33"/>
          <w:szCs w:val="33"/>
          <w:lang w:val="en-US" w:eastAsia="zh-CN"/>
        </w:rPr>
        <w:t>202</w:t>
      </w:r>
      <w:r>
        <w:rPr>
          <w:rFonts w:hint="eastAsia" w:eastAsia="方正仿宋_GBK" w:cs="Times New Roman"/>
          <w:bCs/>
          <w:color w:val="auto"/>
          <w:sz w:val="33"/>
          <w:szCs w:val="33"/>
          <w:lang w:val="en-US" w:eastAsia="zh-CN"/>
        </w:rPr>
        <w:t>4</w:t>
      </w:r>
      <w:r>
        <w:rPr>
          <w:rFonts w:hint="eastAsia" w:ascii="Times New Roman" w:hAnsi="Times New Roman" w:eastAsia="方正仿宋_GBK" w:cs="Times New Roman"/>
          <w:bCs/>
          <w:color w:val="auto"/>
          <w:sz w:val="33"/>
          <w:szCs w:val="33"/>
          <w:lang w:val="en-US" w:eastAsia="zh-CN"/>
        </w:rPr>
        <w:t>年，市、县民政部门建立健全了补助市、县（市、区）民政项目资金使用的绩效评价和督查制度。采取县区市先自评，</w:t>
      </w:r>
      <w:r>
        <w:rPr>
          <w:rFonts w:hint="default" w:ascii="Times New Roman" w:hAnsi="Times New Roman" w:eastAsia="方正仿宋_GBK" w:cs="Times New Roman"/>
          <w:bCs/>
          <w:color w:val="auto"/>
          <w:sz w:val="33"/>
          <w:szCs w:val="33"/>
          <w:lang w:val="en-US" w:eastAsia="zh-CN"/>
        </w:rPr>
        <w:t>组织有关人员对202</w:t>
      </w:r>
      <w:r>
        <w:rPr>
          <w:rFonts w:hint="eastAsia" w:eastAsia="方正仿宋_GBK" w:cs="Times New Roman"/>
          <w:bCs/>
          <w:color w:val="auto"/>
          <w:sz w:val="33"/>
          <w:szCs w:val="33"/>
          <w:lang w:val="en-US" w:eastAsia="zh-CN"/>
        </w:rPr>
        <w:t>4</w:t>
      </w:r>
      <w:r>
        <w:rPr>
          <w:rFonts w:hint="default" w:ascii="Times New Roman" w:hAnsi="Times New Roman" w:eastAsia="方正仿宋_GBK" w:cs="Times New Roman"/>
          <w:bCs/>
          <w:color w:val="auto"/>
          <w:sz w:val="33"/>
          <w:szCs w:val="33"/>
          <w:lang w:val="en-US" w:eastAsia="zh-CN"/>
        </w:rPr>
        <w:t>年</w:t>
      </w:r>
      <w:r>
        <w:rPr>
          <w:rFonts w:hint="eastAsia" w:eastAsia="方正仿宋_GBK" w:cs="Times New Roman"/>
          <w:bCs/>
          <w:color w:val="auto"/>
          <w:sz w:val="33"/>
          <w:szCs w:val="33"/>
          <w:lang w:val="en-US" w:eastAsia="zh-CN"/>
        </w:rPr>
        <w:t>中</w:t>
      </w:r>
      <w:r>
        <w:rPr>
          <w:rFonts w:hint="default" w:ascii="Times New Roman" w:hAnsi="Times New Roman" w:eastAsia="方正仿宋_GBK" w:cs="Times New Roman"/>
          <w:bCs/>
          <w:color w:val="auto"/>
          <w:sz w:val="33"/>
          <w:szCs w:val="33"/>
          <w:lang w:val="en-US" w:eastAsia="zh-CN"/>
        </w:rPr>
        <w:t>省福利彩票公益金项目绩效逐项、分指标进行全面系统自查和评价。</w:t>
      </w:r>
      <w:r>
        <w:rPr>
          <w:rFonts w:hint="eastAsia" w:ascii="Times New Roman" w:hAnsi="Times New Roman" w:eastAsia="方正仿宋_GBK" w:cs="Times New Roman"/>
          <w:bCs/>
          <w:color w:val="auto"/>
          <w:sz w:val="33"/>
          <w:szCs w:val="33"/>
          <w:lang w:val="en-US" w:eastAsia="zh-CN"/>
        </w:rPr>
        <w:t>同时，</w:t>
      </w:r>
      <w:r>
        <w:rPr>
          <w:rFonts w:hint="default" w:ascii="Times New Roman" w:hAnsi="Times New Roman" w:eastAsia="方正仿宋_GBK" w:cs="Times New Roman"/>
          <w:bCs/>
          <w:color w:val="auto"/>
          <w:sz w:val="33"/>
          <w:szCs w:val="33"/>
          <w:lang w:val="en-US" w:eastAsia="zh-CN"/>
        </w:rPr>
        <w:t>采用实地勘察法，对项目涉及的点位进行实地走访调研勘察，更直观地了解项目的具体实施情况和实施效果。</w:t>
      </w:r>
    </w:p>
    <w:p w14:paraId="049B106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方正仿宋_GBK" w:cs="Times New Roman"/>
          <w:bCs/>
          <w:color w:val="auto"/>
          <w:sz w:val="33"/>
          <w:szCs w:val="33"/>
          <w:lang w:val="en-US" w:eastAsia="zh-CN"/>
        </w:rPr>
      </w:pPr>
      <w:r>
        <w:rPr>
          <w:rFonts w:hint="eastAsia" w:ascii="楷体_GB2312" w:hAnsi="宋体" w:eastAsia="楷体_GB2312"/>
          <w:b/>
          <w:color w:val="auto"/>
          <w:sz w:val="33"/>
          <w:szCs w:val="33"/>
          <w:highlight w:val="none"/>
          <w:u w:val="none"/>
          <w:lang w:val="zh-CN"/>
        </w:rPr>
        <w:t>（五）评价组织。</w:t>
      </w:r>
      <w:r>
        <w:rPr>
          <w:rFonts w:hint="eastAsia" w:ascii="Times New Roman" w:hAnsi="Times New Roman" w:eastAsia="方正仿宋_GBK" w:cs="Times New Roman"/>
          <w:bCs/>
          <w:color w:val="auto"/>
          <w:sz w:val="33"/>
          <w:szCs w:val="33"/>
          <w:lang w:val="en-US" w:eastAsia="zh-CN"/>
        </w:rPr>
        <w:t>年终执行完毕后，根据市、县（市、区）财政部门下发文件规定的绩效评价体系指标、评价方法，由民政业务部门针对申报内容、实施情况、资金兑现、财务管理等先做出自我评价，认真听取建议，做好总结工作。再由民政财务部门审核汇总，对全年开展的绩效目标完成情况进行梳理，形成上年度</w:t>
      </w:r>
      <w:r>
        <w:rPr>
          <w:rFonts w:hint="eastAsia" w:eastAsia="方正仿宋_GBK" w:cs="Times New Roman"/>
          <w:bCs/>
          <w:color w:val="auto"/>
          <w:sz w:val="33"/>
          <w:szCs w:val="33"/>
          <w:lang w:val="en-US" w:eastAsia="zh-CN"/>
        </w:rPr>
        <w:t>中</w:t>
      </w:r>
      <w:r>
        <w:rPr>
          <w:rFonts w:hint="eastAsia" w:ascii="Times New Roman" w:hAnsi="Times New Roman" w:eastAsia="方正仿宋_GBK" w:cs="Times New Roman"/>
          <w:bCs/>
          <w:color w:val="auto"/>
          <w:sz w:val="33"/>
          <w:szCs w:val="33"/>
          <w:lang w:val="en-US" w:eastAsia="zh-CN"/>
        </w:rPr>
        <w:t>省福利彩票公益金项目支出绩效自评报告。</w:t>
      </w:r>
    </w:p>
    <w:p w14:paraId="02161B34">
      <w:pPr>
        <w:bidi w:val="0"/>
        <w:ind w:firstLine="663" w:firstLineChars="200"/>
        <w:rPr>
          <w:rFonts w:hint="eastAsia" w:ascii="方正黑体_GBK" w:hAnsi="方正黑体_GBK" w:eastAsia="方正黑体_GBK" w:cs="方正黑体_GBK"/>
          <w:sz w:val="33"/>
          <w:szCs w:val="33"/>
          <w:lang w:val="zh-CN" w:eastAsia="zh-CN"/>
        </w:rPr>
      </w:pPr>
      <w:r>
        <w:rPr>
          <w:rFonts w:hint="eastAsia" w:ascii="方正黑体_GBK" w:hAnsi="方正黑体_GBK" w:eastAsia="方正黑体_GBK" w:cs="方正黑体_GBK"/>
          <w:b/>
          <w:bCs/>
          <w:sz w:val="33"/>
          <w:szCs w:val="33"/>
          <w:lang w:val="zh-CN" w:eastAsia="zh-CN"/>
        </w:rPr>
        <w:t>三、绩效分析</w:t>
      </w:r>
      <w:r>
        <w:rPr>
          <w:rFonts w:hint="eastAsia" w:ascii="方正黑体_GBK" w:hAnsi="方正黑体_GBK" w:eastAsia="方正黑体_GBK" w:cs="方正黑体_GBK"/>
          <w:sz w:val="33"/>
          <w:szCs w:val="33"/>
          <w:lang w:val="zh-CN" w:eastAsia="zh-CN"/>
        </w:rPr>
        <w:tab/>
      </w:r>
    </w:p>
    <w:p w14:paraId="37F8C93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3"/>
          <w:szCs w:val="33"/>
          <w:highlight w:val="none"/>
          <w:u w:val="none"/>
          <w:lang w:val="en-US" w:eastAsia="zh-CN"/>
        </w:rPr>
      </w:pPr>
      <w:r>
        <w:rPr>
          <w:rFonts w:hint="eastAsia" w:ascii="楷体_GB2312" w:hAnsi="宋体" w:eastAsia="楷体_GB2312" w:cs="Times New Roman"/>
          <w:b/>
          <w:color w:val="auto"/>
          <w:sz w:val="33"/>
          <w:szCs w:val="33"/>
          <w:highlight w:val="none"/>
          <w:u w:val="none"/>
          <w:lang w:val="zh-CN"/>
        </w:rPr>
        <w:t>（一）</w:t>
      </w:r>
      <w:r>
        <w:rPr>
          <w:rFonts w:hint="eastAsia" w:ascii="楷体_GB2312" w:hAnsi="宋体" w:eastAsia="楷体_GB2312" w:cs="Times New Roman"/>
          <w:b/>
          <w:color w:val="auto"/>
          <w:sz w:val="33"/>
          <w:szCs w:val="33"/>
          <w:highlight w:val="none"/>
          <w:u w:val="none"/>
          <w:lang w:val="en-US" w:eastAsia="zh-CN"/>
        </w:rPr>
        <w:t>通用指标</w:t>
      </w:r>
      <w:r>
        <w:rPr>
          <w:rFonts w:hint="default" w:ascii="Times New Roman" w:hAnsi="Times New Roman" w:eastAsia="楷体_GB2312" w:cs="Times New Roman"/>
          <w:b/>
          <w:bCs/>
          <w:color w:val="000000"/>
          <w:kern w:val="0"/>
          <w:sz w:val="33"/>
          <w:szCs w:val="33"/>
          <w:highlight w:val="none"/>
          <w:shd w:val="clear" w:color="auto" w:fill="FFFFFF"/>
          <w:lang w:val="zh-CN"/>
        </w:rPr>
        <w:t>绩效分析。</w:t>
      </w:r>
    </w:p>
    <w:p w14:paraId="78CD24B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方正仿宋_GBK" w:cs="Times New Roman"/>
          <w:bCs/>
          <w:color w:val="auto"/>
          <w:sz w:val="33"/>
          <w:szCs w:val="33"/>
          <w:lang w:val="en-US" w:eastAsia="zh-CN"/>
        </w:rPr>
      </w:pPr>
      <w:r>
        <w:rPr>
          <w:rFonts w:hint="eastAsia" w:ascii="楷体_GB2312" w:hAnsi="楷体_GB2312" w:eastAsia="楷体_GB2312" w:cs="楷体_GB2312"/>
          <w:color w:val="auto"/>
          <w:sz w:val="33"/>
          <w:szCs w:val="33"/>
          <w:lang w:val="en-US" w:eastAsia="zh-CN"/>
        </w:rPr>
        <w:t>1.</w:t>
      </w:r>
      <w:r>
        <w:rPr>
          <w:rFonts w:hint="eastAsia" w:ascii="楷体_GB2312" w:hAnsi="楷体_GB2312" w:eastAsia="楷体_GB2312" w:cs="楷体_GB2312"/>
          <w:color w:val="auto"/>
          <w:sz w:val="33"/>
          <w:szCs w:val="33"/>
          <w:lang w:eastAsia="zh-CN"/>
        </w:rPr>
        <w:t>项目决策。</w:t>
      </w:r>
      <w:r>
        <w:rPr>
          <w:rFonts w:hint="eastAsia" w:ascii="Times New Roman" w:hAnsi="Times New Roman" w:eastAsia="方正仿宋_GBK" w:cs="Times New Roman"/>
          <w:bCs/>
          <w:color w:val="auto"/>
          <w:sz w:val="33"/>
          <w:szCs w:val="33"/>
          <w:lang w:val="en-US" w:eastAsia="zh-CN"/>
        </w:rPr>
        <w:t>市、县（市、区）民政部门业务按照本业务领域政策需求，指导项目单位开展立项、项目认证和报送项目预算申报材料并对申报项目进行初评。业务部门对项目单位提交的申报材料进行审核后送规划财务部门，规划财务部门形成分配建议方案按程序送本级财政部门审批。项目资金下达各地后，由市、县（市、区）民政部门按照民政厅规定的资金使用方向和分配原则，结合工作实际，采取因素法、据实法和项目法等方式，提出资金分配方案，报本级财政部门审核后及时下拨资金。</w:t>
      </w:r>
    </w:p>
    <w:p w14:paraId="5B862126">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Times New Roman" w:hAnsi="Times New Roman" w:eastAsia="方正仿宋_GBK" w:cs="Times New Roman"/>
          <w:bCs/>
          <w:color w:val="auto"/>
          <w:sz w:val="33"/>
          <w:szCs w:val="33"/>
          <w:lang w:val="zh-CN" w:eastAsia="zh-CN"/>
        </w:rPr>
      </w:pPr>
      <w:r>
        <w:rPr>
          <w:rFonts w:hint="eastAsia" w:ascii="楷体_GB2312" w:hAnsi="楷体_GB2312" w:eastAsia="楷体_GB2312" w:cs="楷体_GB2312"/>
          <w:color w:val="auto"/>
          <w:sz w:val="33"/>
          <w:szCs w:val="33"/>
          <w:lang w:val="en-US" w:eastAsia="zh-CN"/>
        </w:rPr>
        <w:t>2.</w:t>
      </w:r>
      <w:r>
        <w:rPr>
          <w:rFonts w:hint="eastAsia" w:ascii="楷体_GB2312" w:hAnsi="楷体_GB2312" w:eastAsia="楷体_GB2312" w:cs="楷体_GB2312"/>
          <w:color w:val="auto"/>
          <w:sz w:val="33"/>
          <w:szCs w:val="33"/>
          <w:lang w:eastAsia="zh-CN"/>
        </w:rPr>
        <w:t>项目管理。</w:t>
      </w:r>
      <w:r>
        <w:rPr>
          <w:rFonts w:hint="eastAsia" w:ascii="Times New Roman" w:hAnsi="Times New Roman" w:eastAsia="方正仿宋_GBK" w:cs="Times New Roman"/>
          <w:bCs/>
          <w:color w:val="auto"/>
          <w:sz w:val="33"/>
          <w:szCs w:val="33"/>
          <w:lang w:val="en-US" w:eastAsia="zh-CN"/>
        </w:rPr>
        <w:t>项目预算执行实行项目负责人负责制，项目单位负责人对所项目资金的使用和效益负责。</w:t>
      </w:r>
      <w:r>
        <w:rPr>
          <w:rFonts w:hint="eastAsia" w:ascii="Times New Roman" w:hAnsi="Times New Roman" w:eastAsia="方正仿宋_GBK" w:cs="Times New Roman"/>
          <w:bCs/>
          <w:color w:val="auto"/>
          <w:sz w:val="33"/>
          <w:szCs w:val="33"/>
          <w:lang w:val="zh-CN" w:eastAsia="zh-CN"/>
        </w:rPr>
        <w:t>预算下达后，项目单位坚持做到专户管理、专款专用，并按照批复的预算执行。认真督查并抓好项目进度，严格按照国家行业标准进行实施和验收，认真做好项目的报建审批、工程招标、项目实施、审核验收等各项工作，确保项目完成质量。总体上看，</w:t>
      </w:r>
      <w:r>
        <w:rPr>
          <w:rFonts w:hint="eastAsia" w:ascii="Times New Roman" w:hAnsi="Times New Roman" w:eastAsia="方正仿宋_GBK" w:cs="Times New Roman"/>
          <w:bCs/>
          <w:color w:val="auto"/>
          <w:sz w:val="33"/>
          <w:szCs w:val="33"/>
          <w:lang w:val="en-US" w:eastAsia="zh-CN"/>
        </w:rPr>
        <w:t>市、县（市、区）</w:t>
      </w:r>
      <w:r>
        <w:rPr>
          <w:rFonts w:hint="eastAsia" w:ascii="Times New Roman" w:hAnsi="Times New Roman" w:eastAsia="方正仿宋_GBK" w:cs="Times New Roman"/>
          <w:bCs/>
          <w:color w:val="auto"/>
          <w:sz w:val="33"/>
          <w:szCs w:val="33"/>
          <w:lang w:val="zh-CN" w:eastAsia="zh-CN"/>
        </w:rPr>
        <w:t>的各项目实施单位基本上能够执行相关法律法规及项目管理制度等情况，如招投标、政府采购、项目公示制等相关规定。</w:t>
      </w:r>
    </w:p>
    <w:p w14:paraId="50CF0135">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60" w:firstLineChars="200"/>
        <w:jc w:val="both"/>
        <w:textAlignment w:val="auto"/>
        <w:rPr>
          <w:rFonts w:hint="eastAsia" w:ascii="Times New Roman" w:hAnsi="Times New Roman" w:eastAsia="方正仿宋_GBK" w:cs="Times New Roman"/>
          <w:bCs/>
          <w:color w:val="auto"/>
          <w:sz w:val="33"/>
          <w:szCs w:val="33"/>
          <w:lang w:val="en-US" w:eastAsia="zh-CN"/>
        </w:rPr>
      </w:pPr>
      <w:r>
        <w:rPr>
          <w:rFonts w:hint="eastAsia" w:ascii="楷体_GB2312" w:hAnsi="楷体_GB2312" w:eastAsia="楷体_GB2312" w:cs="楷体_GB2312"/>
          <w:color w:val="auto"/>
          <w:sz w:val="33"/>
          <w:szCs w:val="33"/>
          <w:lang w:val="en-US" w:eastAsia="zh-CN"/>
        </w:rPr>
        <w:t>3.项目实施。</w:t>
      </w:r>
      <w:r>
        <w:rPr>
          <w:rFonts w:hint="eastAsia" w:ascii="Times New Roman" w:hAnsi="Times New Roman" w:eastAsia="方正仿宋_GBK" w:cs="Times New Roman"/>
          <w:bCs/>
          <w:color w:val="auto"/>
          <w:sz w:val="33"/>
          <w:szCs w:val="33"/>
          <w:lang w:val="en-US" w:eastAsia="zh-CN"/>
        </w:rPr>
        <w:t>2024年，市、县（市、区）民政部门中省福利彩票公益金实际下达1660.70万元。其中：按项目法分配：岳池县</w:t>
      </w:r>
      <w:r>
        <w:rPr>
          <w:rFonts w:hint="eastAsia" w:eastAsia="方正仿宋_GBK" w:cs="Times New Roman"/>
          <w:bCs/>
          <w:color w:val="auto"/>
          <w:sz w:val="33"/>
          <w:szCs w:val="33"/>
          <w:lang w:val="en-US" w:eastAsia="zh-CN"/>
        </w:rPr>
        <w:t>314</w:t>
      </w:r>
      <w:r>
        <w:rPr>
          <w:rFonts w:hint="eastAsia" w:ascii="Times New Roman" w:hAnsi="Times New Roman" w:eastAsia="方正仿宋_GBK" w:cs="Times New Roman"/>
          <w:bCs/>
          <w:color w:val="auto"/>
          <w:sz w:val="33"/>
          <w:szCs w:val="33"/>
          <w:lang w:val="en-US" w:eastAsia="zh-CN"/>
        </w:rPr>
        <w:t>万元，武胜县</w:t>
      </w:r>
      <w:r>
        <w:rPr>
          <w:rFonts w:hint="eastAsia" w:eastAsia="方正仿宋_GBK" w:cs="Times New Roman"/>
          <w:bCs/>
          <w:color w:val="auto"/>
          <w:sz w:val="33"/>
          <w:szCs w:val="33"/>
          <w:lang w:val="en-US" w:eastAsia="zh-CN"/>
        </w:rPr>
        <w:t>441.20</w:t>
      </w:r>
      <w:r>
        <w:rPr>
          <w:rFonts w:hint="eastAsia" w:ascii="Times New Roman" w:hAnsi="Times New Roman" w:eastAsia="方正仿宋_GBK" w:cs="Times New Roman"/>
          <w:bCs/>
          <w:color w:val="auto"/>
          <w:sz w:val="33"/>
          <w:szCs w:val="33"/>
          <w:lang w:val="en-US" w:eastAsia="zh-CN"/>
        </w:rPr>
        <w:t>万元，邻水县</w:t>
      </w:r>
      <w:r>
        <w:rPr>
          <w:rFonts w:hint="eastAsia" w:eastAsia="方正仿宋_GBK" w:cs="Times New Roman"/>
          <w:bCs/>
          <w:color w:val="auto"/>
          <w:sz w:val="33"/>
          <w:szCs w:val="33"/>
          <w:lang w:val="en-US" w:eastAsia="zh-CN"/>
        </w:rPr>
        <w:t>335</w:t>
      </w:r>
      <w:r>
        <w:rPr>
          <w:rFonts w:hint="eastAsia" w:ascii="Times New Roman" w:hAnsi="Times New Roman" w:eastAsia="方正仿宋_GBK" w:cs="Times New Roman"/>
          <w:bCs/>
          <w:color w:val="auto"/>
          <w:sz w:val="33"/>
          <w:szCs w:val="33"/>
          <w:lang w:val="en-US" w:eastAsia="zh-CN"/>
        </w:rPr>
        <w:t>万元，华蓥市</w:t>
      </w:r>
      <w:r>
        <w:rPr>
          <w:rFonts w:hint="eastAsia" w:eastAsia="方正仿宋_GBK" w:cs="Times New Roman"/>
          <w:bCs/>
          <w:color w:val="auto"/>
          <w:sz w:val="33"/>
          <w:szCs w:val="33"/>
          <w:lang w:val="en-US" w:eastAsia="zh-CN"/>
        </w:rPr>
        <w:t>393</w:t>
      </w:r>
      <w:r>
        <w:rPr>
          <w:rFonts w:hint="eastAsia" w:ascii="Times New Roman" w:hAnsi="Times New Roman" w:eastAsia="方正仿宋_GBK" w:cs="Times New Roman"/>
          <w:bCs/>
          <w:color w:val="auto"/>
          <w:sz w:val="33"/>
          <w:szCs w:val="33"/>
          <w:lang w:val="en-US" w:eastAsia="zh-CN"/>
        </w:rPr>
        <w:t>万元，市本级及两区、经开区</w:t>
      </w:r>
      <w:r>
        <w:rPr>
          <w:rFonts w:hint="eastAsia" w:eastAsia="方正仿宋_GBK" w:cs="Times New Roman"/>
          <w:bCs/>
          <w:color w:val="auto"/>
          <w:sz w:val="33"/>
          <w:szCs w:val="33"/>
          <w:lang w:val="en-US" w:eastAsia="zh-CN"/>
        </w:rPr>
        <w:t>869.50</w:t>
      </w:r>
      <w:r>
        <w:rPr>
          <w:rFonts w:hint="eastAsia" w:ascii="Times New Roman" w:hAnsi="Times New Roman" w:eastAsia="方正仿宋_GBK" w:cs="Times New Roman"/>
          <w:bCs/>
          <w:color w:val="auto"/>
          <w:sz w:val="33"/>
          <w:szCs w:val="33"/>
          <w:lang w:val="en-US" w:eastAsia="zh-CN"/>
        </w:rPr>
        <w:t>万元。</w:t>
      </w:r>
      <w:r>
        <w:rPr>
          <w:rFonts w:hint="eastAsia" w:ascii="Times New Roman" w:hAnsi="Times New Roman" w:eastAsia="方正仿宋_GBK" w:cs="Times New Roman"/>
          <w:bCs/>
          <w:color w:val="auto"/>
          <w:sz w:val="33"/>
          <w:szCs w:val="33"/>
          <w:lang w:val="zh-CN" w:eastAsia="zh-CN"/>
        </w:rPr>
        <w:t>资金支付范围、支付标准、支付进度、支付依据等基本合规，注重资金使用的安全性、规范性及有效性，</w:t>
      </w:r>
      <w:r>
        <w:rPr>
          <w:rFonts w:hint="eastAsia" w:ascii="Times New Roman" w:hAnsi="Times New Roman" w:eastAsia="方正仿宋_GBK" w:cs="Times New Roman"/>
          <w:bCs/>
          <w:color w:val="auto"/>
          <w:sz w:val="33"/>
          <w:szCs w:val="33"/>
          <w:lang w:val="en-US" w:eastAsia="zh-CN"/>
        </w:rPr>
        <w:t>决算执行数与预算调整数一致。项目实施遵守相关法律法规；项目资料齐全并及时归档。</w:t>
      </w:r>
    </w:p>
    <w:p w14:paraId="79BCCCDC">
      <w:pPr>
        <w:keepNext w:val="0"/>
        <w:keepLines w:val="0"/>
        <w:pageBreakBefore w:val="0"/>
        <w:widowControl w:val="0"/>
        <w:kinsoku/>
        <w:wordWrap/>
        <w:overflowPunct/>
        <w:topLinePunct w:val="0"/>
        <w:autoSpaceDE/>
        <w:autoSpaceDN/>
        <w:bidi w:val="0"/>
        <w:adjustRightInd/>
        <w:snapToGrid/>
        <w:spacing w:line="578" w:lineRule="exact"/>
        <w:ind w:firstLine="660" w:firstLineChars="200"/>
        <w:textAlignment w:val="auto"/>
        <w:outlineLvl w:val="9"/>
        <w:rPr>
          <w:rFonts w:hint="eastAsia" w:ascii="Times New Roman" w:hAnsi="Times New Roman" w:eastAsia="方正仿宋_GBK" w:cs="Times New Roman"/>
          <w:bCs/>
          <w:color w:val="auto"/>
          <w:sz w:val="33"/>
          <w:szCs w:val="33"/>
          <w:highlight w:val="none"/>
          <w:lang w:val="zh-CN" w:eastAsia="zh-CN"/>
        </w:rPr>
      </w:pPr>
      <w:r>
        <w:rPr>
          <w:rFonts w:hint="eastAsia" w:ascii="楷体_GB2312" w:hAnsi="楷体_GB2312" w:eastAsia="楷体_GB2312" w:cs="楷体_GB2312"/>
          <w:color w:val="auto"/>
          <w:sz w:val="33"/>
          <w:szCs w:val="33"/>
          <w:highlight w:val="none"/>
          <w:lang w:val="en-US" w:eastAsia="zh-CN"/>
        </w:rPr>
        <w:t>4.项目结果。</w:t>
      </w:r>
      <w:r>
        <w:rPr>
          <w:rFonts w:hint="eastAsia" w:ascii="Times New Roman" w:hAnsi="Times New Roman" w:eastAsia="方正仿宋_GBK" w:cs="Times New Roman"/>
          <w:bCs/>
          <w:color w:val="auto"/>
          <w:sz w:val="33"/>
          <w:szCs w:val="33"/>
          <w:highlight w:val="none"/>
          <w:lang w:val="en-US" w:eastAsia="zh-CN"/>
        </w:rPr>
        <w:t>2024</w:t>
      </w:r>
      <w:r>
        <w:rPr>
          <w:rFonts w:hint="eastAsia" w:ascii="Times New Roman" w:hAnsi="Times New Roman" w:eastAsia="方正仿宋_GBK" w:cs="Times New Roman"/>
          <w:bCs/>
          <w:color w:val="auto"/>
          <w:sz w:val="33"/>
          <w:szCs w:val="33"/>
          <w:highlight w:val="none"/>
          <w:lang w:val="en-US" w:eastAsia="zh-CN"/>
        </w:rPr>
        <w:t>年，广安市、县（市、区）中省</w:t>
      </w:r>
      <w:r>
        <w:rPr>
          <w:rFonts w:hint="eastAsia" w:ascii="Times New Roman" w:hAnsi="Times New Roman" w:eastAsia="方正仿宋_GBK" w:cs="Times New Roman"/>
          <w:bCs/>
          <w:color w:val="auto"/>
          <w:sz w:val="33"/>
          <w:szCs w:val="33"/>
          <w:highlight w:val="none"/>
          <w:lang w:val="en-US" w:eastAsia="zh-CN"/>
        </w:rPr>
        <w:t>福利彩票公益金项目总支出和各支出分项控制未超过定额标准目标实现。</w:t>
      </w:r>
      <w:r>
        <w:rPr>
          <w:rFonts w:hint="eastAsia" w:ascii="Times New Roman" w:hAnsi="Times New Roman" w:eastAsia="方正仿宋_GBK" w:cs="Times New Roman"/>
          <w:bCs/>
          <w:color w:val="auto"/>
          <w:sz w:val="33"/>
          <w:szCs w:val="33"/>
          <w:highlight w:val="none"/>
          <w:lang w:val="zh-CN" w:eastAsia="zh-CN"/>
        </w:rPr>
        <w:t>支持以服务生活困难和失能失智老年人为主的农村特困人员供养服务设施改造，对有区位优势、服务基础的存量农村养老服务机构进行护理能力提档升级，支持发展精神障碍社区康复服务、困难残疾人公益性康复辅助器具配置服务，促进残疾人福利服务发展，</w:t>
      </w:r>
      <w:r>
        <w:rPr>
          <w:rFonts w:hint="eastAsia" w:ascii="Times New Roman" w:hAnsi="Times New Roman" w:eastAsia="方正仿宋_GBK" w:cs="Times New Roman"/>
          <w:bCs/>
          <w:color w:val="auto"/>
          <w:sz w:val="33"/>
          <w:szCs w:val="33"/>
          <w:highlight w:val="none"/>
          <w:lang w:val="en-US" w:eastAsia="zh-CN"/>
        </w:rPr>
        <w:t>登记康复对象接受规范精康服务人次数5110</w:t>
      </w:r>
      <w:r>
        <w:rPr>
          <w:rFonts w:hint="eastAsia" w:ascii="Times New Roman" w:hAnsi="Times New Roman" w:eastAsia="方正仿宋_GBK" w:cs="Times New Roman"/>
          <w:bCs/>
          <w:color w:val="auto"/>
          <w:sz w:val="33"/>
          <w:szCs w:val="33"/>
          <w:highlight w:val="none"/>
          <w:lang w:val="en-US" w:eastAsia="zh-CN"/>
        </w:rPr>
        <w:t>人次，精神障碍社区康复服务县（市、区）覆盖率</w:t>
      </w:r>
      <w:r>
        <w:rPr>
          <w:rFonts w:hint="eastAsia" w:eastAsia="方正仿宋_GBK" w:cs="Times New Roman"/>
          <w:bCs/>
          <w:color w:val="auto"/>
          <w:sz w:val="33"/>
          <w:szCs w:val="33"/>
          <w:highlight w:val="none"/>
          <w:lang w:val="en-US" w:eastAsia="zh-CN"/>
        </w:rPr>
        <w:t>100</w:t>
      </w:r>
      <w:r>
        <w:rPr>
          <w:rFonts w:hint="eastAsia" w:ascii="Times New Roman" w:hAnsi="Times New Roman" w:eastAsia="方正仿宋_GBK" w:cs="Times New Roman"/>
          <w:bCs/>
          <w:color w:val="auto"/>
          <w:sz w:val="33"/>
          <w:szCs w:val="33"/>
          <w:highlight w:val="none"/>
          <w:lang w:val="en-US" w:eastAsia="zh-CN"/>
        </w:rPr>
        <w:t>%</w:t>
      </w:r>
      <w:r>
        <w:rPr>
          <w:rFonts w:hint="eastAsia" w:eastAsia="方正仿宋_GBK" w:cs="Times New Roman"/>
          <w:bCs/>
          <w:color w:val="auto"/>
          <w:sz w:val="33"/>
          <w:szCs w:val="33"/>
          <w:highlight w:val="none"/>
          <w:lang w:val="en-US" w:eastAsia="zh-CN"/>
        </w:rPr>
        <w:t>，</w:t>
      </w:r>
      <w:r>
        <w:rPr>
          <w:rFonts w:hint="eastAsia" w:ascii="Times New Roman" w:hAnsi="Times New Roman" w:eastAsia="方正仿宋_GBK" w:cs="Times New Roman"/>
          <w:bCs/>
          <w:color w:val="auto"/>
          <w:sz w:val="33"/>
          <w:szCs w:val="33"/>
          <w:highlight w:val="none"/>
          <w:lang w:val="en-US" w:eastAsia="zh-CN"/>
        </w:rPr>
        <w:t>“福彩圆梦·孤儿助学工程”资助孤儿人数1</w:t>
      </w:r>
      <w:r>
        <w:rPr>
          <w:rFonts w:hint="eastAsia" w:eastAsia="方正仿宋_GBK" w:cs="Times New Roman"/>
          <w:bCs/>
          <w:color w:val="auto"/>
          <w:sz w:val="33"/>
          <w:szCs w:val="33"/>
          <w:highlight w:val="none"/>
          <w:lang w:val="en-US" w:eastAsia="zh-CN"/>
        </w:rPr>
        <w:t>59</w:t>
      </w:r>
      <w:r>
        <w:rPr>
          <w:rFonts w:hint="eastAsia" w:ascii="Times New Roman" w:hAnsi="Times New Roman" w:eastAsia="方正仿宋_GBK" w:cs="Times New Roman"/>
          <w:bCs/>
          <w:color w:val="auto"/>
          <w:sz w:val="33"/>
          <w:szCs w:val="33"/>
          <w:highlight w:val="none"/>
          <w:lang w:val="en-US" w:eastAsia="zh-CN"/>
        </w:rPr>
        <w:t>人，“孤儿医疗康复明天计划”资助孤儿人数1</w:t>
      </w:r>
      <w:r>
        <w:rPr>
          <w:rFonts w:hint="eastAsia" w:eastAsia="方正仿宋_GBK" w:cs="Times New Roman"/>
          <w:bCs/>
          <w:color w:val="auto"/>
          <w:sz w:val="33"/>
          <w:szCs w:val="33"/>
          <w:highlight w:val="none"/>
          <w:lang w:val="en-US" w:eastAsia="zh-CN"/>
        </w:rPr>
        <w:t>2</w:t>
      </w:r>
      <w:r>
        <w:rPr>
          <w:rFonts w:hint="eastAsia" w:ascii="Times New Roman" w:hAnsi="Times New Roman" w:eastAsia="方正仿宋_GBK" w:cs="Times New Roman"/>
          <w:bCs/>
          <w:color w:val="auto"/>
          <w:sz w:val="33"/>
          <w:szCs w:val="33"/>
          <w:highlight w:val="none"/>
          <w:lang w:val="en-US" w:eastAsia="zh-CN"/>
        </w:rPr>
        <w:t>人，实施“为你而来相伴成长”儿童关爱保护项目</w:t>
      </w:r>
      <w:r>
        <w:rPr>
          <w:rFonts w:hint="eastAsia" w:eastAsia="方正仿宋_GBK" w:cs="Times New Roman"/>
          <w:bCs/>
          <w:color w:val="auto"/>
          <w:sz w:val="33"/>
          <w:szCs w:val="33"/>
          <w:highlight w:val="none"/>
          <w:lang w:val="en-US" w:eastAsia="zh-CN"/>
        </w:rPr>
        <w:t>1</w:t>
      </w:r>
      <w:r>
        <w:rPr>
          <w:rFonts w:hint="eastAsia" w:ascii="Times New Roman" w:hAnsi="Times New Roman" w:eastAsia="方正仿宋_GBK" w:cs="Times New Roman"/>
          <w:bCs/>
          <w:color w:val="auto"/>
          <w:sz w:val="33"/>
          <w:szCs w:val="33"/>
          <w:highlight w:val="none"/>
          <w:lang w:val="en-US" w:eastAsia="zh-CN"/>
        </w:rPr>
        <w:t>个</w:t>
      </w:r>
      <w:r>
        <w:rPr>
          <w:rFonts w:hint="eastAsia" w:eastAsia="方正仿宋_GBK" w:cs="Times New Roman"/>
          <w:bCs/>
          <w:color w:val="auto"/>
          <w:sz w:val="33"/>
          <w:szCs w:val="33"/>
          <w:highlight w:val="none"/>
          <w:lang w:val="en-US" w:eastAsia="zh-CN"/>
        </w:rPr>
        <w:t>，县级社会组织孵化园1个，慈善事业高质</w:t>
      </w:r>
      <w:r>
        <w:rPr>
          <w:rFonts w:hint="eastAsia" w:ascii="Times New Roman" w:hAnsi="Times New Roman" w:eastAsia="方正仿宋_GBK" w:cs="Times New Roman"/>
          <w:bCs/>
          <w:color w:val="auto"/>
          <w:sz w:val="33"/>
          <w:szCs w:val="33"/>
          <w:highlight w:val="none"/>
          <w:lang w:val="en-US" w:eastAsia="zh-CN"/>
        </w:rPr>
        <w:t>量发展试点2个，符合助学条件的孤儿和事实无人抚养儿童认定准确率</w:t>
      </w:r>
      <w:r>
        <w:rPr>
          <w:rFonts w:hint="eastAsia" w:eastAsia="方正仿宋_GBK" w:cs="Times New Roman"/>
          <w:bCs/>
          <w:color w:val="auto"/>
          <w:sz w:val="33"/>
          <w:szCs w:val="33"/>
          <w:highlight w:val="none"/>
          <w:lang w:val="en-US" w:eastAsia="zh-CN"/>
        </w:rPr>
        <w:t>100%</w:t>
      </w:r>
      <w:r>
        <w:rPr>
          <w:rFonts w:hint="eastAsia" w:ascii="Times New Roman" w:hAnsi="Times New Roman" w:eastAsia="方正仿宋_GBK" w:cs="Times New Roman"/>
          <w:bCs/>
          <w:color w:val="auto"/>
          <w:sz w:val="33"/>
          <w:szCs w:val="33"/>
          <w:highlight w:val="none"/>
          <w:lang w:val="en-US" w:eastAsia="zh-CN"/>
        </w:rPr>
        <w:t>，设施设备验收合格率</w:t>
      </w:r>
      <w:r>
        <w:rPr>
          <w:rFonts w:hint="eastAsia" w:eastAsia="方正仿宋_GBK" w:cs="Times New Roman"/>
          <w:bCs/>
          <w:color w:val="auto"/>
          <w:sz w:val="33"/>
          <w:szCs w:val="33"/>
          <w:highlight w:val="none"/>
          <w:lang w:val="en-US" w:eastAsia="zh-CN"/>
        </w:rPr>
        <w:t>100%，</w:t>
      </w:r>
      <w:r>
        <w:rPr>
          <w:rFonts w:hint="eastAsia" w:ascii="Times New Roman" w:hAnsi="Times New Roman" w:eastAsia="方正仿宋_GBK" w:cs="Times New Roman"/>
          <w:bCs/>
          <w:color w:val="auto"/>
          <w:sz w:val="33"/>
          <w:szCs w:val="33"/>
          <w:highlight w:val="none"/>
          <w:lang w:val="en-US" w:eastAsia="zh-CN"/>
        </w:rPr>
        <w:t>接受服务的特殊困难老年人对机构养老服务满意度91</w:t>
      </w:r>
      <w:r>
        <w:rPr>
          <w:rFonts w:hint="eastAsia" w:ascii="Times New Roman" w:hAnsi="Times New Roman" w:eastAsia="方正仿宋_GBK" w:cs="Times New Roman"/>
          <w:bCs/>
          <w:color w:val="auto"/>
          <w:sz w:val="33"/>
          <w:szCs w:val="33"/>
          <w:highlight w:val="none"/>
          <w:lang w:val="en-US" w:eastAsia="zh-CN"/>
        </w:rPr>
        <w:t>%，接受孤儿助学项目资助的孤儿满意度91</w:t>
      </w:r>
      <w:r>
        <w:rPr>
          <w:rFonts w:hint="eastAsia" w:ascii="Times New Roman" w:hAnsi="Times New Roman" w:eastAsia="方正仿宋_GBK" w:cs="Times New Roman"/>
          <w:bCs/>
          <w:color w:val="auto"/>
          <w:sz w:val="33"/>
          <w:szCs w:val="33"/>
          <w:highlight w:val="none"/>
          <w:lang w:val="en-US" w:eastAsia="zh-CN"/>
        </w:rPr>
        <w:t>%。经费拨付符合规定时间比率为100%、经费下拨时间达标率100%，资金下达时间为收到文件后30日内提出分配建议方案报本级财政部门会签后下发。各类项目支出年初制定的绩效目标包括数量、成本和时效等基本实现</w:t>
      </w:r>
      <w:r>
        <w:rPr>
          <w:rFonts w:hint="eastAsia" w:ascii="Times New Roman" w:hAnsi="Times New Roman" w:eastAsia="方正仿宋_GBK" w:cs="Times New Roman"/>
          <w:bCs/>
          <w:color w:val="auto"/>
          <w:sz w:val="33"/>
          <w:szCs w:val="33"/>
          <w:highlight w:val="none"/>
          <w:lang w:val="zh-CN" w:eastAsia="zh-CN"/>
        </w:rPr>
        <w:t>。</w:t>
      </w:r>
    </w:p>
    <w:p w14:paraId="2C686AD5">
      <w:pPr>
        <w:ind w:firstLine="663" w:firstLineChars="200"/>
        <w:rPr>
          <w:rFonts w:hint="eastAsia" w:ascii="Times New Roman" w:hAnsi="Times New Roman" w:eastAsia="方正仿宋_GBK" w:cs="Times New Roman"/>
          <w:bCs/>
          <w:color w:val="auto"/>
          <w:sz w:val="33"/>
          <w:szCs w:val="33"/>
          <w:lang w:val="en-US" w:eastAsia="zh-CN"/>
        </w:rPr>
      </w:pPr>
      <w:r>
        <w:rPr>
          <w:rFonts w:hint="eastAsia" w:ascii="楷体_GB2312" w:hAnsi="宋体" w:eastAsia="楷体_GB2312" w:cs="Times New Roman"/>
          <w:b/>
          <w:color w:val="auto"/>
          <w:sz w:val="33"/>
          <w:szCs w:val="33"/>
          <w:highlight w:val="none"/>
          <w:u w:val="none"/>
          <w:lang w:val="zh-CN"/>
        </w:rPr>
        <w:t>（二）</w:t>
      </w:r>
      <w:r>
        <w:rPr>
          <w:rFonts w:hint="eastAsia" w:ascii="楷体_GB2312" w:hAnsi="宋体" w:eastAsia="楷体_GB2312" w:cs="Times New Roman"/>
          <w:b/>
          <w:color w:val="auto"/>
          <w:sz w:val="33"/>
          <w:szCs w:val="33"/>
          <w:highlight w:val="none"/>
          <w:u w:val="none"/>
          <w:lang w:val="en-US" w:eastAsia="zh-CN"/>
        </w:rPr>
        <w:t>专用指标</w:t>
      </w:r>
      <w:r>
        <w:rPr>
          <w:rFonts w:hint="default" w:ascii="Times New Roman" w:hAnsi="Times New Roman" w:eastAsia="楷体_GB2312" w:cs="Times New Roman"/>
          <w:b/>
          <w:bCs/>
          <w:color w:val="000000"/>
          <w:kern w:val="0"/>
          <w:sz w:val="33"/>
          <w:szCs w:val="33"/>
          <w:highlight w:val="none"/>
          <w:shd w:val="clear" w:color="auto" w:fill="FFFFFF"/>
          <w:lang w:val="zh-CN"/>
        </w:rPr>
        <w:t>绩效分析。</w:t>
      </w:r>
      <w:r>
        <w:rPr>
          <w:rFonts w:hint="eastAsia" w:ascii="Times New Roman" w:hAnsi="Times New Roman" w:eastAsia="方正仿宋_GBK" w:cs="Times New Roman"/>
          <w:bCs/>
          <w:color w:val="auto"/>
          <w:sz w:val="33"/>
          <w:szCs w:val="33"/>
          <w:lang w:val="en-US" w:eastAsia="zh-CN"/>
        </w:rPr>
        <w:t>严格执行公益金使用范围、使用原则、项目管理和使用情况申报、公益金的监督管理等规定。在资金的接收、拨付和使用过程中，坚持专户管理，做到手续完备，文件齐全，账目清楚，使用规范。</w:t>
      </w:r>
    </w:p>
    <w:p w14:paraId="3D39052D">
      <w:pPr>
        <w:ind w:firstLine="660" w:firstLineChars="200"/>
        <w:rPr>
          <w:rFonts w:hint="eastAsia" w:ascii="Times New Roman" w:hAnsi="Times New Roman" w:eastAsia="方正仿宋_GBK" w:cs="Times New Roman"/>
          <w:bCs/>
          <w:color w:val="auto"/>
          <w:sz w:val="33"/>
          <w:szCs w:val="33"/>
          <w:lang w:val="en-US" w:eastAsia="zh-CN"/>
        </w:rPr>
      </w:pPr>
      <w:r>
        <w:rPr>
          <w:rFonts w:hint="eastAsia" w:ascii="Times New Roman" w:hAnsi="Times New Roman" w:eastAsia="方正仿宋_GBK" w:cs="Times New Roman"/>
          <w:bCs/>
          <w:color w:val="auto"/>
          <w:sz w:val="33"/>
          <w:szCs w:val="33"/>
          <w:lang w:val="en-US" w:eastAsia="zh-CN"/>
        </w:rPr>
        <w:t>1.</w:t>
      </w:r>
      <w:r>
        <w:rPr>
          <w:rFonts w:hint="default" w:ascii="Times New Roman" w:hAnsi="Times New Roman" w:eastAsia="方正仿宋_GBK" w:cs="Times New Roman"/>
          <w:bCs/>
          <w:color w:val="auto"/>
          <w:sz w:val="33"/>
          <w:szCs w:val="33"/>
          <w:lang w:val="en-US" w:eastAsia="zh-CN"/>
        </w:rPr>
        <w:t>区域均衡性：采用因素法分配</w:t>
      </w:r>
      <w:r>
        <w:rPr>
          <w:rFonts w:hint="eastAsia" w:ascii="Times New Roman" w:hAnsi="Times New Roman" w:eastAsia="方正仿宋_GBK" w:cs="Times New Roman"/>
          <w:bCs/>
          <w:color w:val="auto"/>
          <w:sz w:val="33"/>
          <w:szCs w:val="33"/>
          <w:lang w:val="en-US" w:eastAsia="zh-CN"/>
        </w:rPr>
        <w:t>，按实际分配结果选择客观因素测算验证资金分配方法制定、分配要素设定、基础数据应用、测算依据选取等科学合理，项目区域均衡性较好。</w:t>
      </w:r>
    </w:p>
    <w:p w14:paraId="03F2344C">
      <w:pPr>
        <w:ind w:firstLine="660" w:firstLineChars="200"/>
        <w:rPr>
          <w:rFonts w:hint="eastAsia" w:ascii="Times New Roman" w:hAnsi="Times New Roman" w:eastAsia="方正仿宋_GBK" w:cs="Times New Roman"/>
          <w:bCs/>
          <w:color w:val="auto"/>
          <w:sz w:val="33"/>
          <w:szCs w:val="33"/>
          <w:lang w:val="en-US" w:eastAsia="zh-CN"/>
        </w:rPr>
      </w:pPr>
      <w:r>
        <w:rPr>
          <w:rFonts w:hint="eastAsia" w:ascii="Times New Roman" w:hAnsi="Times New Roman" w:eastAsia="方正仿宋_GBK" w:cs="Times New Roman"/>
          <w:bCs/>
          <w:color w:val="auto"/>
          <w:sz w:val="33"/>
          <w:szCs w:val="33"/>
          <w:lang w:val="en-US" w:eastAsia="zh-CN"/>
        </w:rPr>
        <w:t>2.群</w:t>
      </w:r>
      <w:r>
        <w:rPr>
          <w:rFonts w:hint="eastAsia" w:eastAsia="方正仿宋_GBK" w:cs="Times New Roman"/>
          <w:bCs/>
          <w:color w:val="auto"/>
          <w:sz w:val="33"/>
          <w:szCs w:val="33"/>
          <w:lang w:val="en-US" w:eastAsia="zh-CN"/>
        </w:rPr>
        <w:t>众</w:t>
      </w:r>
      <w:r>
        <w:rPr>
          <w:rFonts w:hint="eastAsia" w:ascii="Times New Roman" w:hAnsi="Times New Roman" w:eastAsia="方正仿宋_GBK" w:cs="Times New Roman"/>
          <w:bCs/>
          <w:color w:val="auto"/>
          <w:sz w:val="33"/>
          <w:szCs w:val="33"/>
          <w:lang w:val="en-US" w:eastAsia="zh-CN"/>
        </w:rPr>
        <w:t>满意度：项目资金分配和实施结果体现了公平公正性，在支持范围、标准、程序上没有明显的排他性和歧视性规定，受益助学对象满意度较高。</w:t>
      </w:r>
    </w:p>
    <w:p w14:paraId="37344CA8">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63" w:firstLineChars="200"/>
        <w:textAlignment w:val="auto"/>
        <w:outlineLvl w:val="9"/>
        <w:rPr>
          <w:rFonts w:hint="eastAsia" w:ascii="Times New Roman" w:hAnsi="Times New Roman" w:eastAsia="方正仿宋_GBK" w:cs="Times New Roman"/>
          <w:bCs/>
          <w:color w:val="auto"/>
          <w:sz w:val="33"/>
          <w:szCs w:val="33"/>
          <w:lang w:val="en-US" w:eastAsia="zh-CN"/>
        </w:rPr>
      </w:pPr>
      <w:r>
        <w:rPr>
          <w:rFonts w:hint="eastAsia" w:ascii="楷体_GB2312" w:hAnsi="宋体" w:eastAsia="楷体_GB2312" w:cs="Times New Roman"/>
          <w:b/>
          <w:color w:val="auto"/>
          <w:sz w:val="33"/>
          <w:szCs w:val="33"/>
          <w:highlight w:val="none"/>
          <w:u w:val="none"/>
          <w:lang w:val="en-US" w:eastAsia="zh-CN"/>
        </w:rPr>
        <w:t>个性指标</w:t>
      </w:r>
      <w:r>
        <w:rPr>
          <w:rFonts w:hint="default" w:ascii="Times New Roman" w:hAnsi="Times New Roman" w:eastAsia="楷体_GB2312" w:cs="Times New Roman"/>
          <w:b/>
          <w:bCs/>
          <w:color w:val="000000"/>
          <w:kern w:val="0"/>
          <w:sz w:val="33"/>
          <w:szCs w:val="33"/>
          <w:highlight w:val="none"/>
          <w:shd w:val="clear" w:color="auto" w:fill="FFFFFF"/>
          <w:lang w:val="zh-CN"/>
        </w:rPr>
        <w:t>绩效分析。</w:t>
      </w:r>
      <w:r>
        <w:rPr>
          <w:rFonts w:hint="eastAsia" w:ascii="Times New Roman" w:hAnsi="Times New Roman" w:eastAsia="方正仿宋_GBK" w:cs="Times New Roman"/>
          <w:bCs/>
          <w:color w:val="auto"/>
          <w:sz w:val="33"/>
          <w:szCs w:val="33"/>
          <w:lang w:val="zh-CN" w:eastAsia="zh-CN"/>
        </w:rPr>
        <w:t>一是</w:t>
      </w:r>
      <w:r>
        <w:rPr>
          <w:rFonts w:hint="eastAsia" w:ascii="Times New Roman" w:hAnsi="Times New Roman" w:eastAsia="方正仿宋_GBK" w:cs="Times New Roman"/>
          <w:bCs/>
          <w:color w:val="auto"/>
          <w:sz w:val="33"/>
          <w:szCs w:val="33"/>
          <w:lang w:val="en-US" w:eastAsia="zh-CN"/>
        </w:rPr>
        <w:t>通过典型案例宣传，引导社会公众更加关注福彩公益金，进一步提升福彩公益金的公信度和影响力。二是</w:t>
      </w:r>
      <w:r>
        <w:rPr>
          <w:rFonts w:hint="eastAsia" w:ascii="Times New Roman" w:hAnsi="Times New Roman" w:eastAsia="方正仿宋_GBK" w:cs="Times New Roman"/>
          <w:bCs/>
          <w:color w:val="auto"/>
          <w:sz w:val="33"/>
          <w:szCs w:val="33"/>
          <w:lang w:val="zh-CN" w:eastAsia="zh-CN"/>
        </w:rPr>
        <w:t>及时在政府网站进行了项目资金公示和绩效自评公示。</w:t>
      </w:r>
      <w:r>
        <w:rPr>
          <w:rFonts w:hint="eastAsia" w:ascii="Times New Roman" w:hAnsi="Times New Roman" w:eastAsia="方正仿宋_GBK" w:cs="Times New Roman"/>
          <w:bCs/>
          <w:color w:val="auto"/>
          <w:sz w:val="33"/>
          <w:szCs w:val="33"/>
          <w:lang w:val="en-US" w:eastAsia="zh-CN"/>
        </w:rPr>
        <w:t>项目公示规范性、完整。三是加强福利资金管理，确保专款专用，用出实效。</w:t>
      </w:r>
    </w:p>
    <w:p w14:paraId="4701E3A7">
      <w:pPr>
        <w:bidi w:val="0"/>
        <w:ind w:firstLine="663" w:firstLineChars="200"/>
        <w:rPr>
          <w:rFonts w:hint="eastAsia" w:ascii="方正黑体_GBK" w:hAnsi="方正黑体_GBK" w:eastAsia="方正黑体_GBK" w:cs="方正黑体_GBK"/>
          <w:b/>
          <w:bCs/>
          <w:sz w:val="33"/>
          <w:szCs w:val="33"/>
          <w:lang w:val="zh-CN" w:eastAsia="zh-CN"/>
        </w:rPr>
      </w:pPr>
      <w:r>
        <w:rPr>
          <w:rFonts w:hint="eastAsia" w:ascii="方正黑体_GBK" w:hAnsi="方正黑体_GBK" w:eastAsia="方正黑体_GBK" w:cs="方正黑体_GBK"/>
          <w:b/>
          <w:bCs/>
          <w:sz w:val="33"/>
          <w:szCs w:val="33"/>
          <w:lang w:val="zh-CN" w:eastAsia="zh-CN"/>
        </w:rPr>
        <w:t>四、评价结论</w:t>
      </w:r>
    </w:p>
    <w:p w14:paraId="57DFB139">
      <w:pPr>
        <w:ind w:firstLine="660" w:firstLineChars="200"/>
        <w:rPr>
          <w:rFonts w:hint="eastAsia" w:ascii="Times New Roman" w:hAnsi="Times New Roman" w:eastAsia="方正仿宋_GBK" w:cs="Times New Roman"/>
          <w:bCs/>
          <w:color w:val="auto"/>
          <w:sz w:val="33"/>
          <w:szCs w:val="33"/>
          <w:lang w:val="en-US" w:eastAsia="zh-CN"/>
        </w:rPr>
      </w:pPr>
      <w:r>
        <w:rPr>
          <w:rFonts w:hint="eastAsia" w:ascii="Times New Roman" w:hAnsi="Times New Roman" w:eastAsia="方正仿宋_GBK" w:cs="Times New Roman"/>
          <w:bCs/>
          <w:color w:val="auto"/>
          <w:sz w:val="33"/>
          <w:szCs w:val="33"/>
          <w:lang w:val="en-US" w:eastAsia="zh-CN"/>
        </w:rPr>
        <w:t>202</w:t>
      </w:r>
      <w:r>
        <w:rPr>
          <w:rFonts w:hint="eastAsia" w:eastAsia="方正仿宋_GBK" w:cs="Times New Roman"/>
          <w:bCs/>
          <w:color w:val="auto"/>
          <w:sz w:val="33"/>
          <w:szCs w:val="33"/>
          <w:lang w:val="en-US" w:eastAsia="zh-CN"/>
        </w:rPr>
        <w:t>4</w:t>
      </w:r>
      <w:r>
        <w:rPr>
          <w:rFonts w:hint="eastAsia" w:ascii="Times New Roman" w:hAnsi="Times New Roman" w:eastAsia="方正仿宋_GBK" w:cs="Times New Roman"/>
          <w:bCs/>
          <w:color w:val="auto"/>
          <w:sz w:val="33"/>
          <w:szCs w:val="33"/>
          <w:lang w:val="en-US" w:eastAsia="zh-CN"/>
        </w:rPr>
        <w:t>年，总体上看，市、县（市、区）资金支付进度较正常，基本实现年初绩效目标。在项目决策上执行需求研判，做到了下达项目精准；在项目管理上执行多种举措督促监管，做到了项目建设规范有序；在项目绩效上执行奖惩并举，做到了项目运行效果明显。</w:t>
      </w:r>
      <w:r>
        <w:rPr>
          <w:rFonts w:hint="eastAsia" w:eastAsia="方正仿宋_GBK" w:cs="Times New Roman"/>
          <w:bCs/>
          <w:color w:val="auto"/>
          <w:sz w:val="33"/>
          <w:szCs w:val="33"/>
          <w:lang w:val="en-US" w:eastAsia="zh-CN"/>
        </w:rPr>
        <w:t>中省</w:t>
      </w:r>
      <w:r>
        <w:rPr>
          <w:rFonts w:hint="eastAsia" w:ascii="Times New Roman" w:hAnsi="Times New Roman" w:eastAsia="方正仿宋_GBK" w:cs="Times New Roman"/>
          <w:bCs/>
          <w:color w:val="auto"/>
          <w:sz w:val="33"/>
          <w:szCs w:val="33"/>
          <w:lang w:val="en-US" w:eastAsia="zh-CN"/>
        </w:rPr>
        <w:t>福利彩票公益金项目支出绩效自评平均综合得分为</w:t>
      </w:r>
      <w:r>
        <w:rPr>
          <w:rFonts w:hint="eastAsia" w:eastAsia="方正仿宋_GBK" w:cs="Times New Roman"/>
          <w:bCs/>
          <w:color w:val="auto"/>
          <w:sz w:val="33"/>
          <w:szCs w:val="33"/>
          <w:lang w:val="en-US" w:eastAsia="zh-CN"/>
        </w:rPr>
        <w:t>93</w:t>
      </w:r>
      <w:r>
        <w:rPr>
          <w:rFonts w:hint="eastAsia" w:ascii="Times New Roman" w:hAnsi="Times New Roman" w:eastAsia="方正仿宋_GBK" w:cs="Times New Roman"/>
          <w:bCs/>
          <w:color w:val="auto"/>
          <w:sz w:val="33"/>
          <w:szCs w:val="33"/>
          <w:lang w:val="en-US" w:eastAsia="zh-CN"/>
        </w:rPr>
        <w:t>分。</w:t>
      </w:r>
    </w:p>
    <w:p w14:paraId="17EFDCB9">
      <w:pPr>
        <w:bidi w:val="0"/>
        <w:ind w:firstLine="663" w:firstLineChars="200"/>
        <w:rPr>
          <w:rFonts w:hint="eastAsia" w:ascii="方正黑体_GBK" w:hAnsi="方正黑体_GBK" w:eastAsia="方正黑体_GBK" w:cs="方正黑体_GBK"/>
          <w:b/>
          <w:bCs/>
          <w:sz w:val="33"/>
          <w:szCs w:val="33"/>
          <w:lang w:val="zh-CN" w:eastAsia="zh-CN"/>
        </w:rPr>
      </w:pPr>
      <w:r>
        <w:rPr>
          <w:rFonts w:hint="eastAsia" w:ascii="方正黑体_GBK" w:hAnsi="方正黑体_GBK" w:eastAsia="方正黑体_GBK" w:cs="方正黑体_GBK"/>
          <w:b/>
          <w:bCs/>
          <w:sz w:val="33"/>
          <w:szCs w:val="33"/>
          <w:lang w:val="zh-CN" w:eastAsia="zh-CN"/>
        </w:rPr>
        <w:t>五、存在主要问题</w:t>
      </w:r>
    </w:p>
    <w:p w14:paraId="56C449B6">
      <w:pPr>
        <w:pStyle w:val="2"/>
        <w:pageBreakBefore w:val="0"/>
        <w:numPr>
          <w:ilvl w:val="0"/>
          <w:numId w:val="0"/>
        </w:numPr>
        <w:tabs>
          <w:tab w:val="left" w:pos="2160"/>
        </w:tabs>
        <w:kinsoku/>
        <w:wordWrap/>
        <w:overflowPunct/>
        <w:topLinePunct w:val="0"/>
        <w:autoSpaceDE/>
        <w:autoSpaceDN/>
        <w:bidi w:val="0"/>
        <w:adjustRightInd/>
        <w:spacing w:line="600" w:lineRule="exact"/>
        <w:ind w:firstLine="660" w:firstLineChars="200"/>
        <w:textAlignment w:val="auto"/>
        <w:rPr>
          <w:rFonts w:hint="default" w:ascii="Times New Roman" w:hAnsi="Times New Roman" w:eastAsia="方正仿宋_GBK" w:cs="Times New Roman"/>
          <w:bCs/>
          <w:color w:val="auto"/>
          <w:kern w:val="2"/>
          <w:sz w:val="33"/>
          <w:szCs w:val="33"/>
          <w:lang w:val="en-US" w:eastAsia="zh-CN" w:bidi="ar-SA"/>
        </w:rPr>
      </w:pPr>
      <w:r>
        <w:rPr>
          <w:rFonts w:hint="eastAsia" w:ascii="Times New Roman" w:hAnsi="Times New Roman" w:eastAsia="方正仿宋_GBK" w:cs="Times New Roman"/>
          <w:bCs/>
          <w:color w:val="auto"/>
          <w:kern w:val="2"/>
          <w:sz w:val="33"/>
          <w:szCs w:val="33"/>
          <w:lang w:val="en-US" w:eastAsia="zh-CN" w:bidi="ar-SA"/>
        </w:rPr>
        <w:t>福彩公益金项目实施单位具体公示的规范性、完整性等方面还有待进一步提升。宣传不够深入，群众知晓度不够。</w:t>
      </w:r>
      <w:r>
        <w:rPr>
          <w:rFonts w:hint="default" w:ascii="Times New Roman" w:hAnsi="Times New Roman" w:eastAsia="方正仿宋_GBK" w:cs="Times New Roman"/>
          <w:bCs/>
          <w:color w:val="auto"/>
          <w:kern w:val="2"/>
          <w:sz w:val="33"/>
          <w:szCs w:val="33"/>
          <w:lang w:val="en-US" w:eastAsia="zh-CN" w:bidi="ar-SA"/>
        </w:rPr>
        <w:t>群众对</w:t>
      </w:r>
      <w:r>
        <w:rPr>
          <w:rFonts w:hint="eastAsia" w:ascii="Times New Roman" w:hAnsi="Times New Roman" w:eastAsia="方正仿宋_GBK" w:cs="Times New Roman"/>
          <w:bCs/>
          <w:color w:val="auto"/>
          <w:kern w:val="2"/>
          <w:sz w:val="33"/>
          <w:szCs w:val="33"/>
          <w:lang w:val="en-US" w:eastAsia="zh-CN" w:bidi="ar-SA"/>
        </w:rPr>
        <w:t>社区孵化</w:t>
      </w:r>
      <w:r>
        <w:rPr>
          <w:rFonts w:hint="default" w:ascii="Times New Roman" w:hAnsi="Times New Roman" w:eastAsia="方正仿宋_GBK" w:cs="Times New Roman"/>
          <w:bCs/>
          <w:color w:val="auto"/>
          <w:kern w:val="2"/>
          <w:sz w:val="33"/>
          <w:szCs w:val="33"/>
          <w:lang w:val="en-US" w:eastAsia="zh-CN" w:bidi="ar-SA"/>
        </w:rPr>
        <w:t>和精神康复服务的认识比较模糊。参与度较低，容易造成工作开展被动。</w:t>
      </w:r>
    </w:p>
    <w:p w14:paraId="71D441AE">
      <w:pPr>
        <w:bidi w:val="0"/>
        <w:ind w:firstLine="663" w:firstLineChars="200"/>
        <w:rPr>
          <w:rFonts w:hint="eastAsia" w:ascii="方正黑体_GBK" w:hAnsi="方正黑体_GBK" w:eastAsia="方正黑体_GBK" w:cs="方正黑体_GBK"/>
          <w:b/>
          <w:bCs/>
          <w:sz w:val="33"/>
          <w:szCs w:val="33"/>
          <w:lang w:val="zh-CN" w:eastAsia="zh-CN"/>
        </w:rPr>
      </w:pPr>
      <w:r>
        <w:rPr>
          <w:rFonts w:hint="eastAsia" w:ascii="方正黑体_GBK" w:hAnsi="方正黑体_GBK" w:eastAsia="方正黑体_GBK" w:cs="方正黑体_GBK"/>
          <w:b/>
          <w:bCs/>
          <w:sz w:val="33"/>
          <w:szCs w:val="33"/>
          <w:lang w:val="zh-CN" w:eastAsia="zh-CN"/>
        </w:rPr>
        <w:t>六、改进建议</w:t>
      </w:r>
    </w:p>
    <w:p w14:paraId="46D4ECBE">
      <w:pPr>
        <w:ind w:firstLine="660" w:firstLineChars="200"/>
        <w:rPr>
          <w:rFonts w:hint="eastAsia" w:ascii="Times New Roman" w:hAnsi="Times New Roman" w:eastAsia="方正仿宋_GBK" w:cs="Times New Roman"/>
          <w:bCs/>
          <w:color w:val="auto"/>
          <w:sz w:val="33"/>
          <w:szCs w:val="33"/>
          <w:lang w:val="en-US" w:eastAsia="zh-CN"/>
        </w:rPr>
      </w:pPr>
      <w:r>
        <w:rPr>
          <w:rFonts w:hint="eastAsia" w:ascii="Times New Roman" w:hAnsi="Times New Roman" w:eastAsia="方正仿宋_GBK" w:cs="Times New Roman"/>
          <w:bCs/>
          <w:color w:val="auto"/>
          <w:sz w:val="33"/>
          <w:szCs w:val="33"/>
          <w:lang w:val="en-US" w:eastAsia="zh-CN"/>
        </w:rPr>
        <w:t>一是</w:t>
      </w:r>
      <w:r>
        <w:rPr>
          <w:rFonts w:hint="eastAsia" w:ascii="Times New Roman" w:hAnsi="Times New Roman" w:eastAsia="方正仿宋_GBK" w:cs="Times New Roman"/>
          <w:bCs/>
          <w:color w:val="auto"/>
          <w:sz w:val="33"/>
          <w:szCs w:val="33"/>
          <w:lang w:val="zh-CN" w:eastAsia="zh-CN"/>
        </w:rPr>
        <w:t>提高预算编制的准确性。加强对项目的前期调研和论证，充分了解项目的需求和资源状况，提高预算编制的科学性和合理性，</w:t>
      </w:r>
      <w:r>
        <w:rPr>
          <w:rFonts w:hint="eastAsia" w:ascii="Times New Roman" w:hAnsi="Times New Roman" w:eastAsia="方正仿宋_GBK" w:cs="Times New Roman"/>
          <w:bCs/>
          <w:color w:val="auto"/>
          <w:sz w:val="33"/>
          <w:szCs w:val="33"/>
          <w:lang w:val="en-US" w:eastAsia="zh-CN"/>
        </w:rPr>
        <w:t>加强</w:t>
      </w:r>
      <w:r>
        <w:rPr>
          <w:rFonts w:hint="eastAsia" w:ascii="Times New Roman" w:hAnsi="Times New Roman" w:eastAsia="方正仿宋_GBK" w:cs="Times New Roman"/>
          <w:bCs/>
          <w:color w:val="auto"/>
          <w:sz w:val="33"/>
          <w:szCs w:val="33"/>
          <w:lang w:val="zh-CN" w:eastAsia="zh-CN"/>
        </w:rPr>
        <w:t>预算编制的审核，对预算编制的合理性、准确性进行严格把关；</w:t>
      </w:r>
      <w:r>
        <w:rPr>
          <w:rFonts w:hint="eastAsia" w:ascii="Times New Roman" w:hAnsi="Times New Roman" w:eastAsia="方正仿宋_GBK" w:cs="Times New Roman"/>
          <w:bCs/>
          <w:color w:val="auto"/>
          <w:sz w:val="33"/>
          <w:szCs w:val="33"/>
          <w:lang w:val="en-US" w:eastAsia="zh-CN"/>
        </w:rPr>
        <w:t>二是</w:t>
      </w:r>
      <w:r>
        <w:rPr>
          <w:rFonts w:hint="eastAsia" w:ascii="Times New Roman" w:hAnsi="Times New Roman" w:eastAsia="方正仿宋_GBK" w:cs="Times New Roman"/>
          <w:bCs/>
          <w:color w:val="auto"/>
          <w:sz w:val="33"/>
          <w:szCs w:val="33"/>
          <w:lang w:val="zh-CN" w:eastAsia="zh-CN"/>
        </w:rPr>
        <w:t>加强项目执行进度管理，加强对项目执行过程的监督和检查，定期对项目进度进行跟踪评估，对进度滞后的项目及时采取措施加以整改。</w:t>
      </w:r>
      <w:r>
        <w:rPr>
          <w:rFonts w:hint="eastAsia" w:ascii="Times New Roman" w:hAnsi="Times New Roman" w:eastAsia="方正仿宋_GBK" w:cs="Times New Roman"/>
          <w:bCs/>
          <w:color w:val="auto"/>
          <w:sz w:val="33"/>
          <w:szCs w:val="33"/>
          <w:lang w:val="en-US" w:eastAsia="zh-CN"/>
        </w:rPr>
        <w:t>三是加大福利彩票公益金公示和标识公开工作。四是严格预算执行刚性，防止为了加快支出进度乱用、错用专项民政资金等。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00"/>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A72C8E"/>
    <w:multiLevelType w:val="singleLevel"/>
    <w:tmpl w:val="D4A72C8E"/>
    <w:lvl w:ilvl="0" w:tentative="0">
      <w:start w:val="3"/>
      <w:numFmt w:val="chineseCounting"/>
      <w:suff w:val="nothing"/>
      <w:lvlText w:val="（%1）"/>
      <w:lvlJc w:val="left"/>
      <w:rPr>
        <w:rFonts w:hint="eastAsia"/>
      </w:rPr>
    </w:lvl>
  </w:abstractNum>
  <w:abstractNum w:abstractNumId="1">
    <w:nsid w:val="72E87C1D"/>
    <w:multiLevelType w:val="singleLevel"/>
    <w:tmpl w:val="72E87C1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9A124A"/>
    <w:rsid w:val="013110DB"/>
    <w:rsid w:val="01D34B7C"/>
    <w:rsid w:val="029A124A"/>
    <w:rsid w:val="03AF1619"/>
    <w:rsid w:val="0A96708F"/>
    <w:rsid w:val="0C915D60"/>
    <w:rsid w:val="0ECF2B6F"/>
    <w:rsid w:val="1E4D585F"/>
    <w:rsid w:val="2217240B"/>
    <w:rsid w:val="265A62A9"/>
    <w:rsid w:val="2C6646BB"/>
    <w:rsid w:val="2D3C541C"/>
    <w:rsid w:val="300D2A9C"/>
    <w:rsid w:val="3E590012"/>
    <w:rsid w:val="3E5C3B5C"/>
    <w:rsid w:val="426254CD"/>
    <w:rsid w:val="43D63A7D"/>
    <w:rsid w:val="453E18DA"/>
    <w:rsid w:val="4B95246F"/>
    <w:rsid w:val="4D7F33D7"/>
    <w:rsid w:val="51B80C66"/>
    <w:rsid w:val="53F817ED"/>
    <w:rsid w:val="598F04FE"/>
    <w:rsid w:val="7FB62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beforeLines="30"/>
    </w:pPr>
    <w:rPr>
      <w:rFonts w:ascii="仿宋_GB2312" w:eastAsia="仿宋_GB2312"/>
      <w:kern w:val="0"/>
      <w:sz w:val="30"/>
    </w:r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3835</Words>
  <Characters>3977</Characters>
  <Lines>0</Lines>
  <Paragraphs>0</Paragraphs>
  <TotalTime>2</TotalTime>
  <ScaleCrop>false</ScaleCrop>
  <LinksUpToDate>false</LinksUpToDate>
  <CharactersWithSpaces>3979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2025-02-13T07:54:00Z</dcterms:created>
  <dc:creator>向上放下</dc:creator>
  <cp:lastModifiedBy>向上放下</cp:lastModifiedBy>
  <cp:lastPrinted>2025-02-14T07:07:24Z</cp:lastPrinted>
  <dcterms:modified xsi:type="dcterms:W3CDTF">2025-02-14T07:14:42Z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0BF108091E0E431482E83B4ED9B1D92F_13</vt:lpwstr>
  </property>
  <property fmtid="{D5CDD505-2E9C-101B-9397-08002B2CF9AE}" pid="4" name="KSOTemplateDocerSaveRecord">
    <vt:lpwstr>eyJoZGlkIjoiYzk3Y2UyMTViMzY1ZjNmNjI3ZTgzNjc1ZGEwMWI4OTEiLCJ1c2VySWQiOiIyODk2MDQ2NDYifQ==</vt:lpwstr>
  </property>
</Properties>
</file>