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黑体" w:hAnsi="黑体" w:eastAsia="黑体" w:cs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eastAsia="zh-CN"/>
        </w:rPr>
        <w:t>附件</w:t>
      </w:r>
    </w:p>
    <w:p>
      <w:pPr>
        <w:pStyle w:val="2"/>
        <w:bidi w:val="0"/>
        <w:rPr>
          <w:rFonts w:hint="eastAsia"/>
          <w:lang w:val="en-US" w:eastAsia="zh-CN"/>
        </w:rPr>
      </w:pP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第二轮中央生态环境保护督察整改任务</w:t>
      </w: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完成情况表</w:t>
      </w:r>
    </w:p>
    <w:tbl>
      <w:tblPr>
        <w:tblStyle w:val="6"/>
        <w:tblW w:w="9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2472"/>
        <w:gridCol w:w="6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10" w:hRule="atLeast"/>
          <w:jc w:val="center"/>
        </w:trPr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/>
                <w:bCs w:val="0"/>
                <w:color w:val="auto"/>
                <w:kern w:val="0"/>
                <w:sz w:val="28"/>
                <w:szCs w:val="28"/>
              </w:rPr>
              <w:t>整改任务</w:t>
            </w:r>
          </w:p>
        </w:tc>
        <w:tc>
          <w:tcPr>
            <w:tcW w:w="66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近年来，四川省加大了环境基础设施建设投入，取得一定成效，但一些重点领域短板依然突出，污染防治水平有待提高。污水收集处理能力不足。四川省城镇生活污水集中收集率总体不高，部分城市污水管网不配套，污水收集能力不足，污水处理厂进水污染物浓度偏低。2020年，全省35个设市城市生活污水集中收集率仅为47.1%，低于全国平均水平，全省近15%的城市（县城）污水处理厂进水COD年均浓度在100毫克/升以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340" w:hRule="atLeast"/>
          <w:jc w:val="center"/>
        </w:trPr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color w:val="auto"/>
                <w:kern w:val="0"/>
                <w:sz w:val="28"/>
                <w:szCs w:val="28"/>
              </w:rPr>
              <w:t>整改</w:t>
            </w:r>
            <w:r>
              <w:rPr>
                <w:rFonts w:hint="eastAsia" w:ascii="黑体" w:hAnsi="黑体" w:eastAsia="黑体" w:cs="黑体"/>
                <w:b/>
                <w:bCs w:val="0"/>
                <w:color w:val="auto"/>
                <w:kern w:val="0"/>
                <w:sz w:val="28"/>
                <w:szCs w:val="28"/>
                <w:lang w:eastAsia="zh-CN"/>
              </w:rPr>
              <w:t>实施主体</w:t>
            </w:r>
          </w:p>
        </w:tc>
        <w:tc>
          <w:tcPr>
            <w:tcW w:w="66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住房城乡建设厅，各市（州）党委、政府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180" w:hRule="atLeast"/>
          <w:jc w:val="center"/>
        </w:trPr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/>
                <w:bCs w:val="0"/>
                <w:color w:val="auto"/>
                <w:kern w:val="0"/>
                <w:sz w:val="28"/>
                <w:szCs w:val="28"/>
              </w:rPr>
              <w:t>整改目标</w:t>
            </w:r>
          </w:p>
        </w:tc>
        <w:tc>
          <w:tcPr>
            <w:tcW w:w="66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  <w:t>全省城市生活污水集中收集率提升至60%，2020年度城市（县城）进水COD年均浓度低于100毫克/升的污水处理厂进水COD年均浓度达到100毫克/升以上。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855" w:hRule="atLeast"/>
          <w:jc w:val="center"/>
        </w:trPr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color w:val="auto"/>
                <w:kern w:val="0"/>
                <w:sz w:val="28"/>
                <w:szCs w:val="28"/>
              </w:rPr>
              <w:t>整改</w:t>
            </w:r>
            <w:r>
              <w:rPr>
                <w:rFonts w:hint="eastAsia" w:ascii="黑体" w:hAnsi="黑体" w:eastAsia="黑体" w:cs="黑体"/>
                <w:b/>
                <w:bCs w:val="0"/>
                <w:color w:val="auto"/>
                <w:kern w:val="0"/>
                <w:sz w:val="28"/>
                <w:szCs w:val="28"/>
                <w:lang w:eastAsia="zh-CN"/>
              </w:rPr>
              <w:t>时限</w:t>
            </w:r>
          </w:p>
        </w:tc>
        <w:tc>
          <w:tcPr>
            <w:tcW w:w="66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仿宋" w:hAnsi="仿宋" w:cs="仿宋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仿宋" w:hAnsi="仿宋" w:cs="仿宋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440" w:hRule="atLeast"/>
          <w:jc w:val="center"/>
        </w:trPr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color w:val="auto"/>
                <w:kern w:val="0"/>
                <w:sz w:val="28"/>
                <w:szCs w:val="28"/>
                <w:lang w:eastAsia="zh-CN"/>
              </w:rPr>
              <w:t>整改措施</w:t>
            </w:r>
          </w:p>
        </w:tc>
        <w:tc>
          <w:tcPr>
            <w:tcW w:w="66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1．2021年12月，已完成新改建排水管网732公里。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2．2021年12月，已完成排水管网系统化排查检测1430公里。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3．2022年6月底前，全省2020年度城市（县城）进水COD年均浓度低于100毫克/升的污水处理厂修订完善“一厂一策”。2023年12月底前，全面完成整改。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4．2022年12月底前，完成新改建排水管网2009公里（含2021年732公里）。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5．2022年12月底前，完成排水管网系统化排查检测3775公里（含2021年1430公里）。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6．2023年12月底前，完成新改建排水管网3920公里（含2021年732公里、2022年1277公里）。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7．2023年12月底前，完成排水管网系统化排查检测8780公里（含2021年1430公里、2022年2345公里）。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8．2024年12月底前，完成新改建排水管网4725公里（含2021年732公里、2022年1277公里、2023年1911公里）。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9．2024年12月底前，完成排水管网系统化排查检测9641公里（含2021年1430公里、2022年2345公里、2023年5005公里）。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10．2025年12月底前，完成新改建排水管网5485公里（含2021年732公里、2022年1277公里、2023年1911公里、2024年805公里）。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11．2025年12月底前，完成排水管网系统化排查检测10578公里（含2021年1430公里、2022年2345公里、2023年5005公里、2024年861公里）。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905" w:hRule="atLeast"/>
          <w:jc w:val="center"/>
        </w:trPr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color w:val="auto"/>
                <w:kern w:val="0"/>
                <w:sz w:val="28"/>
                <w:szCs w:val="28"/>
                <w:lang w:eastAsia="zh-CN"/>
              </w:rPr>
              <w:t>整改主要工作及成效</w:t>
            </w:r>
          </w:p>
        </w:tc>
        <w:tc>
          <w:tcPr>
            <w:tcW w:w="66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1.2021年12月，已完成新改建排水管网1146公里。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2.2021年12月，已完成排水管网系统化排查检测4630公里。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3.2022年6月底前，全省2020年度城市（县城）进水COD年均浓度低于100毫克/升的污水处理厂已修订完善“一厂一策”。2023年12月底前，全面完成整改。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4.2022年12月底前，完成新改建排水管网2716公里（含2021年1146公里）。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5.2022年12月底前，完成排水管网系统化排查检测9363公里（含2021年4630公里）。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6.2023年12月底前，完成新改建排水管网4807公里（含2021年1146公里、2022年2716公里）。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7.2023年12月底前，完成排水管网系统化排查检测14638公里（含2021年4630公里、2022年9363公里）。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8.2024年12月底前，完成新改建排水管网6237公里（含2021年1146公里、2022年2716公里、2023年4807公里）。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9.2024年12月底前，完成排水管网系统化排查检测16974公里（含2021年4630公里、2022年9363公里、2023年14638公里）。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10.2025年12月底前，完成新改建排水管网7261公里（含2021年1146公里、2022年2716公里、2023年4807公里、2024年6237公里）。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11.2025年12月底前，完成排水管网系统化排查检测20036公里（含2021年4630公里、2022年9363公里、2023年14638公里、2024年16974公里）。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552" w:firstLineChars="20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left"/>
        <w:textAlignment w:val="auto"/>
        <w:rPr>
          <w:rFonts w:ascii="Calibri" w:hAnsi="Calibri" w:eastAsia="宋体" w:cs="Times New Roman"/>
          <w:color w:val="auto"/>
          <w:sz w:val="21"/>
          <w:szCs w:val="24"/>
        </w:rPr>
      </w:pPr>
    </w:p>
    <w:p>
      <w:pPr>
        <w:wordWrap/>
        <w:jc w:val="both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DFB44"/>
    <w:rsid w:val="278D74BD"/>
    <w:rsid w:val="2CD940C5"/>
    <w:rsid w:val="3D1DFB44"/>
    <w:rsid w:val="75FC17BB"/>
    <w:rsid w:val="7BDACFA1"/>
    <w:rsid w:val="7FDB63A3"/>
    <w:rsid w:val="7FDF7EBD"/>
    <w:rsid w:val="7FEFD8C7"/>
    <w:rsid w:val="9B6F398F"/>
    <w:rsid w:val="BBEFE5A1"/>
    <w:rsid w:val="BEF64FBD"/>
    <w:rsid w:val="BFB73040"/>
    <w:rsid w:val="DDFD2C68"/>
    <w:rsid w:val="DFF63E79"/>
    <w:rsid w:val="EEFFD5CD"/>
    <w:rsid w:val="EFDFE9C5"/>
    <w:rsid w:val="EFEFD320"/>
    <w:rsid w:val="EFF3B060"/>
    <w:rsid w:val="FC7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Times New Roman" w:hAnsi="Times New Roman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楷体"/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Times New Roman" w:hAnsi="Times New Roman" w:eastAsia="仿宋"/>
      <w:b/>
      <w:bCs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1501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2026-09-22T14:58:00Z</dcterms:created>
  <dc:creator>肚兜没有肚肚</dc:creator>
  <cp:lastModifiedBy>kylin</cp:lastModifiedBy>
  <dcterms:modified xsi:type="dcterms:W3CDTF">2026-09-30T15:24:04Z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15588ADE422760A59D9FB36A4D1575AE_43</vt:lpwstr>
  </property>
</Properties>
</file>