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default" w:ascii="Times New Roman" w:hAnsi="Times New Roman" w:eastAsia="黑体" w:cs="Times New Roman"/>
          <w:sz w:val="32"/>
          <w:szCs w:val="32"/>
          <w:lang w:bidi="ar"/>
        </w:rPr>
      </w:pPr>
      <w:bookmarkStart w:id="0" w:name="_GoBack"/>
      <w:bookmarkEnd w:id="0"/>
      <w:r>
        <w:rPr>
          <w:rFonts w:hint="default" w:ascii="Times New Roman" w:hAnsi="Times New Roman" w:eastAsia="黑体" w:cs="Times New Roman"/>
          <w:sz w:val="32"/>
          <w:szCs w:val="32"/>
          <w:lang w:bidi="ar"/>
        </w:rPr>
        <w:t>附件</w:t>
      </w:r>
    </w:p>
    <w:p>
      <w:pPr>
        <w:overflowPunct w:val="0"/>
        <w:topLinePunct/>
        <w:spacing w:line="240" w:lineRule="exact"/>
        <w:jc w:val="center"/>
        <w:rPr>
          <w:rFonts w:hint="default" w:ascii="Times New Roman" w:hAnsi="Times New Roman" w:eastAsia="方正小标宋简体" w:cs="Times New Roman"/>
          <w:sz w:val="44"/>
          <w:szCs w:val="44"/>
        </w:rPr>
      </w:pPr>
    </w:p>
    <w:p>
      <w:pPr>
        <w:spacing w:line="60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第三轮中央生态环境保护督察整改任务</w:t>
      </w:r>
    </w:p>
    <w:p>
      <w:pPr>
        <w:spacing w:line="600" w:lineRule="exact"/>
        <w:jc w:val="center"/>
        <w:rPr>
          <w:rFonts w:hint="default" w:ascii="Times New Roman" w:hAnsi="Times New Roman" w:cs="Times New Roman"/>
        </w:rPr>
      </w:pPr>
      <w:r>
        <w:rPr>
          <w:rFonts w:hint="default" w:ascii="Times New Roman" w:hAnsi="Times New Roman" w:eastAsia="方正小标宋简体" w:cs="Times New Roman"/>
          <w:sz w:val="44"/>
          <w:szCs w:val="44"/>
        </w:rPr>
        <w:t>完成情况表</w:t>
      </w:r>
    </w:p>
    <w:tbl>
      <w:tblPr>
        <w:tblStyle w:val="4"/>
        <w:tblW w:w="88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7" w:type="dxa"/>
          <w:bottom w:w="0" w:type="dxa"/>
          <w:right w:w="17" w:type="dxa"/>
        </w:tblCellMar>
      </w:tblPr>
      <w:tblGrid>
        <w:gridCol w:w="2472"/>
        <w:gridCol w:w="63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7" w:type="dxa"/>
            <w:bottom w:w="0" w:type="dxa"/>
            <w:right w:w="17" w:type="dxa"/>
          </w:tblCellMar>
        </w:tblPrEx>
        <w:trPr>
          <w:trHeight w:val="976" w:hRule="atLeast"/>
          <w:jc w:val="center"/>
        </w:trPr>
        <w:tc>
          <w:tcPr>
            <w:tcW w:w="2472" w:type="dxa"/>
            <w:tcBorders>
              <w:top w:val="single" w:color="auto" w:sz="4" w:space="0"/>
              <w:left w:val="single" w:color="auto" w:sz="4" w:space="0"/>
              <w:bottom w:val="single" w:color="auto" w:sz="4" w:space="0"/>
              <w:right w:val="single" w:color="auto" w:sz="4" w:space="0"/>
            </w:tcBorders>
            <w:noWrap w:val="0"/>
            <w:vAlign w:val="center"/>
          </w:tcPr>
          <w:p>
            <w:pPr>
              <w:overflowPunct w:val="0"/>
              <w:topLinePunct/>
              <w:spacing w:line="600" w:lineRule="exact"/>
              <w:jc w:val="center"/>
              <w:rPr>
                <w:rFonts w:hint="default" w:ascii="Times New Roman" w:hAnsi="Times New Roman" w:eastAsia="楷体_GB2312" w:cs="Times New Roman"/>
                <w:bCs/>
                <w:kern w:val="0"/>
                <w:sz w:val="30"/>
                <w:szCs w:val="30"/>
              </w:rPr>
            </w:pPr>
            <w:r>
              <w:rPr>
                <w:rFonts w:hint="default" w:ascii="Times New Roman" w:hAnsi="Times New Roman" w:eastAsia="黑体" w:cs="Times New Roman"/>
                <w:bCs/>
                <w:kern w:val="0"/>
                <w:sz w:val="28"/>
                <w:szCs w:val="28"/>
              </w:rPr>
              <w:t>整改任务</w:t>
            </w:r>
          </w:p>
        </w:tc>
        <w:tc>
          <w:tcPr>
            <w:tcW w:w="6362" w:type="dxa"/>
            <w:tcBorders>
              <w:top w:val="single" w:color="auto" w:sz="4" w:space="0"/>
              <w:left w:val="nil"/>
              <w:bottom w:val="single" w:color="auto" w:sz="4" w:space="0"/>
              <w:right w:val="single" w:color="auto" w:sz="4" w:space="0"/>
            </w:tcBorders>
            <w:noWrap w:val="0"/>
            <w:vAlign w:val="center"/>
          </w:tcPr>
          <w:p>
            <w:pPr>
              <w:suppressAutoHyphens/>
              <w:overflowPunct w:val="0"/>
              <w:topLinePunct/>
              <w:bidi w:val="0"/>
              <w:spacing w:line="60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第</w:t>
            </w:r>
            <w:r>
              <w:rPr>
                <w:rFonts w:hint="default" w:ascii="Times New Roman" w:hAnsi="Times New Roman" w:eastAsia="仿宋_GB2312" w:cs="Times New Roman"/>
                <w:sz w:val="28"/>
                <w:szCs w:val="28"/>
                <w:lang w:val="en-US" w:eastAsia="zh-CN"/>
              </w:rPr>
              <w:t>三</w:t>
            </w:r>
            <w:r>
              <w:rPr>
                <w:rFonts w:hint="default" w:ascii="Times New Roman" w:hAnsi="Times New Roman" w:eastAsia="仿宋_GB2312" w:cs="Times New Roman"/>
                <w:sz w:val="28"/>
                <w:szCs w:val="28"/>
              </w:rPr>
              <w:t>轮中央生态环境保护督察第</w:t>
            </w:r>
            <w:r>
              <w:rPr>
                <w:rFonts w:hint="default" w:ascii="Times New Roman" w:hAnsi="Times New Roman" w:eastAsia="仿宋_GB2312" w:cs="Times New Roman"/>
                <w:sz w:val="28"/>
                <w:szCs w:val="28"/>
                <w:lang w:val="en-US" w:eastAsia="zh-CN"/>
              </w:rPr>
              <w:t>二十一项</w:t>
            </w:r>
            <w:r>
              <w:rPr>
                <w:rFonts w:hint="default" w:ascii="Times New Roman" w:hAnsi="Times New Roman" w:eastAsia="仿宋_GB2312" w:cs="Times New Roman"/>
                <w:sz w:val="28"/>
                <w:szCs w:val="28"/>
              </w:rPr>
              <w:t>整改任务：矿山修复把关不严。达州市万源胡家坝石料厂非法占用林地区域应于2019年完成生态修复，2020年4月，万源市相关部门在矿山仅种植少量树木的情况下，就认定其完成生态修复。2022年万源市再次将其纳入历史遗留矿山生态修复范围，但矿山仍未落实修复方案要求，达州市及万源市相关部门验收把关不严，于2024年初通过验收。督察发现，该矿区未落实修复方案中将矿山作业平台和开采边坡修复为林地和草地的要求，作业平台仅有零星植被，开采边坡完全裸露，矿山修复工作流于形式。内江市资中县文华矿业红庙子采区未落实“边开采、边修复”要求，2023年应修复的229亩矿山实际未开展修复，2023年前已修复区域也存在管护不到位、修复质量差等问题。该矿还违规侵占公益林和耕地堆放废弃矿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7" w:type="dxa"/>
            <w:bottom w:w="0" w:type="dxa"/>
            <w:right w:w="17" w:type="dxa"/>
          </w:tblCellMar>
        </w:tblPrEx>
        <w:trPr>
          <w:trHeight w:val="762" w:hRule="atLeast"/>
          <w:jc w:val="center"/>
        </w:trPr>
        <w:tc>
          <w:tcPr>
            <w:tcW w:w="2472" w:type="dxa"/>
            <w:tcBorders>
              <w:top w:val="single" w:color="auto" w:sz="4" w:space="0"/>
              <w:left w:val="single" w:color="auto" w:sz="4" w:space="0"/>
              <w:bottom w:val="single" w:color="auto" w:sz="4" w:space="0"/>
              <w:right w:val="single" w:color="auto" w:sz="4" w:space="0"/>
            </w:tcBorders>
            <w:noWrap w:val="0"/>
            <w:vAlign w:val="center"/>
          </w:tcPr>
          <w:p>
            <w:pPr>
              <w:overflowPunct w:val="0"/>
              <w:topLinePunct/>
              <w:spacing w:line="600" w:lineRule="exact"/>
              <w:jc w:val="center"/>
              <w:rPr>
                <w:rFonts w:hint="default" w:ascii="Times New Roman" w:hAnsi="Times New Roman" w:eastAsia="楷体_GB2312" w:cs="Times New Roman"/>
                <w:bCs/>
                <w:kern w:val="0"/>
                <w:sz w:val="30"/>
                <w:szCs w:val="30"/>
              </w:rPr>
            </w:pPr>
            <w:r>
              <w:rPr>
                <w:rFonts w:hint="default" w:ascii="Times New Roman" w:hAnsi="Times New Roman" w:eastAsia="黑体" w:cs="Times New Roman"/>
                <w:bCs/>
                <w:kern w:val="0"/>
                <w:sz w:val="28"/>
                <w:szCs w:val="28"/>
              </w:rPr>
              <w:t>整改实施主体</w:t>
            </w:r>
          </w:p>
        </w:tc>
        <w:tc>
          <w:tcPr>
            <w:tcW w:w="6362" w:type="dxa"/>
            <w:tcBorders>
              <w:top w:val="single" w:color="auto" w:sz="4" w:space="0"/>
              <w:left w:val="nil"/>
              <w:bottom w:val="single" w:color="auto" w:sz="4" w:space="0"/>
              <w:right w:val="single" w:color="auto" w:sz="4" w:space="0"/>
            </w:tcBorders>
            <w:noWrap w:val="0"/>
            <w:vAlign w:val="top"/>
          </w:tcPr>
          <w:p>
            <w:pPr>
              <w:suppressAutoHyphens/>
              <w:overflowPunct w:val="0"/>
              <w:topLinePunct/>
              <w:bidi w:val="0"/>
              <w:spacing w:line="60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自然资源厅</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生态环境厅</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各市</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州</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党委、政府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7" w:type="dxa"/>
            <w:bottom w:w="0" w:type="dxa"/>
            <w:right w:w="17" w:type="dxa"/>
          </w:tblCellMar>
        </w:tblPrEx>
        <w:trPr>
          <w:trHeight w:val="762" w:hRule="atLeast"/>
          <w:jc w:val="center"/>
        </w:trPr>
        <w:tc>
          <w:tcPr>
            <w:tcW w:w="2472" w:type="dxa"/>
            <w:tcBorders>
              <w:top w:val="single" w:color="auto" w:sz="4" w:space="0"/>
              <w:left w:val="single" w:color="auto" w:sz="4" w:space="0"/>
              <w:bottom w:val="single" w:color="auto" w:sz="4" w:space="0"/>
              <w:right w:val="single" w:color="auto" w:sz="4" w:space="0"/>
            </w:tcBorders>
            <w:noWrap w:val="0"/>
            <w:vAlign w:val="center"/>
          </w:tcPr>
          <w:p>
            <w:pPr>
              <w:overflowPunct w:val="0"/>
              <w:topLinePunct/>
              <w:spacing w:line="600" w:lineRule="exact"/>
              <w:jc w:val="center"/>
              <w:rPr>
                <w:rFonts w:hint="default" w:ascii="Times New Roman" w:hAnsi="Times New Roman" w:eastAsia="楷体_GB2312" w:cs="Times New Roman"/>
                <w:bCs/>
                <w:kern w:val="0"/>
                <w:sz w:val="30"/>
                <w:szCs w:val="30"/>
              </w:rPr>
            </w:pPr>
            <w:r>
              <w:rPr>
                <w:rFonts w:hint="default" w:ascii="Times New Roman" w:hAnsi="Times New Roman" w:eastAsia="黑体" w:cs="Times New Roman"/>
                <w:bCs/>
                <w:kern w:val="0"/>
                <w:sz w:val="28"/>
                <w:szCs w:val="28"/>
              </w:rPr>
              <w:t>整改目标</w:t>
            </w:r>
          </w:p>
        </w:tc>
        <w:tc>
          <w:tcPr>
            <w:tcW w:w="6362" w:type="dxa"/>
            <w:tcBorders>
              <w:top w:val="single" w:color="auto" w:sz="4" w:space="0"/>
              <w:left w:val="nil"/>
              <w:bottom w:val="single" w:color="auto" w:sz="4" w:space="0"/>
              <w:right w:val="single" w:color="auto" w:sz="4" w:space="0"/>
            </w:tcBorders>
            <w:noWrap w:val="0"/>
            <w:vAlign w:val="top"/>
          </w:tcPr>
          <w:p>
            <w:pPr>
              <w:overflowPunct w:val="0"/>
              <w:topLinePunct/>
              <w:spacing w:line="600" w:lineRule="exact"/>
              <w:jc w:val="left"/>
              <w:rPr>
                <w:rFonts w:hint="default" w:ascii="Times New Roman" w:hAnsi="Times New Roman" w:eastAsia="楷体_GB2312" w:cs="Times New Roman"/>
                <w:kern w:val="0"/>
                <w:sz w:val="30"/>
                <w:szCs w:val="30"/>
              </w:rPr>
            </w:pPr>
            <w:r>
              <w:rPr>
                <w:rFonts w:hint="default" w:ascii="Times New Roman" w:hAnsi="Times New Roman" w:eastAsia="仿宋_GB2312" w:cs="Times New Roman"/>
                <w:sz w:val="28"/>
                <w:szCs w:val="28"/>
              </w:rPr>
              <w:t>严格执行矿山生态修复要求，建立长效管控机制。完成内江市、达州市相关矿山生态修复。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7" w:type="dxa"/>
            <w:bottom w:w="0" w:type="dxa"/>
            <w:right w:w="17" w:type="dxa"/>
          </w:tblCellMar>
        </w:tblPrEx>
        <w:trPr>
          <w:trHeight w:val="762" w:hRule="atLeast"/>
          <w:jc w:val="center"/>
        </w:trPr>
        <w:tc>
          <w:tcPr>
            <w:tcW w:w="2472" w:type="dxa"/>
            <w:tcBorders>
              <w:top w:val="single" w:color="auto" w:sz="4" w:space="0"/>
              <w:left w:val="single" w:color="auto" w:sz="4" w:space="0"/>
              <w:bottom w:val="single" w:color="auto" w:sz="4" w:space="0"/>
              <w:right w:val="single" w:color="auto" w:sz="4" w:space="0"/>
            </w:tcBorders>
            <w:noWrap w:val="0"/>
            <w:vAlign w:val="center"/>
          </w:tcPr>
          <w:p>
            <w:pPr>
              <w:overflowPunct w:val="0"/>
              <w:topLinePunct/>
              <w:spacing w:line="600" w:lineRule="exact"/>
              <w:jc w:val="center"/>
              <w:rPr>
                <w:rFonts w:hint="default" w:ascii="Times New Roman" w:hAnsi="Times New Roman" w:eastAsia="黑体" w:cs="Times New Roman"/>
                <w:bCs/>
                <w:kern w:val="0"/>
                <w:sz w:val="28"/>
                <w:szCs w:val="28"/>
              </w:rPr>
            </w:pPr>
            <w:r>
              <w:rPr>
                <w:rFonts w:hint="default" w:ascii="Times New Roman" w:hAnsi="Times New Roman" w:eastAsia="黑体" w:cs="Times New Roman"/>
                <w:bCs/>
                <w:kern w:val="0"/>
                <w:sz w:val="28"/>
                <w:szCs w:val="28"/>
              </w:rPr>
              <w:t>整改时限</w:t>
            </w:r>
          </w:p>
        </w:tc>
        <w:tc>
          <w:tcPr>
            <w:tcW w:w="6362" w:type="dxa"/>
            <w:tcBorders>
              <w:top w:val="single" w:color="auto" w:sz="4" w:space="0"/>
              <w:left w:val="nil"/>
              <w:bottom w:val="single" w:color="auto" w:sz="4" w:space="0"/>
              <w:right w:val="single" w:color="auto" w:sz="4" w:space="0"/>
            </w:tcBorders>
            <w:noWrap w:val="0"/>
            <w:vAlign w:val="top"/>
          </w:tcPr>
          <w:p>
            <w:pPr>
              <w:overflowPunct w:val="0"/>
              <w:topLinePunct/>
              <w:spacing w:line="600" w:lineRule="exact"/>
              <w:jc w:val="left"/>
              <w:rPr>
                <w:rFonts w:hint="default" w:ascii="Times New Roman" w:hAnsi="Times New Roman" w:eastAsia="楷体_GB2312" w:cs="Times New Roman"/>
                <w:kern w:val="0"/>
                <w:sz w:val="30"/>
                <w:szCs w:val="30"/>
                <w:lang w:val="en-US" w:eastAsia="zh-CN"/>
              </w:rPr>
            </w:pPr>
            <w:r>
              <w:rPr>
                <w:rFonts w:hint="default" w:ascii="Times New Roman" w:hAnsi="Times New Roman" w:eastAsia="仿宋_GB2312" w:cs="Times New Roman"/>
                <w:sz w:val="28"/>
                <w:szCs w:val="28"/>
                <w:lang w:val="en-US" w:eastAsia="zh-CN"/>
              </w:rPr>
              <w:t>2026年9月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7" w:type="dxa"/>
            <w:bottom w:w="0" w:type="dxa"/>
            <w:right w:w="17" w:type="dxa"/>
          </w:tblCellMar>
        </w:tblPrEx>
        <w:trPr>
          <w:trHeight w:val="762" w:hRule="atLeast"/>
          <w:jc w:val="center"/>
        </w:trPr>
        <w:tc>
          <w:tcPr>
            <w:tcW w:w="2472" w:type="dxa"/>
            <w:tcBorders>
              <w:top w:val="single" w:color="auto" w:sz="4" w:space="0"/>
              <w:left w:val="single" w:color="auto" w:sz="4" w:space="0"/>
              <w:bottom w:val="single" w:color="auto" w:sz="4" w:space="0"/>
              <w:right w:val="single" w:color="auto" w:sz="4" w:space="0"/>
            </w:tcBorders>
            <w:noWrap w:val="0"/>
            <w:vAlign w:val="center"/>
          </w:tcPr>
          <w:p>
            <w:pPr>
              <w:overflowPunct w:val="0"/>
              <w:topLinePunct/>
              <w:spacing w:line="600" w:lineRule="exact"/>
              <w:jc w:val="center"/>
              <w:rPr>
                <w:rFonts w:hint="default" w:ascii="Times New Roman" w:hAnsi="Times New Roman" w:eastAsia="楷体_GB2312" w:cs="Times New Roman"/>
                <w:bCs/>
                <w:kern w:val="0"/>
                <w:sz w:val="30"/>
                <w:szCs w:val="30"/>
              </w:rPr>
            </w:pPr>
            <w:r>
              <w:rPr>
                <w:rFonts w:hint="default" w:ascii="Times New Roman" w:hAnsi="Times New Roman" w:eastAsia="黑体" w:cs="Times New Roman"/>
                <w:bCs/>
                <w:kern w:val="0"/>
                <w:sz w:val="28"/>
                <w:szCs w:val="28"/>
              </w:rPr>
              <w:t>整改措施</w:t>
            </w:r>
          </w:p>
        </w:tc>
        <w:tc>
          <w:tcPr>
            <w:tcW w:w="6362" w:type="dxa"/>
            <w:tcBorders>
              <w:top w:val="single" w:color="auto" w:sz="4" w:space="0"/>
              <w:left w:val="nil"/>
              <w:bottom w:val="single" w:color="auto" w:sz="4" w:space="0"/>
              <w:right w:val="single" w:color="auto" w:sz="4" w:space="0"/>
            </w:tcBorders>
            <w:noWrap w:val="0"/>
            <w:vAlign w:val="top"/>
          </w:tcPr>
          <w:p>
            <w:pPr>
              <w:overflowPunct w:val="0"/>
              <w:topLinePunct/>
              <w:spacing w:line="600" w:lineRule="exact"/>
              <w:jc w:val="lef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自然资源厅〔生态环境厅，各市（州）党委、政府配合整改〕</w:t>
            </w:r>
          </w:p>
          <w:p>
            <w:pPr>
              <w:overflowPunct w:val="0"/>
              <w:topLinePunct/>
              <w:spacing w:line="600" w:lineRule="exact"/>
              <w:jc w:val="left"/>
              <w:rPr>
                <w:rFonts w:hint="default" w:ascii="Times New Roman" w:hAnsi="Times New Roman" w:eastAsia="楷体_GB2312" w:cs="Times New Roman"/>
                <w:kern w:val="0"/>
                <w:sz w:val="30"/>
                <w:szCs w:val="30"/>
              </w:rPr>
            </w:pPr>
            <w:r>
              <w:rPr>
                <w:rFonts w:hint="default" w:ascii="Times New Roman" w:hAnsi="Times New Roman" w:eastAsia="仿宋_GB2312" w:cs="Times New Roman"/>
                <w:sz w:val="28"/>
                <w:szCs w:val="28"/>
              </w:rPr>
              <w:t>组织开展全省2022年以来实施的历史遗留矿山生态修复项目修复成效“回头看”，对全省生产矿山采矿权人履行矿山地质环境保护与土地复垦义务的情况进行监督检查。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7" w:type="dxa"/>
            <w:bottom w:w="0" w:type="dxa"/>
            <w:right w:w="17" w:type="dxa"/>
          </w:tblCellMar>
        </w:tblPrEx>
        <w:trPr>
          <w:trHeight w:val="1276" w:hRule="atLeast"/>
          <w:jc w:val="center"/>
        </w:trPr>
        <w:tc>
          <w:tcPr>
            <w:tcW w:w="2472" w:type="dxa"/>
            <w:tcBorders>
              <w:top w:val="single" w:color="auto" w:sz="4" w:space="0"/>
              <w:left w:val="single" w:color="auto" w:sz="4" w:space="0"/>
              <w:bottom w:val="single" w:color="auto" w:sz="4" w:space="0"/>
              <w:right w:val="single" w:color="auto" w:sz="4" w:space="0"/>
            </w:tcBorders>
            <w:noWrap w:val="0"/>
            <w:vAlign w:val="center"/>
          </w:tcPr>
          <w:p>
            <w:pPr>
              <w:overflowPunct w:val="0"/>
              <w:topLinePunct/>
              <w:spacing w:line="600" w:lineRule="exact"/>
              <w:jc w:val="center"/>
              <w:rPr>
                <w:rFonts w:hint="default" w:ascii="Times New Roman" w:hAnsi="Times New Roman" w:eastAsia="楷体_GB2312" w:cs="Times New Roman"/>
                <w:bCs/>
                <w:kern w:val="0"/>
                <w:sz w:val="30"/>
                <w:szCs w:val="30"/>
              </w:rPr>
            </w:pPr>
            <w:r>
              <w:rPr>
                <w:rFonts w:hint="default" w:ascii="Times New Roman" w:hAnsi="Times New Roman" w:eastAsia="黑体" w:cs="Times New Roman"/>
                <w:bCs/>
                <w:kern w:val="0"/>
                <w:sz w:val="28"/>
                <w:szCs w:val="28"/>
              </w:rPr>
              <w:t>整改任务完成情况</w:t>
            </w:r>
          </w:p>
        </w:tc>
        <w:tc>
          <w:tcPr>
            <w:tcW w:w="6362" w:type="dxa"/>
            <w:tcBorders>
              <w:top w:val="single" w:color="auto" w:sz="4" w:space="0"/>
              <w:left w:val="nil"/>
              <w:bottom w:val="single" w:color="auto" w:sz="4" w:space="0"/>
              <w:right w:val="single" w:color="auto" w:sz="4" w:space="0"/>
            </w:tcBorders>
            <w:noWrap w:val="0"/>
            <w:vAlign w:val="center"/>
          </w:tcPr>
          <w:p>
            <w:pPr>
              <w:pStyle w:val="7"/>
              <w:numPr>
                <w:ilvl w:val="0"/>
                <w:numId w:val="0"/>
              </w:numPr>
              <w:rPr>
                <w:rFonts w:hint="default"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2025年6月，印发《四川省自然资源厅办公室关于开展全省历史遗留矿山生态修复“回头看”和采矿权人履行矿山地质环境保护与土地复垦义务监督检查的通知》（川自然资办便函〔2025〕256号），组织开展全省2022年以来实施的历史遗留矿山生态修复项目修复成效“回头看”和全省生产矿山采矿权人履行矿山地质环境保护与土地复垦义务情况监督检查，共发现存在问题的矿山413个，针对发现存在问题的矿山，逐项明确整改措施与时限。</w:t>
            </w:r>
          </w:p>
        </w:tc>
      </w:tr>
    </w:tbl>
    <w:p>
      <w:pPr>
        <w:spacing w:line="600" w:lineRule="exact"/>
        <w:rPr>
          <w:rFonts w:hint="default" w:ascii="Times New Roman" w:hAnsi="Times New Roman" w:eastAsia="黑体" w:cs="Times New Roman"/>
          <w:sz w:val="32"/>
          <w:szCs w:val="32"/>
          <w:lang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altName w:val="楷体"/>
    <w:panose1 w:val="020B0603030804020204"/>
    <w:charset w:val="86"/>
    <w:family w:val="modern"/>
    <w:pitch w:val="default"/>
    <w:sig w:usb0="00000000" w:usb1="00000000" w:usb2="0A246029" w:usb3="0400200C" w:csb0="600001FF" w:csb1="DFFF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2062CCD"/>
    <w:rsid w:val="44386798"/>
    <w:rsid w:val="77FF6C4B"/>
    <w:rsid w:val="7BFFF24F"/>
    <w:rsid w:val="FDEF7C4B"/>
    <w:rsid w:val="FF764EE8"/>
    <w:rsid w:val="FFEF14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customStyle="1" w:styleId="2">
    <w:name w:val="称呼1"/>
    <w:basedOn w:val="1"/>
    <w:next w:val="1"/>
    <w:qFormat/>
    <w:uiPriority w:val="0"/>
    <w:rPr>
      <w:rFonts w:ascii="Times New Roman" w:hAnsi="Times New Roman"/>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 w:type="paragraph" w:customStyle="1" w:styleId="7">
    <w:name w:val="Default"/>
    <w:basedOn w:val="1"/>
    <w:qFormat/>
    <w:uiPriority w:val="0"/>
    <w:pPr>
      <w:autoSpaceDE w:val="0"/>
      <w:autoSpaceDN w:val="0"/>
      <w:adjustRightInd w:val="0"/>
      <w:jc w:val="left"/>
    </w:pPr>
    <w:rPr>
      <w:rFonts w:cs="宋体"/>
      <w:color w:val="000000"/>
      <w:kern w:val="0"/>
      <w:sz w:val="24"/>
    </w:rPr>
  </w:style>
  <w:style w:type="character" w:customStyle="1" w:styleId="8">
    <w:name w:val="NormalCharacter"/>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63</TotalTime>
  <ScaleCrop>false</ScaleCrop>
  <LinksUpToDate>false</LinksUpToDate>
  <CharactersWithSpaces>0</CharactersWithSpaces>
  <Application>WPS Office_11.8.2.8721_F1E327BC-269C-435d-A152-05C5408002CA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2026-10-02T00:23:00Z</dcterms:created>
  <dc:creator>lenovo</dc:creator>
  <cp:lastModifiedBy>李紫熙</cp:lastModifiedBy>
  <dcterms:modified xsi:type="dcterms:W3CDTF">2026-10-12T06:45:38Z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2052-11.8.2.8721</vt:lpwstr>
  </property>
  <property fmtid="{D5CDD505-2E9C-101B-9397-08002B2CF9AE}" pid="3" name="ICV">
    <vt:lpwstr>2728573B19B0FBC066E5C96A7E17D0D9</vt:lpwstr>
  </property>
</Properties>
</file>