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8C855">
      <w:pPr>
        <w:spacing w:line="700" w:lineRule="exact"/>
        <w:jc w:val="center"/>
        <w:rPr>
          <w:rFonts w:hint="eastAsia" w:ascii="Times New Roman" w:hAnsi="Times New Roman" w:eastAsia="方正小标宋_GBK"/>
          <w:color w:val="auto"/>
          <w:kern w:val="0"/>
          <w:sz w:val="44"/>
          <w:szCs w:val="44"/>
        </w:rPr>
      </w:pPr>
      <w:bookmarkStart w:id="0" w:name="_GoBack"/>
      <w:bookmarkEnd w:id="0"/>
      <w:r>
        <w:rPr>
          <w:rFonts w:hint="eastAsia" w:ascii="Times New Roman" w:hAnsi="Times New Roman" w:eastAsia="方正小标宋_GBK"/>
          <w:color w:val="auto"/>
          <w:kern w:val="0"/>
          <w:sz w:val="44"/>
          <w:szCs w:val="44"/>
        </w:rPr>
        <w:t>关于推动城市高质量发展的实施意见</w:t>
      </w:r>
    </w:p>
    <w:p w14:paraId="1D617ED0">
      <w:pPr>
        <w:spacing w:line="700" w:lineRule="exact"/>
        <w:jc w:val="center"/>
        <w:rPr>
          <w:rFonts w:hint="eastAsia" w:ascii="Times New Roman" w:hAnsi="Times New Roman" w:eastAsia="方正小标宋_GBK"/>
          <w:color w:val="auto"/>
          <w:kern w:val="0"/>
          <w:sz w:val="44"/>
          <w:szCs w:val="44"/>
          <w:lang w:eastAsia="zh-CN"/>
        </w:rPr>
      </w:pPr>
      <w:r>
        <w:rPr>
          <w:rFonts w:hint="eastAsia" w:ascii="Times New Roman" w:hAnsi="Times New Roman" w:eastAsia="方正小标宋_GBK"/>
          <w:color w:val="auto"/>
          <w:kern w:val="0"/>
          <w:sz w:val="44"/>
          <w:szCs w:val="44"/>
          <w:lang w:eastAsia="zh-CN"/>
        </w:rPr>
        <w:t>（征求意见稿）</w:t>
      </w:r>
    </w:p>
    <w:p w14:paraId="1C3C624C">
      <w:pPr>
        <w:keepNext w:val="0"/>
        <w:keepLines w:val="0"/>
        <w:pageBreakBefore w:val="0"/>
        <w:widowControl w:val="0"/>
        <w:kinsoku/>
        <w:wordWrap/>
        <w:overflowPunct/>
        <w:topLinePunct w:val="0"/>
        <w:autoSpaceDE/>
        <w:autoSpaceDN/>
        <w:adjustRightInd/>
        <w:snapToGrid/>
        <w:spacing w:line="590" w:lineRule="exact"/>
        <w:rPr>
          <w:rFonts w:hint="eastAsia" w:ascii="Times New Roman" w:hAnsi="Times New Roman" w:eastAsia="方正仿宋_GBK"/>
          <w:color w:val="auto"/>
          <w:kern w:val="0"/>
          <w:sz w:val="33"/>
          <w:szCs w:val="33"/>
        </w:rPr>
      </w:pPr>
    </w:p>
    <w:p w14:paraId="657CF202">
      <w:pPr>
        <w:keepNext w:val="0"/>
        <w:keepLines w:val="0"/>
        <w:pageBreakBefore w:val="0"/>
        <w:widowControl w:val="0"/>
        <w:kinsoku/>
        <w:wordWrap/>
        <w:overflowPunct/>
        <w:topLinePunct w:val="0"/>
        <w:autoSpaceDE/>
        <w:autoSpaceDN/>
        <w:adjustRightInd/>
        <w:snapToGrid/>
        <w:spacing w:line="590" w:lineRule="exact"/>
        <w:rPr>
          <w:rFonts w:ascii="Times New Roman" w:hAnsi="Times New Roman" w:eastAsia="方正仿宋_GBK"/>
          <w:color w:val="auto"/>
          <w:kern w:val="0"/>
          <w:sz w:val="33"/>
          <w:szCs w:val="33"/>
        </w:rPr>
      </w:pPr>
      <w:r>
        <w:rPr>
          <w:rFonts w:ascii="Times New Roman" w:hAnsi="Times New Roman" w:eastAsia="方正仿宋_GBK"/>
          <w:color w:val="auto"/>
          <w:kern w:val="0"/>
          <w:sz w:val="33"/>
          <w:szCs w:val="33"/>
        </w:rPr>
        <w:t>各县（市、区）人民政府，广安经开区、川渝高竹新区管委会，市直各部门，有关单位：</w:t>
      </w:r>
    </w:p>
    <w:p w14:paraId="4FEB4863">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为深入贯彻中央</w:t>
      </w:r>
      <w:r>
        <w:rPr>
          <w:rFonts w:ascii="Times New Roman" w:hAnsi="Times New Roman" w:eastAsia="方正仿宋_GBK"/>
          <w:color w:val="auto"/>
          <w:kern w:val="0"/>
          <w:sz w:val="33"/>
          <w:szCs w:val="33"/>
        </w:rPr>
        <w:t>、省委</w:t>
      </w:r>
      <w:r>
        <w:rPr>
          <w:rFonts w:hint="eastAsia" w:ascii="Times New Roman" w:hAnsi="Times New Roman" w:eastAsia="方正仿宋_GBK"/>
          <w:color w:val="auto"/>
          <w:kern w:val="0"/>
          <w:sz w:val="33"/>
          <w:szCs w:val="33"/>
        </w:rPr>
        <w:t>城市工作会议精神，全面落实《中共中央</w:t>
      </w:r>
      <w:r>
        <w:rPr>
          <w:rFonts w:ascii="Times New Roman" w:hAnsi="Times New Roman" w:eastAsia="方正仿宋_GBK"/>
          <w:color w:val="auto"/>
          <w:kern w:val="0"/>
          <w:sz w:val="33"/>
          <w:szCs w:val="33"/>
        </w:rPr>
        <w:t>、</w:t>
      </w:r>
      <w:r>
        <w:rPr>
          <w:rFonts w:hint="eastAsia" w:ascii="Times New Roman" w:hAnsi="Times New Roman" w:eastAsia="方正仿宋_GBK"/>
          <w:color w:val="auto"/>
          <w:kern w:val="0"/>
          <w:sz w:val="33"/>
          <w:szCs w:val="33"/>
        </w:rPr>
        <w:t>国务院关于推动城市高质量发展的意见》和《四川省人民政府关于推动城市高质量发展的实施意见》</w:t>
      </w:r>
      <w:r>
        <w:rPr>
          <w:rFonts w:ascii="Times New Roman" w:hAnsi="Times New Roman" w:eastAsia="方正仿宋_GBK"/>
          <w:color w:val="auto"/>
          <w:kern w:val="0"/>
          <w:sz w:val="33"/>
          <w:szCs w:val="33"/>
        </w:rPr>
        <w:t>（川府发</w:t>
      </w:r>
      <w:r>
        <w:rPr>
          <w:rFonts w:hint="default" w:ascii="Times New Roman" w:hAnsi="Times New Roman" w:eastAsia="宋体"/>
          <w:color w:val="auto"/>
          <w:kern w:val="0"/>
          <w:sz w:val="33"/>
          <w:szCs w:val="33"/>
        </w:rPr>
        <w:t>〔</w:t>
      </w:r>
      <w:r>
        <w:rPr>
          <w:rFonts w:ascii="Times New Roman" w:hAnsi="Times New Roman" w:eastAsia="方正仿宋_GBK"/>
          <w:color w:val="auto"/>
          <w:kern w:val="0"/>
          <w:sz w:val="33"/>
          <w:szCs w:val="33"/>
        </w:rPr>
        <w:t>2026</w:t>
      </w:r>
      <w:r>
        <w:rPr>
          <w:rFonts w:hint="default" w:ascii="Times New Roman" w:hAnsi="Times New Roman" w:eastAsia="宋体"/>
          <w:color w:val="auto"/>
          <w:kern w:val="0"/>
          <w:sz w:val="33"/>
          <w:szCs w:val="33"/>
        </w:rPr>
        <w:t>〕</w:t>
      </w:r>
      <w:r>
        <w:rPr>
          <w:rFonts w:ascii="Times New Roman" w:hAnsi="Times New Roman" w:eastAsia="方正仿宋_GBK"/>
          <w:color w:val="auto"/>
          <w:kern w:val="0"/>
          <w:sz w:val="33"/>
          <w:szCs w:val="33"/>
        </w:rPr>
        <w:t>1号）</w:t>
      </w:r>
      <w:r>
        <w:rPr>
          <w:rFonts w:hint="eastAsia" w:ascii="Times New Roman" w:hAnsi="Times New Roman" w:eastAsia="方正仿宋_GBK"/>
          <w:color w:val="auto"/>
          <w:kern w:val="0"/>
          <w:sz w:val="33"/>
          <w:szCs w:val="33"/>
        </w:rPr>
        <w:t>，加快城市发展方式从大规模增量扩张向存量提质增效转型，推动城市内涵式高质量发展，打造具有广安特色的现代化人民城市和重庆都市圈北部副中心高品质生活宜居地，特制定本意见。</w:t>
      </w:r>
    </w:p>
    <w:p w14:paraId="46894E1E">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方正黑体_GBK" w:eastAsia="方正黑体_GBK"/>
          <w:color w:val="auto"/>
          <w:kern w:val="0"/>
          <w:sz w:val="33"/>
          <w:szCs w:val="33"/>
        </w:rPr>
      </w:pPr>
      <w:r>
        <w:rPr>
          <w:rFonts w:hint="eastAsia" w:ascii="方正黑体_GBK" w:eastAsia="方正黑体_GBK"/>
          <w:color w:val="auto"/>
          <w:kern w:val="0"/>
          <w:sz w:val="33"/>
          <w:szCs w:val="33"/>
        </w:rPr>
        <w:t>一、总体要求​</w:t>
      </w:r>
    </w:p>
    <w:p w14:paraId="1B127F5E">
      <w:pPr>
        <w:keepNext w:val="0"/>
        <w:keepLines w:val="0"/>
        <w:pageBreakBefore w:val="0"/>
        <w:widowControl w:val="0"/>
        <w:kinsoku/>
        <w:wordWrap/>
        <w:overflowPunct/>
        <w:topLinePunct w:val="0"/>
        <w:autoSpaceDE/>
        <w:autoSpaceDN/>
        <w:adjustRightInd/>
        <w:snapToGrid/>
        <w:spacing w:line="590" w:lineRule="exact"/>
        <w:ind w:left="0" w:firstLine="663" w:firstLineChars="200"/>
        <w:rPr>
          <w:rFonts w:hint="eastAsia" w:ascii="方正楷体_GBK" w:eastAsia="方正楷体_GBK"/>
          <w:b/>
          <w:bCs/>
          <w:color w:val="auto"/>
          <w:kern w:val="0"/>
          <w:sz w:val="33"/>
          <w:szCs w:val="33"/>
        </w:rPr>
      </w:pPr>
      <w:r>
        <w:rPr>
          <w:rFonts w:hint="eastAsia" w:ascii="方正楷体_GBK" w:eastAsia="方正楷体_GBK"/>
          <w:b/>
          <w:bCs/>
          <w:color w:val="auto"/>
          <w:kern w:val="0"/>
          <w:sz w:val="33"/>
          <w:szCs w:val="33"/>
        </w:rPr>
        <w:t>（一）指导思想​</w:t>
      </w:r>
    </w:p>
    <w:p w14:paraId="5E9646A9">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坚持以习近平新时代中国特色社会主义思想为指导，深入贯彻党的二十大和二十届</w:t>
      </w:r>
      <w:r>
        <w:rPr>
          <w:rFonts w:ascii="Times New Roman" w:hAnsi="Times New Roman" w:eastAsia="方正仿宋_GBK"/>
          <w:color w:val="auto"/>
          <w:kern w:val="0"/>
          <w:sz w:val="33"/>
          <w:szCs w:val="33"/>
        </w:rPr>
        <w:t>历次</w:t>
      </w:r>
      <w:r>
        <w:rPr>
          <w:rFonts w:hint="eastAsia" w:ascii="Times New Roman" w:hAnsi="Times New Roman" w:eastAsia="方正仿宋_GBK"/>
          <w:color w:val="auto"/>
          <w:kern w:val="0"/>
          <w:sz w:val="33"/>
          <w:szCs w:val="33"/>
        </w:rPr>
        <w:t>全会精神，全面贯彻习近平总书记关于城市工作的重要论述</w:t>
      </w:r>
      <w:r>
        <w:rPr>
          <w:rFonts w:ascii="Times New Roman" w:hAnsi="Times New Roman" w:eastAsia="方正仿宋_GBK"/>
          <w:color w:val="auto"/>
          <w:kern w:val="0"/>
          <w:sz w:val="33"/>
          <w:szCs w:val="33"/>
        </w:rPr>
        <w:t>和对四川工作系列重要指示精神</w:t>
      </w:r>
      <w:r>
        <w:rPr>
          <w:rFonts w:hint="eastAsia" w:ascii="Times New Roman" w:hAnsi="Times New Roman" w:eastAsia="方正仿宋_GBK"/>
          <w:color w:val="auto"/>
          <w:kern w:val="0"/>
          <w:sz w:val="33"/>
          <w:szCs w:val="33"/>
        </w:rPr>
        <w:t>，认真落实市委六届十</w:t>
      </w:r>
      <w:r>
        <w:rPr>
          <w:rFonts w:ascii="Times New Roman" w:hAnsi="Times New Roman" w:eastAsia="方正仿宋_GBK"/>
          <w:color w:val="auto"/>
          <w:kern w:val="0"/>
          <w:sz w:val="33"/>
          <w:szCs w:val="33"/>
        </w:rPr>
        <w:t>二</w:t>
      </w:r>
      <w:r>
        <w:rPr>
          <w:rFonts w:hint="eastAsia" w:ascii="Times New Roman" w:hAnsi="Times New Roman" w:eastAsia="方正仿宋_GBK"/>
          <w:color w:val="auto"/>
          <w:kern w:val="0"/>
          <w:sz w:val="33"/>
          <w:szCs w:val="33"/>
        </w:rPr>
        <w:t>次全会部署要求，以建设创新、宜居、美丽、韧性、文明、智慧的现代化人民城市为目标，以推进城市更新为重要抓手，</w:t>
      </w:r>
      <w:r>
        <w:rPr>
          <w:rFonts w:hint="default" w:ascii="Times New Roman" w:hAnsi="Times New Roman" w:eastAsia="方正仿宋_GBK"/>
          <w:color w:val="auto"/>
          <w:kern w:val="0"/>
          <w:sz w:val="33"/>
          <w:szCs w:val="33"/>
        </w:rPr>
        <w:t>着力在全面打造</w:t>
      </w:r>
      <w:r>
        <w:rPr>
          <w:rFonts w:hint="eastAsia" w:ascii="Times New Roman" w:hAnsi="Times New Roman" w:eastAsia="方正仿宋_GBK"/>
          <w:color w:val="auto"/>
          <w:kern w:val="0"/>
          <w:sz w:val="33"/>
          <w:szCs w:val="33"/>
        </w:rPr>
        <w:t>“</w:t>
      </w:r>
      <w:r>
        <w:rPr>
          <w:rFonts w:hint="default" w:ascii="Times New Roman" w:hAnsi="Times New Roman" w:eastAsia="方正仿宋_GBK"/>
          <w:color w:val="auto"/>
          <w:kern w:val="0"/>
          <w:sz w:val="33"/>
          <w:szCs w:val="33"/>
        </w:rPr>
        <w:t>公园城市、安逸家园</w:t>
      </w:r>
      <w:r>
        <w:rPr>
          <w:rFonts w:hint="eastAsia" w:ascii="Times New Roman" w:hAnsi="Times New Roman" w:eastAsia="方正仿宋_GBK"/>
          <w:color w:val="auto"/>
          <w:kern w:val="0"/>
          <w:sz w:val="33"/>
          <w:szCs w:val="33"/>
        </w:rPr>
        <w:t>”</w:t>
      </w:r>
      <w:r>
        <w:rPr>
          <w:rFonts w:hint="default" w:ascii="Times New Roman" w:hAnsi="Times New Roman" w:eastAsia="方正仿宋_GBK"/>
          <w:color w:val="auto"/>
          <w:kern w:val="0"/>
          <w:sz w:val="33"/>
          <w:szCs w:val="33"/>
        </w:rPr>
        <w:t>上下功夫</w:t>
      </w:r>
      <w:r>
        <w:rPr>
          <w:rFonts w:ascii="Times New Roman" w:hAnsi="Times New Roman" w:eastAsia="方正仿宋_GBK"/>
          <w:color w:val="auto"/>
          <w:kern w:val="0"/>
          <w:sz w:val="33"/>
          <w:szCs w:val="33"/>
        </w:rPr>
        <w:t>，</w:t>
      </w:r>
      <w:r>
        <w:rPr>
          <w:rFonts w:hint="eastAsia" w:ascii="Times New Roman" w:hAnsi="Times New Roman" w:eastAsia="方正仿宋_GBK"/>
          <w:color w:val="auto"/>
          <w:kern w:val="0"/>
          <w:sz w:val="33"/>
          <w:szCs w:val="33"/>
        </w:rPr>
        <w:t>大力推动城市结构优化、动能转换、品质提升、绿色转型、文脉赓续、治理增效，</w:t>
      </w:r>
      <w:r>
        <w:rPr>
          <w:rFonts w:hint="eastAsia" w:ascii="Times New Roman" w:hAnsi="Times New Roman" w:eastAsia="方正仿宋_GBK"/>
          <w:color w:val="auto"/>
          <w:kern w:val="0"/>
          <w:sz w:val="33"/>
          <w:szCs w:val="33"/>
          <w:lang w:eastAsia="zh-CN"/>
        </w:rPr>
        <w:t>全力建设“</w:t>
      </w:r>
      <w:r>
        <w:rPr>
          <w:rFonts w:ascii="Times New Roman" w:hAnsi="Times New Roman" w:eastAsia="方正仿宋_GBK"/>
          <w:color w:val="auto"/>
          <w:kern w:val="0"/>
          <w:sz w:val="33"/>
          <w:szCs w:val="33"/>
          <w:lang w:eastAsia="zh-CN"/>
        </w:rPr>
        <w:t>川渝前沿</w:t>
      </w:r>
      <w:r>
        <w:rPr>
          <w:rFonts w:hint="eastAsia" w:ascii="Times New Roman" w:hAnsi="Times New Roman" w:eastAsia="方正仿宋_GBK"/>
          <w:color w:val="auto"/>
          <w:kern w:val="0"/>
          <w:sz w:val="33"/>
          <w:szCs w:val="33"/>
          <w:lang w:eastAsia="zh-CN"/>
        </w:rPr>
        <w:t>、</w:t>
      </w:r>
      <w:r>
        <w:rPr>
          <w:rFonts w:ascii="Times New Roman" w:hAnsi="Times New Roman" w:eastAsia="方正仿宋_GBK"/>
          <w:color w:val="auto"/>
          <w:kern w:val="0"/>
          <w:sz w:val="33"/>
          <w:szCs w:val="33"/>
          <w:lang w:eastAsia="zh-CN"/>
        </w:rPr>
        <w:t>品质</w:t>
      </w:r>
      <w:r>
        <w:rPr>
          <w:rFonts w:hint="eastAsia" w:ascii="Times New Roman" w:hAnsi="Times New Roman" w:eastAsia="方正仿宋_GBK"/>
          <w:color w:val="auto"/>
          <w:kern w:val="0"/>
          <w:sz w:val="33"/>
          <w:szCs w:val="33"/>
          <w:lang w:eastAsia="zh-CN"/>
        </w:rPr>
        <w:t>广安”，</w:t>
      </w:r>
      <w:r>
        <w:rPr>
          <w:rFonts w:hint="eastAsia" w:ascii="Times New Roman" w:hAnsi="Times New Roman" w:eastAsia="方正仿宋_GBK"/>
          <w:color w:val="auto"/>
          <w:kern w:val="0"/>
          <w:sz w:val="33"/>
          <w:szCs w:val="33"/>
        </w:rPr>
        <w:t>走出一条具有广安特色的城市现代化新路子。</w:t>
      </w:r>
    </w:p>
    <w:p w14:paraId="6A32D249">
      <w:pPr>
        <w:keepNext w:val="0"/>
        <w:keepLines w:val="0"/>
        <w:pageBreakBefore w:val="0"/>
        <w:widowControl w:val="0"/>
        <w:kinsoku/>
        <w:wordWrap/>
        <w:overflowPunct/>
        <w:topLinePunct w:val="0"/>
        <w:autoSpaceDE/>
        <w:autoSpaceDN/>
        <w:adjustRightInd/>
        <w:snapToGrid/>
        <w:spacing w:line="590" w:lineRule="exact"/>
        <w:ind w:left="0" w:firstLine="663" w:firstLineChars="200"/>
        <w:rPr>
          <w:rFonts w:hint="eastAsia" w:ascii="方正楷体_GBK" w:eastAsia="方正楷体_GBK"/>
          <w:b/>
          <w:bCs/>
          <w:color w:val="auto"/>
          <w:kern w:val="0"/>
          <w:sz w:val="33"/>
          <w:szCs w:val="33"/>
        </w:rPr>
      </w:pPr>
      <w:r>
        <w:rPr>
          <w:rFonts w:hint="eastAsia" w:ascii="方正楷体_GBK" w:eastAsia="方正楷体_GBK"/>
          <w:b/>
          <w:bCs/>
          <w:color w:val="auto"/>
          <w:kern w:val="0"/>
          <w:sz w:val="33"/>
          <w:szCs w:val="33"/>
        </w:rPr>
        <w:t>（二）主要目标​</w:t>
      </w:r>
    </w:p>
    <w:p w14:paraId="63C029F8">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到2027年，</w:t>
      </w:r>
      <w:r>
        <w:rPr>
          <w:rFonts w:ascii="Times New Roman" w:hAnsi="Times New Roman" w:eastAsia="方正仿宋_GBK"/>
          <w:color w:val="auto"/>
          <w:kern w:val="0"/>
          <w:sz w:val="33"/>
          <w:szCs w:val="33"/>
        </w:rPr>
        <w:t>城市更新体制机制不断完善，</w:t>
      </w:r>
      <w:r>
        <w:rPr>
          <w:rFonts w:hint="eastAsia" w:ascii="Times New Roman" w:hAnsi="Times New Roman" w:eastAsia="方正仿宋_GBK"/>
          <w:color w:val="auto"/>
          <w:kern w:val="0"/>
          <w:sz w:val="33"/>
          <w:szCs w:val="33"/>
        </w:rPr>
        <w:t>城市更新三年</w:t>
      </w:r>
      <w:r>
        <w:rPr>
          <w:rFonts w:ascii="Times New Roman" w:hAnsi="Times New Roman" w:eastAsia="方正仿宋_GBK"/>
          <w:color w:val="auto"/>
          <w:kern w:val="0"/>
          <w:sz w:val="33"/>
          <w:szCs w:val="33"/>
        </w:rPr>
        <w:t>攻坚</w:t>
      </w:r>
      <w:r>
        <w:rPr>
          <w:rFonts w:hint="eastAsia" w:ascii="Times New Roman" w:hAnsi="Times New Roman" w:eastAsia="方正仿宋_GBK"/>
          <w:color w:val="auto"/>
          <w:kern w:val="0"/>
          <w:sz w:val="33"/>
          <w:szCs w:val="33"/>
        </w:rPr>
        <w:t>行动取得显著成效，</w:t>
      </w:r>
      <w:r>
        <w:rPr>
          <w:rFonts w:ascii="Times New Roman" w:hAnsi="Times New Roman" w:eastAsia="方正仿宋_GBK"/>
          <w:color w:val="auto"/>
          <w:kern w:val="0"/>
          <w:sz w:val="33"/>
          <w:szCs w:val="33"/>
        </w:rPr>
        <w:t>省级城市更新重点片区培育取得阶段性成效，一批惠民生、强功能项目</w:t>
      </w:r>
      <w:r>
        <w:rPr>
          <w:rFonts w:hint="eastAsia" w:ascii="Times New Roman" w:hAnsi="Times New Roman" w:eastAsia="方正仿宋_GBK"/>
          <w:color w:val="auto"/>
          <w:kern w:val="0"/>
          <w:sz w:val="33"/>
          <w:szCs w:val="33"/>
        </w:rPr>
        <w:t>发挥效益，城市基础设施短板加快补齐，与重庆中心城区协同发展机制更加健全。</w:t>
      </w:r>
    </w:p>
    <w:p w14:paraId="10FC2246">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到2030年，具有广安特色的现代化人民城市建设取得重要进展，闻者向往、来者依恋、居者自豪的高品质生活宜居地加快建设，适应城市高质量发展的政策制度体系更加完善，城市治理体系和治理能力现代化水平显著增强；城市新旧动能转换取得突破性进展，人居品质达到新高度，绿色转型成效突出，安全基础坚实可靠，文化魅力充分彰显，治理效能全面提升。</w:t>
      </w:r>
      <w:r>
        <w:rPr>
          <w:rFonts w:ascii="Times New Roman" w:hAnsi="Times New Roman" w:eastAsia="方正仿宋_GBK"/>
          <w:color w:val="auto"/>
          <w:kern w:val="0"/>
          <w:sz w:val="33"/>
          <w:szCs w:val="33"/>
        </w:rPr>
        <w:t>常住人口城镇化率突破50%，</w:t>
      </w:r>
      <w:r>
        <w:rPr>
          <w:rFonts w:hint="eastAsia" w:ascii="Times New Roman" w:hAnsi="Times New Roman" w:eastAsia="方正仿宋_GBK"/>
          <w:color w:val="auto"/>
          <w:kern w:val="0"/>
          <w:sz w:val="33"/>
          <w:szCs w:val="33"/>
        </w:rPr>
        <w:t>城市公园绿地服务覆盖率达到90%以上，城镇新建建筑装配式建筑占比达到30%以上，改造城镇老化燃气管道1000公里、供排水管355公里。</w:t>
      </w:r>
    </w:p>
    <w:p w14:paraId="199EE0F3">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到2035年，基本建成具有广安特色的现代化人民城市，</w:t>
      </w:r>
      <w:r>
        <w:rPr>
          <w:rFonts w:ascii="Times New Roman" w:hAnsi="Times New Roman" w:eastAsia="方正仿宋_GBK"/>
          <w:color w:val="auto"/>
          <w:kern w:val="0"/>
          <w:sz w:val="33"/>
          <w:szCs w:val="33"/>
        </w:rPr>
        <w:t>常住人口</w:t>
      </w:r>
      <w:r>
        <w:rPr>
          <w:rFonts w:hint="eastAsia" w:ascii="Times New Roman" w:hAnsi="Times New Roman" w:eastAsia="方正仿宋_GBK"/>
          <w:color w:val="auto"/>
          <w:kern w:val="0"/>
          <w:sz w:val="33"/>
          <w:szCs w:val="33"/>
        </w:rPr>
        <w:t>城镇化率</w:t>
      </w:r>
      <w:r>
        <w:rPr>
          <w:rFonts w:ascii="Times New Roman" w:hAnsi="Times New Roman" w:eastAsia="方正仿宋_GBK"/>
          <w:color w:val="auto"/>
          <w:kern w:val="0"/>
          <w:sz w:val="33"/>
          <w:szCs w:val="33"/>
        </w:rPr>
        <w:t>稳步提升</w:t>
      </w:r>
      <w:r>
        <w:rPr>
          <w:rFonts w:hint="eastAsia" w:ascii="Times New Roman" w:hAnsi="Times New Roman" w:eastAsia="方正仿宋_GBK"/>
          <w:color w:val="auto"/>
          <w:kern w:val="0"/>
          <w:sz w:val="33"/>
          <w:szCs w:val="33"/>
        </w:rPr>
        <w:t>，城市综合承载力、要素集聚力与区域辐射力大幅提升，全面实现创新驱动强劲、人居环境舒适、生态底色鲜明、安全保障有力、文化底蕴深厚、治理高效智能的发展目标。​</w:t>
      </w:r>
    </w:p>
    <w:p w14:paraId="1BA8E100">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方正黑体_GBK" w:eastAsia="方正黑体_GBK"/>
          <w:color w:val="auto"/>
          <w:kern w:val="0"/>
          <w:sz w:val="33"/>
          <w:szCs w:val="33"/>
        </w:rPr>
      </w:pPr>
      <w:r>
        <w:rPr>
          <w:rFonts w:hint="eastAsia" w:ascii="方正黑体_GBK" w:eastAsia="方正黑体_GBK"/>
          <w:color w:val="auto"/>
          <w:kern w:val="0"/>
          <w:sz w:val="33"/>
          <w:szCs w:val="33"/>
        </w:rPr>
        <w:t>二、优化空间形态，构建现代化城市新格局​</w:t>
      </w:r>
    </w:p>
    <w:p w14:paraId="59B68872">
      <w:pPr>
        <w:keepNext w:val="0"/>
        <w:keepLines w:val="0"/>
        <w:pageBreakBefore w:val="0"/>
        <w:widowControl w:val="0"/>
        <w:kinsoku/>
        <w:wordWrap/>
        <w:overflowPunct/>
        <w:topLinePunct w:val="0"/>
        <w:autoSpaceDE/>
        <w:autoSpaceDN/>
        <w:adjustRightInd/>
        <w:snapToGrid/>
        <w:spacing w:line="590" w:lineRule="exact"/>
        <w:ind w:left="0" w:firstLine="663" w:firstLineChars="200"/>
        <w:rPr>
          <w:rFonts w:hint="eastAsia" w:ascii="方正楷体_GBK" w:eastAsia="方正楷体_GBK"/>
          <w:b/>
          <w:bCs/>
          <w:color w:val="auto"/>
          <w:kern w:val="0"/>
          <w:sz w:val="33"/>
          <w:szCs w:val="33"/>
        </w:rPr>
      </w:pPr>
      <w:r>
        <w:rPr>
          <w:rFonts w:hint="eastAsia" w:ascii="方正楷体_GBK" w:eastAsia="方正楷体_GBK"/>
          <w:b/>
          <w:bCs/>
          <w:color w:val="auto"/>
          <w:kern w:val="0"/>
          <w:sz w:val="33"/>
          <w:szCs w:val="33"/>
        </w:rPr>
        <w:t>（一）完善全域协同规划体系​</w:t>
      </w:r>
    </w:p>
    <w:p w14:paraId="345FD57F">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ascii="Times New Roman" w:hAnsi="Times New Roman" w:eastAsia="方正仿宋_GBK"/>
          <w:color w:val="auto"/>
          <w:kern w:val="0"/>
          <w:sz w:val="33"/>
          <w:szCs w:val="33"/>
        </w:rPr>
      </w:pPr>
      <w:r>
        <w:rPr>
          <w:rFonts w:ascii="Times New Roman" w:hAnsi="Times New Roman" w:eastAsia="方正仿宋_GBK"/>
          <w:color w:val="auto"/>
          <w:kern w:val="0"/>
          <w:sz w:val="33"/>
          <w:szCs w:val="33"/>
        </w:rPr>
        <w:t>紧扣</w:t>
      </w:r>
      <w:r>
        <w:rPr>
          <w:rFonts w:hint="default" w:ascii="Times New Roman" w:hAnsi="Times New Roman" w:eastAsia="方正仿宋_GBK"/>
          <w:color w:val="auto"/>
          <w:kern w:val="0"/>
          <w:sz w:val="33"/>
          <w:szCs w:val="33"/>
        </w:rPr>
        <w:t>“同城融圈”首位战略</w:t>
      </w:r>
      <w:r>
        <w:rPr>
          <w:rFonts w:ascii="Times New Roman" w:hAnsi="Times New Roman" w:eastAsia="方正仿宋_GBK"/>
          <w:color w:val="auto"/>
          <w:kern w:val="0"/>
          <w:sz w:val="33"/>
          <w:szCs w:val="33"/>
        </w:rPr>
        <w:t>，</w:t>
      </w:r>
      <w:r>
        <w:rPr>
          <w:rFonts w:hint="eastAsia" w:ascii="Times New Roman" w:hAnsi="Times New Roman" w:eastAsia="方正仿宋_GBK"/>
          <w:color w:val="auto"/>
          <w:kern w:val="0"/>
          <w:sz w:val="33"/>
          <w:szCs w:val="33"/>
        </w:rPr>
        <w:t>立足打造重庆都市圈北部副中心，构建全域协同的规划框架，推动与重庆中心城区在交通共网、生态共保、产业共兴、公共服务共建等领域规划衔接。</w:t>
      </w:r>
      <w:r>
        <w:rPr>
          <w:rFonts w:ascii="Times New Roman" w:hAnsi="Times New Roman" w:eastAsia="方正仿宋_GBK"/>
          <w:color w:val="auto"/>
          <w:kern w:val="0"/>
          <w:sz w:val="33"/>
          <w:szCs w:val="33"/>
        </w:rPr>
        <w:t>做优做强中心城区，推动</w:t>
      </w:r>
      <w:r>
        <w:rPr>
          <w:rFonts w:hint="eastAsia" w:ascii="Times New Roman" w:hAnsi="Times New Roman" w:eastAsia="方正仿宋_GBK"/>
          <w:color w:val="auto"/>
          <w:kern w:val="0"/>
          <w:sz w:val="33"/>
          <w:szCs w:val="33"/>
        </w:rPr>
        <w:t>岳池县城、华蓥城区与中心城区</w:t>
      </w:r>
      <w:r>
        <w:rPr>
          <w:rFonts w:ascii="Times New Roman" w:hAnsi="Times New Roman" w:eastAsia="方正仿宋_GBK"/>
          <w:color w:val="auto"/>
          <w:kern w:val="0"/>
          <w:sz w:val="33"/>
          <w:szCs w:val="33"/>
        </w:rPr>
        <w:t>同城化发展，推动邻水县和</w:t>
      </w:r>
      <w:r>
        <w:rPr>
          <w:rFonts w:hint="eastAsia" w:ascii="Times New Roman" w:hAnsi="Times New Roman" w:eastAsia="方正仿宋_GBK"/>
          <w:color w:val="auto"/>
          <w:kern w:val="0"/>
          <w:sz w:val="33"/>
          <w:szCs w:val="33"/>
        </w:rPr>
        <w:t>川渝高竹新区</w:t>
      </w:r>
      <w:r>
        <w:rPr>
          <w:rFonts w:ascii="Times New Roman" w:hAnsi="Times New Roman" w:eastAsia="方正仿宋_GBK"/>
          <w:color w:val="auto"/>
          <w:kern w:val="0"/>
          <w:sz w:val="33"/>
          <w:szCs w:val="33"/>
        </w:rPr>
        <w:t>组团培育市域</w:t>
      </w:r>
      <w:r>
        <w:rPr>
          <w:rFonts w:hint="eastAsia" w:ascii="Times New Roman" w:hAnsi="Times New Roman" w:eastAsia="方正仿宋_GBK"/>
          <w:color w:val="auto"/>
          <w:kern w:val="0"/>
          <w:sz w:val="33"/>
          <w:szCs w:val="33"/>
        </w:rPr>
        <w:t>东翼</w:t>
      </w:r>
      <w:r>
        <w:rPr>
          <w:rFonts w:ascii="Times New Roman" w:hAnsi="Times New Roman" w:eastAsia="方正仿宋_GBK"/>
          <w:color w:val="auto"/>
          <w:kern w:val="0"/>
          <w:sz w:val="33"/>
          <w:szCs w:val="33"/>
        </w:rPr>
        <w:t>增长极、武胜县打造市域西</w:t>
      </w:r>
      <w:r>
        <w:rPr>
          <w:rFonts w:hint="eastAsia" w:ascii="Times New Roman" w:hAnsi="Times New Roman" w:eastAsia="方正仿宋_GBK"/>
          <w:color w:val="auto"/>
          <w:kern w:val="0"/>
          <w:sz w:val="33"/>
          <w:szCs w:val="33"/>
        </w:rPr>
        <w:t>翼</w:t>
      </w:r>
      <w:r>
        <w:rPr>
          <w:rFonts w:ascii="Times New Roman" w:hAnsi="Times New Roman" w:eastAsia="方正仿宋_GBK"/>
          <w:color w:val="auto"/>
          <w:kern w:val="0"/>
          <w:sz w:val="33"/>
          <w:szCs w:val="33"/>
        </w:rPr>
        <w:t>增长极，构建</w:t>
      </w:r>
      <w:r>
        <w:rPr>
          <w:rFonts w:hint="default" w:ascii="Times New Roman" w:hAnsi="Times New Roman" w:eastAsia="方正仿宋_GBK"/>
          <w:color w:val="auto"/>
          <w:kern w:val="0"/>
          <w:sz w:val="33"/>
          <w:szCs w:val="33"/>
        </w:rPr>
        <w:t>“</w:t>
      </w:r>
      <w:r>
        <w:rPr>
          <w:rFonts w:hint="eastAsia" w:ascii="Times New Roman" w:hAnsi="Times New Roman" w:eastAsia="方正仿宋_GBK"/>
          <w:color w:val="auto"/>
          <w:kern w:val="0"/>
          <w:sz w:val="33"/>
          <w:szCs w:val="33"/>
        </w:rPr>
        <w:t>一体两翼</w:t>
      </w:r>
      <w:r>
        <w:rPr>
          <w:rFonts w:hint="default" w:ascii="Times New Roman" w:hAnsi="Times New Roman" w:eastAsia="方正仿宋_GBK"/>
          <w:color w:val="auto"/>
          <w:kern w:val="0"/>
          <w:sz w:val="33"/>
          <w:szCs w:val="33"/>
        </w:rPr>
        <w:t>”</w:t>
      </w:r>
      <w:r>
        <w:rPr>
          <w:rFonts w:ascii="Times New Roman" w:hAnsi="Times New Roman" w:eastAsia="方正仿宋_GBK"/>
          <w:color w:val="auto"/>
          <w:kern w:val="0"/>
          <w:sz w:val="33"/>
          <w:szCs w:val="33"/>
        </w:rPr>
        <w:t>市域发展空间格局。</w:t>
      </w:r>
    </w:p>
    <w:p w14:paraId="79EDC6FC">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以嘉陵江生态廊道为纽带，深化与重庆科学城生态型科创合作，推动农业与加工、旅游、电商深度融合，打造“产城景农”一体化西翼特色标杆。以邻西南片区承接重庆产业外溢，联动邻东北片区实现“制造+文旅”双轮驱动，建设东翼产业高地。</w:t>
      </w:r>
      <w:r>
        <w:rPr>
          <w:rFonts w:ascii="Times New Roman" w:hAnsi="Times New Roman" w:eastAsia="方正仿宋_GBK"/>
          <w:color w:val="auto"/>
          <w:kern w:val="0"/>
          <w:sz w:val="33"/>
          <w:szCs w:val="33"/>
        </w:rPr>
        <w:t>高水平建设</w:t>
      </w:r>
      <w:r>
        <w:rPr>
          <w:rFonts w:hint="eastAsia" w:ascii="Times New Roman" w:hAnsi="Times New Roman" w:eastAsia="方正仿宋_GBK"/>
          <w:color w:val="auto"/>
          <w:kern w:val="0"/>
          <w:sz w:val="33"/>
          <w:szCs w:val="33"/>
        </w:rPr>
        <w:t>川渝高竹新区</w:t>
      </w:r>
      <w:r>
        <w:rPr>
          <w:rFonts w:ascii="Times New Roman" w:hAnsi="Times New Roman" w:eastAsia="方正仿宋_GBK"/>
          <w:color w:val="auto"/>
          <w:kern w:val="0"/>
          <w:sz w:val="33"/>
          <w:szCs w:val="33"/>
        </w:rPr>
        <w:t>，打造</w:t>
      </w:r>
      <w:r>
        <w:rPr>
          <w:rFonts w:hint="eastAsia" w:ascii="Times New Roman" w:hAnsi="Times New Roman" w:eastAsia="方正仿宋_GBK"/>
          <w:color w:val="auto"/>
          <w:kern w:val="0"/>
          <w:sz w:val="33"/>
          <w:szCs w:val="33"/>
        </w:rPr>
        <w:t>跨省域协同载体</w:t>
      </w:r>
      <w:r>
        <w:rPr>
          <w:rFonts w:ascii="Times New Roman" w:hAnsi="Times New Roman" w:eastAsia="方正仿宋_GBK"/>
          <w:color w:val="auto"/>
          <w:kern w:val="0"/>
          <w:sz w:val="33"/>
          <w:szCs w:val="33"/>
        </w:rPr>
        <w:t>。</w:t>
      </w:r>
    </w:p>
    <w:p w14:paraId="3782EE3C">
      <w:pPr>
        <w:keepNext w:val="0"/>
        <w:keepLines w:val="0"/>
        <w:pageBreakBefore w:val="0"/>
        <w:widowControl w:val="0"/>
        <w:kinsoku/>
        <w:wordWrap/>
        <w:overflowPunct/>
        <w:topLinePunct w:val="0"/>
        <w:autoSpaceDE/>
        <w:autoSpaceDN/>
        <w:adjustRightInd/>
        <w:snapToGrid/>
        <w:spacing w:line="590" w:lineRule="exact"/>
        <w:ind w:left="0" w:firstLine="663" w:firstLineChars="200"/>
        <w:rPr>
          <w:rFonts w:hint="eastAsia" w:ascii="方正楷体_GBK" w:eastAsia="方正楷体_GBK"/>
          <w:b/>
          <w:bCs/>
          <w:color w:val="auto"/>
          <w:kern w:val="0"/>
          <w:sz w:val="33"/>
          <w:szCs w:val="33"/>
        </w:rPr>
      </w:pPr>
      <w:r>
        <w:rPr>
          <w:rFonts w:hint="eastAsia" w:ascii="方正楷体_GBK" w:eastAsia="方正楷体_GBK"/>
          <w:b/>
          <w:bCs/>
          <w:color w:val="auto"/>
          <w:kern w:val="0"/>
          <w:sz w:val="33"/>
          <w:szCs w:val="33"/>
        </w:rPr>
        <w:t>（二）提升中心城区核心能级​</w:t>
      </w:r>
    </w:p>
    <w:p w14:paraId="394DEF8D">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中心城区</w:t>
      </w:r>
      <w:r>
        <w:rPr>
          <w:rFonts w:ascii="Times New Roman" w:hAnsi="Times New Roman" w:eastAsia="方正仿宋_GBK"/>
          <w:color w:val="auto"/>
          <w:kern w:val="0"/>
          <w:sz w:val="33"/>
          <w:szCs w:val="33"/>
        </w:rPr>
        <w:t>依托</w:t>
      </w:r>
      <w:r>
        <w:rPr>
          <w:rFonts w:hint="default" w:ascii="Times New Roman" w:hAnsi="Times New Roman" w:eastAsia="方正仿宋_GBK"/>
          <w:color w:val="auto"/>
          <w:kern w:val="0"/>
          <w:sz w:val="33"/>
          <w:szCs w:val="33"/>
        </w:rPr>
        <w:t>“一江一河一奎阁”生态禀赋</w:t>
      </w:r>
      <w:r>
        <w:rPr>
          <w:rFonts w:ascii="Times New Roman" w:hAnsi="Times New Roman" w:eastAsia="方正仿宋_GBK"/>
          <w:color w:val="auto"/>
          <w:kern w:val="0"/>
          <w:sz w:val="33"/>
          <w:szCs w:val="33"/>
        </w:rPr>
        <w:t>，聚焦</w:t>
      </w:r>
      <w:r>
        <w:rPr>
          <w:rFonts w:hint="default" w:ascii="Times New Roman" w:hAnsi="Times New Roman" w:eastAsia="方正仿宋_GBK"/>
          <w:color w:val="auto"/>
          <w:kern w:val="0"/>
          <w:sz w:val="33"/>
          <w:szCs w:val="33"/>
        </w:rPr>
        <w:t>“</w:t>
      </w:r>
      <w:r>
        <w:rPr>
          <w:rFonts w:ascii="Times New Roman" w:hAnsi="Times New Roman" w:eastAsia="方正仿宋_GBK"/>
          <w:color w:val="auto"/>
          <w:kern w:val="0"/>
          <w:sz w:val="33"/>
          <w:szCs w:val="33"/>
        </w:rPr>
        <w:t>拥江发展</w:t>
      </w:r>
      <w:r>
        <w:rPr>
          <w:rFonts w:hint="default" w:ascii="Times New Roman" w:hAnsi="Times New Roman" w:eastAsia="方正仿宋_GBK"/>
          <w:color w:val="auto"/>
          <w:kern w:val="0"/>
          <w:sz w:val="33"/>
          <w:szCs w:val="33"/>
        </w:rPr>
        <w:t>”</w:t>
      </w:r>
      <w:r>
        <w:rPr>
          <w:rFonts w:ascii="Times New Roman" w:hAnsi="Times New Roman" w:eastAsia="方正仿宋_GBK"/>
          <w:color w:val="auto"/>
          <w:kern w:val="0"/>
          <w:sz w:val="33"/>
          <w:szCs w:val="33"/>
        </w:rPr>
        <w:t>工作思路，坚持</w:t>
      </w:r>
      <w:r>
        <w:rPr>
          <w:rFonts w:hint="eastAsia" w:ascii="Times New Roman" w:hAnsi="Times New Roman" w:eastAsia="方正仿宋_GBK"/>
          <w:color w:val="auto"/>
          <w:kern w:val="0"/>
          <w:sz w:val="33"/>
          <w:szCs w:val="33"/>
        </w:rPr>
        <w:t>“南拓、北控、西联、东优、中强”，持续增强综合承载力、要素集聚力与区域辐射力。</w:t>
      </w:r>
    </w:p>
    <w:p w14:paraId="7621FBDF">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南拓”官盛新区，联动重庆布局玄武岩纤维、生物医药等新兴产业，以广安理工学院为核心完善教育、医疗、商业等基础设施配套，建设产教融合新区。“北控”协兴片区，依托华蓥山红色资源与神龙山古寨文化培育特色文旅业态，联动小平故里形成红色文旅集群，打造“城市绿肺+康养胜地”。</w:t>
      </w:r>
      <w:r>
        <w:rPr>
          <w:rFonts w:hint="eastAsia" w:ascii="Times New Roman" w:hAnsi="Times New Roman" w:eastAsia="方正仿宋_GBK"/>
          <w:color w:val="auto"/>
          <w:kern w:val="0"/>
          <w:sz w:val="33"/>
          <w:szCs w:val="33"/>
          <w:lang w:eastAsia="zh-CN"/>
        </w:rPr>
        <w:t>“</w:t>
      </w:r>
      <w:r>
        <w:rPr>
          <w:rFonts w:hint="eastAsia" w:ascii="Times New Roman" w:hAnsi="Times New Roman" w:eastAsia="方正仿宋_GBK"/>
          <w:color w:val="auto"/>
          <w:kern w:val="0"/>
          <w:sz w:val="33"/>
          <w:szCs w:val="33"/>
        </w:rPr>
        <w:t>西联</w:t>
      </w:r>
      <w:r>
        <w:rPr>
          <w:rFonts w:hint="eastAsia" w:ascii="Times New Roman" w:hAnsi="Times New Roman" w:eastAsia="方正仿宋_GBK"/>
          <w:color w:val="auto"/>
          <w:kern w:val="0"/>
          <w:sz w:val="33"/>
          <w:szCs w:val="33"/>
          <w:lang w:eastAsia="zh-CN"/>
        </w:rPr>
        <w:t>”</w:t>
      </w:r>
      <w:r>
        <w:rPr>
          <w:rFonts w:hint="eastAsia" w:ascii="Times New Roman" w:hAnsi="Times New Roman" w:eastAsia="方正仿宋_GBK"/>
          <w:color w:val="auto"/>
          <w:kern w:val="0"/>
          <w:sz w:val="33"/>
          <w:szCs w:val="33"/>
        </w:rPr>
        <w:t>枣山片区、加速南广高铁广安段、广安机场快速通道建设，全力推进神龙山片区开发，完善基础设施与公共服务配套，打造交通枢纽型门户。“东优”奎阁片区，加强奎阁咀生态修复，联动广安港、前锋火车站配套建设物流仓储、冷链加工等设施，发展临港经济。“中强”</w:t>
      </w:r>
      <w:r>
        <w:rPr>
          <w:rFonts w:ascii="Times New Roman" w:hAnsi="Times New Roman" w:eastAsia="方正仿宋_GBK"/>
          <w:color w:val="auto"/>
          <w:kern w:val="0"/>
          <w:sz w:val="33"/>
          <w:szCs w:val="33"/>
        </w:rPr>
        <w:t>中心城区，推进渠江主城区段两岸系统提质、西溪河狮子桥至乐活城段生态修复治理，推动城市更新、生态治理与文旅商贸融合发展</w:t>
      </w:r>
      <w:r>
        <w:rPr>
          <w:rFonts w:hint="eastAsia" w:ascii="Times New Roman" w:hAnsi="Times New Roman" w:eastAsia="方正仿宋_GBK"/>
          <w:color w:val="auto"/>
          <w:kern w:val="0"/>
          <w:sz w:val="33"/>
          <w:szCs w:val="33"/>
        </w:rPr>
        <w:t>。​</w:t>
      </w:r>
    </w:p>
    <w:p w14:paraId="7A5E851B">
      <w:pPr>
        <w:keepNext w:val="0"/>
        <w:keepLines w:val="0"/>
        <w:pageBreakBefore w:val="0"/>
        <w:widowControl w:val="0"/>
        <w:kinsoku/>
        <w:wordWrap/>
        <w:overflowPunct/>
        <w:topLinePunct w:val="0"/>
        <w:autoSpaceDE/>
        <w:autoSpaceDN/>
        <w:adjustRightInd/>
        <w:snapToGrid/>
        <w:spacing w:line="590" w:lineRule="exact"/>
        <w:ind w:left="0" w:firstLine="663" w:firstLineChars="200"/>
        <w:rPr>
          <w:rFonts w:hint="eastAsia" w:ascii="方正楷体_GBK" w:eastAsia="方正楷体_GBK"/>
          <w:b/>
          <w:bCs/>
          <w:color w:val="auto"/>
          <w:kern w:val="0"/>
          <w:sz w:val="33"/>
          <w:szCs w:val="33"/>
        </w:rPr>
      </w:pPr>
      <w:r>
        <w:rPr>
          <w:rFonts w:hint="eastAsia" w:ascii="方正楷体_GBK" w:eastAsia="方正楷体_GBK"/>
          <w:b/>
          <w:bCs/>
          <w:color w:val="auto"/>
          <w:kern w:val="0"/>
          <w:sz w:val="33"/>
          <w:szCs w:val="33"/>
        </w:rPr>
        <w:t>（三）加快城乡融合发展步伐​</w:t>
      </w:r>
    </w:p>
    <w:p w14:paraId="7AD4FF27">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ascii="Times New Roman" w:hAnsi="Times New Roman" w:eastAsia="方正仿宋_GBK"/>
          <w:color w:val="auto"/>
          <w:kern w:val="0"/>
          <w:sz w:val="33"/>
          <w:szCs w:val="33"/>
        </w:rPr>
      </w:pPr>
      <w:r>
        <w:rPr>
          <w:rFonts w:ascii="Times New Roman" w:hAnsi="Times New Roman" w:eastAsia="方正仿宋_GBK"/>
          <w:color w:val="auto"/>
          <w:kern w:val="0"/>
          <w:sz w:val="33"/>
          <w:szCs w:val="33"/>
        </w:rPr>
        <w:t>统筹新型城镇化和乡村振兴，</w:t>
      </w:r>
      <w:r>
        <w:rPr>
          <w:rFonts w:hint="eastAsia" w:ascii="Times New Roman" w:hAnsi="Times New Roman" w:eastAsia="方正仿宋_GBK"/>
          <w:color w:val="auto"/>
          <w:kern w:val="0"/>
          <w:sz w:val="33"/>
          <w:szCs w:val="33"/>
        </w:rPr>
        <w:t>壮大县域经济，构建“一县一特色”产业格局。优化县域基础设施布局和公共服务供给，实施县城基础设施补短提质行动，建设改造道路、桥梁、供水、电力、燃气等市政设施，</w:t>
      </w:r>
      <w:r>
        <w:rPr>
          <w:rFonts w:ascii="Times New Roman" w:hAnsi="Times New Roman" w:eastAsia="方正仿宋_GBK"/>
          <w:color w:val="auto"/>
          <w:kern w:val="0"/>
          <w:sz w:val="33"/>
          <w:szCs w:val="33"/>
        </w:rPr>
        <w:t>推进</w:t>
      </w:r>
      <w:r>
        <w:rPr>
          <w:rFonts w:hint="eastAsia" w:ascii="Times New Roman" w:hAnsi="Times New Roman" w:eastAsia="方正仿宋_GBK"/>
          <w:color w:val="auto"/>
          <w:kern w:val="0"/>
          <w:sz w:val="33"/>
          <w:szCs w:val="33"/>
        </w:rPr>
        <w:t>燃气管网、垃圾处理、“四公一农”等设施向乡镇延伸</w:t>
      </w:r>
      <w:r>
        <w:rPr>
          <w:rFonts w:ascii="Times New Roman" w:hAnsi="Times New Roman" w:eastAsia="方正仿宋_GBK"/>
          <w:color w:val="auto"/>
          <w:kern w:val="0"/>
          <w:sz w:val="33"/>
          <w:szCs w:val="33"/>
        </w:rPr>
        <w:t>，</w:t>
      </w:r>
      <w:r>
        <w:rPr>
          <w:rFonts w:hint="eastAsia" w:ascii="Times New Roman" w:hAnsi="Times New Roman" w:eastAsia="方正仿宋_GBK"/>
          <w:color w:val="auto"/>
          <w:kern w:val="0"/>
          <w:sz w:val="33"/>
          <w:szCs w:val="33"/>
        </w:rPr>
        <w:t>增强县城综合承载能力。</w:t>
      </w:r>
    </w:p>
    <w:p w14:paraId="427059BA">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健全农业转移人口市民化配套政策，保障公共服务平等享受。</w:t>
      </w:r>
      <w:r>
        <w:rPr>
          <w:rFonts w:ascii="Times New Roman" w:hAnsi="Times New Roman" w:eastAsia="方正仿宋_GBK"/>
          <w:color w:val="auto"/>
          <w:kern w:val="0"/>
          <w:sz w:val="33"/>
          <w:szCs w:val="33"/>
        </w:rPr>
        <w:t>加快省级百强中心镇差异化、特色化、品质化发展，</w:t>
      </w:r>
      <w:r>
        <w:rPr>
          <w:rFonts w:hint="eastAsia" w:ascii="Times New Roman" w:hAnsi="Times New Roman" w:eastAsia="方正仿宋_GBK"/>
          <w:color w:val="auto"/>
          <w:kern w:val="0"/>
          <w:sz w:val="33"/>
          <w:szCs w:val="33"/>
        </w:rPr>
        <w:t>支持有条件的</w:t>
      </w:r>
      <w:r>
        <w:rPr>
          <w:rFonts w:ascii="Times New Roman" w:hAnsi="Times New Roman" w:eastAsia="方正仿宋_GBK"/>
          <w:color w:val="auto"/>
          <w:kern w:val="0"/>
          <w:sz w:val="33"/>
          <w:szCs w:val="33"/>
        </w:rPr>
        <w:t>省级百强</w:t>
      </w:r>
      <w:r>
        <w:rPr>
          <w:rFonts w:hint="eastAsia" w:ascii="Times New Roman" w:hAnsi="Times New Roman" w:eastAsia="方正仿宋_GBK"/>
          <w:color w:val="auto"/>
          <w:kern w:val="0"/>
          <w:sz w:val="33"/>
          <w:szCs w:val="33"/>
        </w:rPr>
        <w:t>中心镇打造县域副中心。到2030年，新改建城市道路150公里，城乡路网联通水平、公共服务均等化程度显著提升。</w:t>
      </w:r>
    </w:p>
    <w:p w14:paraId="618D59B6">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方正黑体_GBK" w:eastAsia="方正黑体_GBK"/>
          <w:color w:val="auto"/>
          <w:kern w:val="0"/>
          <w:sz w:val="33"/>
          <w:szCs w:val="33"/>
        </w:rPr>
      </w:pPr>
      <w:r>
        <w:rPr>
          <w:rFonts w:hint="eastAsia" w:ascii="方正黑体_GBK" w:eastAsia="方正黑体_GBK"/>
          <w:color w:val="auto"/>
          <w:kern w:val="0"/>
          <w:sz w:val="33"/>
          <w:szCs w:val="33"/>
        </w:rPr>
        <w:t>三、深化发展路径，增强城市发展动能​</w:t>
      </w:r>
    </w:p>
    <w:p w14:paraId="588AED64">
      <w:pPr>
        <w:keepNext w:val="0"/>
        <w:keepLines w:val="0"/>
        <w:pageBreakBefore w:val="0"/>
        <w:widowControl w:val="0"/>
        <w:kinsoku/>
        <w:wordWrap/>
        <w:overflowPunct/>
        <w:topLinePunct w:val="0"/>
        <w:autoSpaceDE/>
        <w:autoSpaceDN/>
        <w:adjustRightInd/>
        <w:snapToGrid/>
        <w:spacing w:line="590" w:lineRule="exact"/>
        <w:ind w:left="0" w:firstLine="663" w:firstLineChars="200"/>
        <w:rPr>
          <w:rFonts w:hint="eastAsia" w:ascii="方正楷体_GBK" w:eastAsia="方正楷体_GBK"/>
          <w:b/>
          <w:bCs/>
          <w:color w:val="auto"/>
          <w:kern w:val="0"/>
          <w:sz w:val="33"/>
          <w:szCs w:val="33"/>
        </w:rPr>
      </w:pPr>
      <w:r>
        <w:rPr>
          <w:rFonts w:hint="eastAsia" w:ascii="方正楷体_GBK" w:eastAsia="方正楷体_GBK"/>
          <w:b/>
          <w:bCs/>
          <w:color w:val="auto"/>
          <w:kern w:val="0"/>
          <w:sz w:val="33"/>
          <w:szCs w:val="33"/>
        </w:rPr>
        <w:t>（一）强化创新驱动能力建设​</w:t>
      </w:r>
    </w:p>
    <w:p w14:paraId="20D0FFCF">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以跨省域一体化发展为突破口，把“</w:t>
      </w:r>
      <w:r>
        <w:rPr>
          <w:rFonts w:ascii="Times New Roman" w:hAnsi="Times New Roman" w:eastAsia="方正仿宋_GBK"/>
          <w:color w:val="auto"/>
          <w:kern w:val="0"/>
          <w:sz w:val="33"/>
          <w:szCs w:val="33"/>
        </w:rPr>
        <w:t>川渝</w:t>
      </w:r>
      <w:r>
        <w:rPr>
          <w:rFonts w:hint="eastAsia" w:ascii="Times New Roman" w:hAnsi="Times New Roman" w:eastAsia="方正仿宋_GBK"/>
          <w:color w:val="auto"/>
          <w:kern w:val="0"/>
          <w:sz w:val="33"/>
          <w:szCs w:val="33"/>
        </w:rPr>
        <w:t>前沿”区位优势转化为创新优势，聚焦玄武岩纤维、现代农业、生物医药等特色领域，依托玄武岩纤维新材料研究院、省级高新区等载体，打造成渝地区“创新飞地”和“成果转化基地”。巩固企业创新主体地位，构建“研发</w:t>
      </w:r>
      <w:r>
        <w:rPr>
          <w:rFonts w:hint="default" w:ascii="Times New Roman" w:hAnsi="Times New Roman" w:eastAsia="方正仿宋_GBK"/>
          <w:color w:val="auto"/>
          <w:kern w:val="0"/>
          <w:sz w:val="33"/>
          <w:szCs w:val="33"/>
        </w:rPr>
        <w:t>—</w:t>
      </w:r>
      <w:r>
        <w:rPr>
          <w:rFonts w:hint="eastAsia" w:ascii="Times New Roman" w:hAnsi="Times New Roman" w:eastAsia="方正仿宋_GBK"/>
          <w:color w:val="auto"/>
          <w:kern w:val="0"/>
          <w:sz w:val="33"/>
          <w:szCs w:val="33"/>
        </w:rPr>
        <w:t>中试</w:t>
      </w:r>
      <w:r>
        <w:rPr>
          <w:rFonts w:hint="default" w:ascii="Times New Roman" w:hAnsi="Times New Roman" w:eastAsia="方正仿宋_GBK"/>
          <w:color w:val="auto"/>
          <w:kern w:val="0"/>
          <w:sz w:val="33"/>
          <w:szCs w:val="33"/>
        </w:rPr>
        <w:t>—</w:t>
      </w:r>
      <w:r>
        <w:rPr>
          <w:rFonts w:hint="eastAsia" w:ascii="Times New Roman" w:hAnsi="Times New Roman" w:eastAsia="方正仿宋_GBK"/>
          <w:color w:val="auto"/>
          <w:kern w:val="0"/>
          <w:sz w:val="33"/>
          <w:szCs w:val="33"/>
        </w:rPr>
        <w:t>量产”全链条创新生态，支持组建创新联合体。</w:t>
      </w:r>
    </w:p>
    <w:p w14:paraId="5DC89DC9">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支持广安理工学院、广安职业技术学院等本土高校与国内外知名高校开展“靶向式”学科合作，围绕主导产业设置特色专业，提升本土高校创新力。搭建</w:t>
      </w:r>
      <w:r>
        <w:rPr>
          <w:rFonts w:hint="eastAsia" w:ascii="Times New Roman" w:hAnsi="Times New Roman" w:eastAsia="方正仿宋_GBK"/>
          <w:color w:val="auto"/>
          <w:kern w:val="0"/>
          <w:sz w:val="33"/>
          <w:szCs w:val="33"/>
          <w:lang w:eastAsia="zh-CN"/>
        </w:rPr>
        <w:t>“</w:t>
      </w:r>
      <w:r>
        <w:rPr>
          <w:rFonts w:hint="eastAsia" w:ascii="Times New Roman" w:hAnsi="Times New Roman" w:eastAsia="方正仿宋_GBK"/>
          <w:color w:val="auto"/>
          <w:kern w:val="0"/>
          <w:sz w:val="33"/>
          <w:szCs w:val="33"/>
        </w:rPr>
        <w:t>广安科创云</w:t>
      </w:r>
      <w:r>
        <w:rPr>
          <w:rFonts w:hint="eastAsia" w:ascii="Times New Roman" w:hAnsi="Times New Roman" w:eastAsia="方正仿宋_GBK"/>
          <w:color w:val="auto"/>
          <w:kern w:val="0"/>
          <w:sz w:val="33"/>
          <w:szCs w:val="33"/>
          <w:lang w:eastAsia="zh-CN"/>
        </w:rPr>
        <w:t>”</w:t>
      </w:r>
      <w:r>
        <w:rPr>
          <w:rFonts w:hint="eastAsia" w:ascii="Times New Roman" w:hAnsi="Times New Roman" w:eastAsia="方正仿宋_GBK"/>
          <w:color w:val="auto"/>
          <w:kern w:val="0"/>
          <w:sz w:val="33"/>
          <w:szCs w:val="33"/>
        </w:rPr>
        <w:t>智慧平台，推动与重庆</w:t>
      </w:r>
      <w:r>
        <w:rPr>
          <w:rFonts w:ascii="Times New Roman" w:hAnsi="Times New Roman" w:eastAsia="方正仿宋_GBK"/>
          <w:color w:val="auto"/>
          <w:kern w:val="0"/>
          <w:sz w:val="33"/>
          <w:szCs w:val="33"/>
        </w:rPr>
        <w:t>毗邻地区</w:t>
      </w:r>
      <w:r>
        <w:rPr>
          <w:rFonts w:hint="eastAsia" w:ascii="Times New Roman" w:hAnsi="Times New Roman" w:eastAsia="方正仿宋_GBK"/>
          <w:color w:val="auto"/>
          <w:kern w:val="0"/>
          <w:sz w:val="33"/>
          <w:szCs w:val="33"/>
        </w:rPr>
        <w:t>科技政策资质互认、奖励互享、数据互通，联合开展攻关项目。构建“校校协同、校企联动”人才培养体系，</w:t>
      </w:r>
      <w:r>
        <w:rPr>
          <w:rFonts w:ascii="Times New Roman" w:hAnsi="Times New Roman" w:eastAsia="方正仿宋_GBK"/>
          <w:color w:val="auto"/>
          <w:kern w:val="0"/>
          <w:sz w:val="33"/>
          <w:szCs w:val="33"/>
        </w:rPr>
        <w:t>推动人才培养</w:t>
      </w:r>
      <w:r>
        <w:rPr>
          <w:rFonts w:hint="eastAsia" w:ascii="Times New Roman" w:hAnsi="Times New Roman" w:eastAsia="方正仿宋_GBK"/>
          <w:color w:val="auto"/>
          <w:kern w:val="0"/>
          <w:sz w:val="33"/>
          <w:szCs w:val="33"/>
        </w:rPr>
        <w:t>从技能培训向创新转型，为城市发展提供智力支撑。​</w:t>
      </w:r>
    </w:p>
    <w:p w14:paraId="53CD03D0">
      <w:pPr>
        <w:keepNext w:val="0"/>
        <w:keepLines w:val="0"/>
        <w:pageBreakBefore w:val="0"/>
        <w:widowControl w:val="0"/>
        <w:kinsoku/>
        <w:wordWrap/>
        <w:overflowPunct/>
        <w:topLinePunct w:val="0"/>
        <w:autoSpaceDE/>
        <w:autoSpaceDN/>
        <w:adjustRightInd/>
        <w:snapToGrid/>
        <w:spacing w:line="590" w:lineRule="exact"/>
        <w:ind w:left="0" w:firstLine="663" w:firstLineChars="200"/>
        <w:rPr>
          <w:rFonts w:hint="eastAsia" w:ascii="方正楷体_GBK" w:eastAsia="方正楷体_GBK"/>
          <w:b/>
          <w:bCs/>
          <w:color w:val="auto"/>
          <w:kern w:val="0"/>
          <w:sz w:val="33"/>
          <w:szCs w:val="33"/>
        </w:rPr>
      </w:pPr>
      <w:r>
        <w:rPr>
          <w:rFonts w:hint="eastAsia" w:ascii="方正楷体_GBK" w:eastAsia="方正楷体_GBK"/>
          <w:b/>
          <w:bCs/>
          <w:color w:val="auto"/>
          <w:kern w:val="0"/>
          <w:sz w:val="33"/>
          <w:szCs w:val="33"/>
        </w:rPr>
        <w:t>（二）推动产业高质量转型发展​</w:t>
      </w:r>
    </w:p>
    <w:p w14:paraId="34F743D2">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强化</w:t>
      </w:r>
      <w:r>
        <w:rPr>
          <w:rFonts w:ascii="Times New Roman" w:hAnsi="Times New Roman" w:eastAsia="方正仿宋_GBK"/>
          <w:color w:val="auto"/>
          <w:kern w:val="0"/>
          <w:sz w:val="33"/>
          <w:szCs w:val="33"/>
        </w:rPr>
        <w:t>以</w:t>
      </w:r>
      <w:r>
        <w:rPr>
          <w:rFonts w:hint="eastAsia" w:ascii="Times New Roman" w:hAnsi="Times New Roman" w:eastAsia="方正仿宋_GBK"/>
          <w:color w:val="auto"/>
          <w:kern w:val="0"/>
          <w:sz w:val="33"/>
          <w:szCs w:val="33"/>
        </w:rPr>
        <w:t>科技创新</w:t>
      </w:r>
      <w:r>
        <w:rPr>
          <w:rFonts w:ascii="Times New Roman" w:hAnsi="Times New Roman" w:eastAsia="方正仿宋_GBK"/>
          <w:color w:val="auto"/>
          <w:kern w:val="0"/>
          <w:sz w:val="33"/>
          <w:szCs w:val="33"/>
        </w:rPr>
        <w:t>引领</w:t>
      </w:r>
      <w:r>
        <w:rPr>
          <w:rFonts w:hint="eastAsia" w:ascii="Times New Roman" w:hAnsi="Times New Roman" w:eastAsia="方正仿宋_GBK"/>
          <w:color w:val="auto"/>
          <w:kern w:val="0"/>
          <w:sz w:val="33"/>
          <w:szCs w:val="33"/>
        </w:rPr>
        <w:t>产业创新，统筹推进传统产业改造升级、新兴产业培育壮大、未来产业布局建设</w:t>
      </w:r>
      <w:r>
        <w:rPr>
          <w:rFonts w:ascii="Times New Roman" w:hAnsi="Times New Roman" w:eastAsia="方正仿宋_GBK"/>
          <w:color w:val="auto"/>
          <w:kern w:val="0"/>
          <w:sz w:val="33"/>
          <w:szCs w:val="33"/>
        </w:rPr>
        <w:t>，因地制宜发展新质生产力</w:t>
      </w:r>
      <w:r>
        <w:rPr>
          <w:rFonts w:hint="eastAsia" w:ascii="Times New Roman" w:hAnsi="Times New Roman" w:eastAsia="方正仿宋_GBK"/>
          <w:color w:val="auto"/>
          <w:kern w:val="0"/>
          <w:sz w:val="33"/>
          <w:szCs w:val="33"/>
        </w:rPr>
        <w:t>。以高端化、智能化、绿色化改造为重点升级传统优势产业，支持建筑业企业做优做强，推动建筑业工业化、数字化、绿色化转型升级，深化建筑信息模型（BIM）技术全生命周期应用，提升建筑设计、施工、运营维护协同水平。推进智慧工地建设，强化信息技术与建筑施工管理深度融合，进一步提升安全监管效能。​</w:t>
      </w:r>
    </w:p>
    <w:p w14:paraId="58F1E45D">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积极布局银发经济</w:t>
      </w:r>
      <w:r>
        <w:rPr>
          <w:rFonts w:ascii="Times New Roman" w:hAnsi="Times New Roman" w:eastAsia="方正仿宋_GBK"/>
          <w:color w:val="auto"/>
          <w:kern w:val="0"/>
          <w:sz w:val="33"/>
          <w:szCs w:val="33"/>
        </w:rPr>
        <w:t>、</w:t>
      </w:r>
      <w:r>
        <w:rPr>
          <w:rFonts w:hint="eastAsia" w:ascii="Times New Roman" w:hAnsi="Times New Roman" w:eastAsia="方正仿宋_GBK"/>
          <w:color w:val="auto"/>
          <w:kern w:val="0"/>
          <w:sz w:val="33"/>
          <w:szCs w:val="33"/>
        </w:rPr>
        <w:t>低空</w:t>
      </w:r>
      <w:r>
        <w:rPr>
          <w:rFonts w:ascii="Times New Roman" w:hAnsi="Times New Roman" w:eastAsia="方正仿宋_GBK"/>
          <w:color w:val="auto"/>
          <w:kern w:val="0"/>
          <w:sz w:val="33"/>
          <w:szCs w:val="33"/>
        </w:rPr>
        <w:t>经济</w:t>
      </w:r>
      <w:r>
        <w:rPr>
          <w:rFonts w:hint="eastAsia" w:ascii="Times New Roman" w:hAnsi="Times New Roman" w:eastAsia="方正仿宋_GBK"/>
          <w:color w:val="auto"/>
          <w:kern w:val="0"/>
          <w:sz w:val="33"/>
          <w:szCs w:val="33"/>
        </w:rPr>
        <w:t>、生态环保等未来产业赛道，培育消费新场景，打造创新高地。全面落实“一网通办”前提下的“最多跑一次”改革，进一步简化工程审批流程，压缩审批时限，推行“容缺受理”“并联审批”模式，打造市场化、法治化、国际化营商环境。​</w:t>
      </w:r>
    </w:p>
    <w:p w14:paraId="43CA2A43">
      <w:pPr>
        <w:keepNext w:val="0"/>
        <w:keepLines w:val="0"/>
        <w:pageBreakBefore w:val="0"/>
        <w:widowControl w:val="0"/>
        <w:kinsoku/>
        <w:wordWrap/>
        <w:overflowPunct/>
        <w:topLinePunct w:val="0"/>
        <w:autoSpaceDE/>
        <w:autoSpaceDN/>
        <w:adjustRightInd/>
        <w:snapToGrid/>
        <w:spacing w:line="590" w:lineRule="exact"/>
        <w:ind w:left="0" w:firstLine="663" w:firstLineChars="200"/>
        <w:rPr>
          <w:rFonts w:hint="eastAsia" w:ascii="方正楷体_GBK" w:eastAsia="方正楷体_GBK"/>
          <w:b/>
          <w:bCs/>
          <w:color w:val="auto"/>
          <w:kern w:val="0"/>
          <w:sz w:val="33"/>
          <w:szCs w:val="33"/>
        </w:rPr>
      </w:pPr>
      <w:r>
        <w:rPr>
          <w:rFonts w:hint="eastAsia" w:ascii="方正楷体_GBK" w:eastAsia="方正楷体_GBK"/>
          <w:b/>
          <w:bCs/>
          <w:color w:val="auto"/>
          <w:kern w:val="0"/>
          <w:sz w:val="33"/>
          <w:szCs w:val="33"/>
        </w:rPr>
        <w:t>（三）高质量推进城市更新</w:t>
      </w:r>
    </w:p>
    <w:p w14:paraId="068AB335">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ascii="Times New Roman" w:hAnsi="Times New Roman" w:eastAsia="方正仿宋_GBK"/>
          <w:color w:val="auto"/>
          <w:kern w:val="0"/>
          <w:sz w:val="33"/>
          <w:szCs w:val="33"/>
        </w:rPr>
        <w:t>一体推进</w:t>
      </w:r>
      <w:r>
        <w:rPr>
          <w:rFonts w:hint="eastAsia" w:ascii="Times New Roman" w:hAnsi="Times New Roman" w:eastAsia="方正仿宋_GBK"/>
          <w:color w:val="auto"/>
          <w:kern w:val="0"/>
          <w:sz w:val="33"/>
          <w:szCs w:val="33"/>
        </w:rPr>
        <w:t>城市体检与城市更新，围绕住房、小区（社区）、街区、城区维度，健全民生保障、生态环境、安全韧性等领域基础指标和特色指标体系，常态化开展城市体检。编制城市更新</w:t>
      </w:r>
      <w:r>
        <w:rPr>
          <w:rFonts w:ascii="Times New Roman" w:hAnsi="Times New Roman" w:eastAsia="方正仿宋_GBK"/>
          <w:color w:val="auto"/>
          <w:kern w:val="0"/>
          <w:sz w:val="33"/>
          <w:szCs w:val="33"/>
        </w:rPr>
        <w:t>行动</w:t>
      </w:r>
      <w:r>
        <w:rPr>
          <w:rFonts w:hint="eastAsia" w:ascii="Times New Roman" w:hAnsi="Times New Roman" w:eastAsia="方正仿宋_GBK"/>
          <w:color w:val="auto"/>
          <w:kern w:val="0"/>
          <w:sz w:val="33"/>
          <w:szCs w:val="33"/>
        </w:rPr>
        <w:t>规划，深入实施三年</w:t>
      </w:r>
      <w:r>
        <w:rPr>
          <w:rFonts w:ascii="Times New Roman" w:hAnsi="Times New Roman" w:eastAsia="方正仿宋_GBK"/>
          <w:color w:val="auto"/>
          <w:kern w:val="0"/>
          <w:sz w:val="33"/>
          <w:szCs w:val="33"/>
        </w:rPr>
        <w:t>攻坚</w:t>
      </w:r>
      <w:r>
        <w:rPr>
          <w:rFonts w:hint="eastAsia" w:ascii="Times New Roman" w:hAnsi="Times New Roman" w:eastAsia="方正仿宋_GBK"/>
          <w:color w:val="auto"/>
          <w:kern w:val="0"/>
          <w:sz w:val="33"/>
          <w:szCs w:val="33"/>
        </w:rPr>
        <w:t>行动，高质量建设省级城市更新重点城市（县城），健全以重点片区为更新单元的一体化推进模式，优化重点地区（地段）城市设计。</w:t>
      </w:r>
    </w:p>
    <w:p w14:paraId="1AE27454">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持续推进城镇老旧小区改造，修复路面、更新路灯、规整管线、增设充电桩、打造共享花园，配套建设健康标识、健身器材、无障碍坡道等设施</w:t>
      </w:r>
      <w:r>
        <w:rPr>
          <w:rFonts w:hint="eastAsia" w:ascii="Times New Roman" w:hAnsi="Times New Roman" w:eastAsia="方正仿宋_GBK"/>
          <w:color w:val="auto"/>
          <w:kern w:val="0"/>
          <w:sz w:val="33"/>
          <w:szCs w:val="33"/>
          <w:lang w:eastAsia="zh-CN"/>
        </w:rPr>
        <w:t>。</w:t>
      </w:r>
      <w:r>
        <w:rPr>
          <w:rFonts w:ascii="Times New Roman" w:hAnsi="Times New Roman" w:eastAsia="方正仿宋_GBK"/>
          <w:color w:val="auto"/>
          <w:kern w:val="0"/>
          <w:sz w:val="33"/>
          <w:szCs w:val="33"/>
          <w:lang w:eastAsia="zh-CN"/>
        </w:rPr>
        <w:t>改造升级公交站点。</w:t>
      </w:r>
      <w:r>
        <w:rPr>
          <w:rFonts w:hint="eastAsia" w:ascii="Times New Roman" w:hAnsi="Times New Roman" w:eastAsia="方正仿宋_GBK"/>
          <w:color w:val="auto"/>
          <w:kern w:val="0"/>
          <w:sz w:val="33"/>
          <w:szCs w:val="33"/>
        </w:rPr>
        <w:t>盘活老旧厂房、低效楼宇、闲置传统商业设施等存量</w:t>
      </w:r>
      <w:r>
        <w:rPr>
          <w:rFonts w:ascii="Times New Roman" w:hAnsi="Times New Roman" w:eastAsia="方正仿宋_GBK"/>
          <w:color w:val="auto"/>
          <w:kern w:val="0"/>
          <w:sz w:val="33"/>
          <w:szCs w:val="33"/>
        </w:rPr>
        <w:t>房屋</w:t>
      </w:r>
      <w:r>
        <w:rPr>
          <w:rFonts w:hint="eastAsia" w:ascii="Times New Roman" w:hAnsi="Times New Roman" w:eastAsia="方正仿宋_GBK"/>
          <w:color w:val="auto"/>
          <w:kern w:val="0"/>
          <w:sz w:val="33"/>
          <w:szCs w:val="33"/>
        </w:rPr>
        <w:t>，通过改建扩建、功能置换等培育新兴产业载体、公共服务空间和特色街区。推进城市小微公共空间改造，</w:t>
      </w:r>
      <w:r>
        <w:rPr>
          <w:rFonts w:ascii="Times New Roman" w:hAnsi="Times New Roman" w:eastAsia="方正仿宋_GBK"/>
          <w:color w:val="auto"/>
          <w:kern w:val="0"/>
          <w:sz w:val="33"/>
          <w:szCs w:val="33"/>
        </w:rPr>
        <w:t>建设一批口袋公园、城市书房</w:t>
      </w:r>
      <w:r>
        <w:rPr>
          <w:rFonts w:hint="eastAsia" w:ascii="Times New Roman" w:hAnsi="Times New Roman" w:eastAsia="方正仿宋_GBK"/>
          <w:color w:val="auto"/>
          <w:kern w:val="0"/>
          <w:sz w:val="33"/>
          <w:szCs w:val="33"/>
        </w:rPr>
        <w:t>。</w:t>
      </w:r>
    </w:p>
    <w:p w14:paraId="457043F5">
      <w:pPr>
        <w:keepNext w:val="0"/>
        <w:keepLines w:val="0"/>
        <w:pageBreakBefore w:val="0"/>
        <w:widowControl w:val="0"/>
        <w:kinsoku/>
        <w:wordWrap/>
        <w:overflowPunct/>
        <w:topLinePunct w:val="0"/>
        <w:autoSpaceDE/>
        <w:autoSpaceDN/>
        <w:adjustRightInd/>
        <w:snapToGrid/>
        <w:spacing w:line="590" w:lineRule="exact"/>
        <w:ind w:left="0" w:firstLine="663" w:firstLineChars="200"/>
        <w:rPr>
          <w:rFonts w:hint="eastAsia" w:ascii="方正楷体_GBK" w:eastAsia="方正楷体_GBK"/>
          <w:b/>
          <w:bCs/>
          <w:color w:val="auto"/>
          <w:kern w:val="0"/>
          <w:sz w:val="33"/>
          <w:szCs w:val="33"/>
        </w:rPr>
      </w:pPr>
      <w:r>
        <w:rPr>
          <w:rFonts w:hint="eastAsia" w:ascii="方正楷体_GBK" w:eastAsia="方正楷体_GBK"/>
          <w:b/>
          <w:bCs/>
          <w:color w:val="auto"/>
          <w:kern w:val="0"/>
          <w:sz w:val="33"/>
          <w:szCs w:val="33"/>
        </w:rPr>
        <w:t>（四）健全投融资保障体系​</w:t>
      </w:r>
    </w:p>
    <w:p w14:paraId="7371061A">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树立城市运营思维，盘活交通、市政、生态环保等领域存量资产</w:t>
      </w:r>
      <w:r>
        <w:rPr>
          <w:rFonts w:ascii="Times New Roman" w:hAnsi="Times New Roman" w:eastAsia="方正仿宋_GBK"/>
          <w:color w:val="auto"/>
          <w:kern w:val="0"/>
          <w:sz w:val="33"/>
          <w:szCs w:val="33"/>
        </w:rPr>
        <w:t>，以财政引导、金融创新助力</w:t>
      </w:r>
      <w:r>
        <w:rPr>
          <w:rFonts w:hint="eastAsia" w:ascii="Times New Roman" w:hAnsi="Times New Roman" w:eastAsia="方正仿宋_GBK"/>
          <w:color w:val="auto"/>
          <w:kern w:val="0"/>
          <w:sz w:val="33"/>
          <w:szCs w:val="33"/>
        </w:rPr>
        <w:t>城市更新资金平衡可持续</w:t>
      </w:r>
      <w:r>
        <w:rPr>
          <w:rFonts w:ascii="Times New Roman" w:hAnsi="Times New Roman" w:eastAsia="方正仿宋_GBK"/>
          <w:color w:val="auto"/>
          <w:kern w:val="0"/>
          <w:sz w:val="33"/>
          <w:szCs w:val="33"/>
        </w:rPr>
        <w:t>。</w:t>
      </w:r>
      <w:r>
        <w:rPr>
          <w:rFonts w:hint="eastAsia" w:ascii="Times New Roman" w:hAnsi="Times New Roman" w:eastAsia="方正仿宋_GBK"/>
          <w:color w:val="auto"/>
          <w:kern w:val="0"/>
          <w:sz w:val="33"/>
          <w:szCs w:val="33"/>
          <w:lang w:eastAsia="zh-CN"/>
        </w:rPr>
        <w:t>探索</w:t>
      </w:r>
      <w:r>
        <w:rPr>
          <w:rFonts w:hint="eastAsia" w:ascii="Times New Roman" w:hAnsi="Times New Roman" w:eastAsia="方正仿宋_GBK"/>
          <w:color w:val="auto"/>
          <w:kern w:val="0"/>
          <w:sz w:val="33"/>
          <w:szCs w:val="33"/>
        </w:rPr>
        <w:t>“债贷组合”模式，</w:t>
      </w:r>
      <w:r>
        <w:rPr>
          <w:rFonts w:ascii="Times New Roman" w:hAnsi="Times New Roman" w:eastAsia="方正仿宋_GBK"/>
          <w:color w:val="auto"/>
          <w:kern w:val="0"/>
          <w:sz w:val="33"/>
          <w:szCs w:val="33"/>
        </w:rPr>
        <w:t>鼓励</w:t>
      </w:r>
      <w:r>
        <w:rPr>
          <w:rFonts w:hint="eastAsia" w:ascii="Times New Roman" w:hAnsi="Times New Roman" w:eastAsia="方正仿宋_GBK"/>
          <w:color w:val="auto"/>
          <w:kern w:val="0"/>
          <w:sz w:val="33"/>
          <w:szCs w:val="33"/>
        </w:rPr>
        <w:t>开发中长期信贷产品</w:t>
      </w:r>
      <w:r>
        <w:rPr>
          <w:rFonts w:ascii="Times New Roman" w:hAnsi="Times New Roman" w:eastAsia="方正仿宋_GBK"/>
          <w:color w:val="auto"/>
          <w:kern w:val="0"/>
          <w:sz w:val="33"/>
          <w:szCs w:val="33"/>
        </w:rPr>
        <w:t>，</w:t>
      </w:r>
      <w:r>
        <w:rPr>
          <w:rFonts w:hint="eastAsia" w:ascii="Times New Roman" w:hAnsi="Times New Roman" w:eastAsia="方正仿宋_GBK"/>
          <w:color w:val="auto"/>
          <w:kern w:val="0"/>
          <w:sz w:val="33"/>
          <w:szCs w:val="33"/>
        </w:rPr>
        <w:t>探索预期收益质押、项目资产抵押等担保方式，增强市场化融资能力。</w:t>
      </w:r>
    </w:p>
    <w:p w14:paraId="5476FDA7">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ascii="Times New Roman" w:hAnsi="Times New Roman" w:eastAsia="方正仿宋_GBK"/>
          <w:color w:val="auto"/>
          <w:kern w:val="0"/>
          <w:sz w:val="33"/>
          <w:szCs w:val="33"/>
        </w:rPr>
        <w:t>完善城市合伙人制度，</w:t>
      </w:r>
      <w:r>
        <w:rPr>
          <w:rFonts w:hint="eastAsia" w:ascii="Times New Roman" w:hAnsi="Times New Roman" w:eastAsia="方正仿宋_GBK"/>
          <w:color w:val="auto"/>
          <w:kern w:val="0"/>
          <w:sz w:val="33"/>
          <w:szCs w:val="33"/>
        </w:rPr>
        <w:t>通过特许经营、购买服务、股权合作等方式激发社会资本参与活力</w:t>
      </w:r>
      <w:r>
        <w:rPr>
          <w:rFonts w:ascii="Times New Roman" w:hAnsi="Times New Roman" w:eastAsia="方正仿宋_GBK"/>
          <w:color w:val="auto"/>
          <w:kern w:val="0"/>
          <w:sz w:val="33"/>
          <w:szCs w:val="33"/>
        </w:rPr>
        <w:t>，</w:t>
      </w:r>
      <w:r>
        <w:rPr>
          <w:rFonts w:hint="eastAsia" w:ascii="Times New Roman" w:hAnsi="Times New Roman" w:eastAsia="方正仿宋_GBK"/>
          <w:color w:val="auto"/>
          <w:kern w:val="0"/>
          <w:sz w:val="33"/>
          <w:szCs w:val="33"/>
        </w:rPr>
        <w:t>完善成本分担和收益共享机制，明确</w:t>
      </w:r>
      <w:r>
        <w:rPr>
          <w:rFonts w:ascii="Times New Roman" w:hAnsi="Times New Roman" w:eastAsia="方正仿宋_GBK"/>
          <w:color w:val="auto"/>
          <w:kern w:val="0"/>
          <w:sz w:val="33"/>
          <w:szCs w:val="33"/>
        </w:rPr>
        <w:t>各方权责</w:t>
      </w:r>
      <w:r>
        <w:rPr>
          <w:rFonts w:hint="eastAsia" w:ascii="Times New Roman" w:hAnsi="Times New Roman" w:eastAsia="方正仿宋_GBK"/>
          <w:color w:val="auto"/>
          <w:kern w:val="0"/>
          <w:sz w:val="33"/>
          <w:szCs w:val="33"/>
        </w:rPr>
        <w:t>。鼓励国有企业参与城市建设运营，探索“投资+建设+运营”一体化模式。推动融资平台向市场化、实体化转型，提高盈利能力和融资能力，为城市建设运营</w:t>
      </w:r>
      <w:r>
        <w:rPr>
          <w:rFonts w:ascii="Times New Roman" w:hAnsi="Times New Roman" w:eastAsia="方正仿宋_GBK"/>
          <w:color w:val="auto"/>
          <w:kern w:val="0"/>
          <w:sz w:val="33"/>
          <w:szCs w:val="33"/>
        </w:rPr>
        <w:t>赋能</w:t>
      </w:r>
      <w:r>
        <w:rPr>
          <w:rFonts w:hint="eastAsia" w:ascii="Times New Roman" w:hAnsi="Times New Roman" w:eastAsia="方正仿宋_GBK"/>
          <w:color w:val="auto"/>
          <w:kern w:val="0"/>
          <w:sz w:val="33"/>
          <w:szCs w:val="33"/>
        </w:rPr>
        <w:t>。</w:t>
      </w:r>
    </w:p>
    <w:p w14:paraId="0AA8DDAA">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方正黑体_GBK" w:eastAsia="方正黑体_GBK"/>
          <w:color w:val="auto"/>
          <w:kern w:val="0"/>
          <w:sz w:val="33"/>
          <w:szCs w:val="33"/>
        </w:rPr>
      </w:pPr>
      <w:r>
        <w:rPr>
          <w:rFonts w:hint="eastAsia" w:ascii="方正黑体_GBK" w:eastAsia="方正黑体_GBK"/>
          <w:color w:val="auto"/>
          <w:kern w:val="0"/>
          <w:sz w:val="33"/>
          <w:szCs w:val="33"/>
        </w:rPr>
        <w:t>四、补齐设施短板，提升城市功能品质​</w:t>
      </w:r>
    </w:p>
    <w:p w14:paraId="305F1B8F">
      <w:pPr>
        <w:keepNext w:val="0"/>
        <w:keepLines w:val="0"/>
        <w:pageBreakBefore w:val="0"/>
        <w:widowControl w:val="0"/>
        <w:kinsoku/>
        <w:wordWrap/>
        <w:overflowPunct/>
        <w:topLinePunct w:val="0"/>
        <w:autoSpaceDE/>
        <w:autoSpaceDN/>
        <w:adjustRightInd/>
        <w:snapToGrid/>
        <w:spacing w:line="590" w:lineRule="exact"/>
        <w:ind w:left="0" w:firstLine="663" w:firstLineChars="200"/>
        <w:rPr>
          <w:rFonts w:hint="eastAsia" w:ascii="方正楷体_GBK" w:eastAsia="方正楷体_GBK"/>
          <w:b/>
          <w:bCs/>
          <w:color w:val="auto"/>
          <w:kern w:val="0"/>
          <w:sz w:val="33"/>
          <w:szCs w:val="33"/>
        </w:rPr>
      </w:pPr>
      <w:r>
        <w:rPr>
          <w:rFonts w:hint="eastAsia" w:ascii="方正楷体_GBK" w:eastAsia="方正楷体_GBK"/>
          <w:b/>
          <w:bCs/>
          <w:color w:val="auto"/>
          <w:kern w:val="0"/>
          <w:sz w:val="33"/>
          <w:szCs w:val="33"/>
        </w:rPr>
        <w:t>（一）推进“好房子”与住房保障建设​</w:t>
      </w:r>
    </w:p>
    <w:p w14:paraId="3AD44908">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ascii="Times New Roman" w:hAnsi="Times New Roman" w:eastAsia="方正仿宋_GBK"/>
          <w:color w:val="auto"/>
          <w:kern w:val="0"/>
          <w:sz w:val="33"/>
          <w:szCs w:val="33"/>
        </w:rPr>
      </w:pPr>
      <w:r>
        <w:rPr>
          <w:rFonts w:ascii="Times New Roman" w:hAnsi="Times New Roman" w:eastAsia="方正仿宋_GBK"/>
          <w:color w:val="auto"/>
          <w:kern w:val="0"/>
          <w:sz w:val="33"/>
          <w:szCs w:val="33"/>
        </w:rPr>
        <w:t>加快构建房地产发展新模式，推进住房销售制度改革。</w:t>
      </w:r>
      <w:r>
        <w:rPr>
          <w:rFonts w:hint="eastAsia" w:ascii="Times New Roman" w:hAnsi="Times New Roman" w:eastAsia="方正仿宋_GBK"/>
          <w:color w:val="auto"/>
          <w:kern w:val="0"/>
          <w:sz w:val="33"/>
          <w:szCs w:val="33"/>
        </w:rPr>
        <w:t>全链条提升住房设计、建造、维护、服务水平，鼓励房地产企业打造“规划好、绿化好、质量好、物业好、配套好”“五好”高品质住宅，对已出让未开工建设项目或已开工建设项目的未售部分，支持住宅建筑架空层、风雨连廊、建筑层高、阳台等按照最新计容规则进行方案优化调整。</w:t>
      </w:r>
    </w:p>
    <w:p w14:paraId="42E36972">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分类推进城中村改造，采取拆除新建、改建扩建、整治提升等多种方式，更好满足刚性和改善型住房需求。健全住房保障体系，扩大保障性租赁住房供给，解决新市民、青年人等群体住房困难问题。实施物业服务质量提升行动，持续推动电动</w:t>
      </w:r>
      <w:r>
        <w:rPr>
          <w:rFonts w:ascii="Times New Roman" w:hAnsi="Times New Roman" w:eastAsia="方正仿宋_GBK"/>
          <w:color w:val="auto"/>
          <w:kern w:val="0"/>
          <w:sz w:val="33"/>
          <w:szCs w:val="33"/>
        </w:rPr>
        <w:t>自行</w:t>
      </w:r>
      <w:r>
        <w:rPr>
          <w:rFonts w:hint="eastAsia" w:ascii="Times New Roman" w:hAnsi="Times New Roman" w:eastAsia="方正仿宋_GBK"/>
          <w:color w:val="auto"/>
          <w:kern w:val="0"/>
          <w:sz w:val="33"/>
          <w:szCs w:val="33"/>
        </w:rPr>
        <w:t>车安全“一件事”全链条整治，建设“幸福好小区”。​</w:t>
      </w:r>
    </w:p>
    <w:p w14:paraId="7D62D36B">
      <w:pPr>
        <w:keepNext w:val="0"/>
        <w:keepLines w:val="0"/>
        <w:pageBreakBefore w:val="0"/>
        <w:widowControl w:val="0"/>
        <w:kinsoku/>
        <w:wordWrap/>
        <w:overflowPunct/>
        <w:topLinePunct w:val="0"/>
        <w:autoSpaceDE/>
        <w:autoSpaceDN/>
        <w:adjustRightInd/>
        <w:snapToGrid/>
        <w:spacing w:line="590" w:lineRule="exact"/>
        <w:ind w:left="0" w:firstLine="663" w:firstLineChars="200"/>
        <w:rPr>
          <w:rFonts w:hint="eastAsia" w:ascii="方正楷体_GBK" w:eastAsia="方正楷体_GBK"/>
          <w:b/>
          <w:bCs/>
          <w:color w:val="auto"/>
          <w:kern w:val="0"/>
          <w:sz w:val="33"/>
          <w:szCs w:val="33"/>
        </w:rPr>
      </w:pPr>
      <w:r>
        <w:rPr>
          <w:rFonts w:hint="eastAsia" w:ascii="方正楷体_GBK" w:eastAsia="方正楷体_GBK"/>
          <w:b/>
          <w:bCs/>
          <w:color w:val="auto"/>
          <w:kern w:val="0"/>
          <w:sz w:val="33"/>
          <w:szCs w:val="33"/>
        </w:rPr>
        <w:t>（二）打造完整社区与便民生活圈​</w:t>
      </w:r>
    </w:p>
    <w:p w14:paraId="43B9721F">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统筹区位、人口、需求等因素，聚焦老旧小区、新建商品房社区、城乡结合部社区三类单元，实施差异化完整社区建设，推动800平方米以上社区综合服务中心全覆盖。</w:t>
      </w:r>
      <w:r>
        <w:rPr>
          <w:rFonts w:hint="default" w:ascii="Times New Roman" w:hAnsi="Times New Roman" w:eastAsia="方正仿宋_GBK"/>
          <w:color w:val="auto"/>
          <w:kern w:val="0"/>
          <w:sz w:val="33"/>
          <w:szCs w:val="33"/>
        </w:rPr>
        <w:t>加强智慧社区、文化社区、健康社区建设，整合养老、托育、医疗、文化等功能，</w:t>
      </w:r>
      <w:r>
        <w:rPr>
          <w:rFonts w:ascii="Times New Roman" w:hAnsi="Times New Roman" w:eastAsia="方正仿宋_GBK"/>
          <w:color w:val="auto"/>
          <w:kern w:val="0"/>
          <w:sz w:val="33"/>
          <w:szCs w:val="33"/>
        </w:rPr>
        <w:t>提供</w:t>
      </w:r>
      <w:r>
        <w:rPr>
          <w:rFonts w:hint="default" w:ascii="Times New Roman" w:hAnsi="Times New Roman" w:eastAsia="方正仿宋_GBK"/>
          <w:color w:val="auto"/>
          <w:kern w:val="0"/>
          <w:sz w:val="33"/>
          <w:szCs w:val="33"/>
        </w:rPr>
        <w:t>“一站式”服务</w:t>
      </w:r>
      <w:r>
        <w:rPr>
          <w:rFonts w:ascii="Times New Roman" w:hAnsi="Times New Roman" w:eastAsia="方正仿宋_GBK"/>
          <w:color w:val="auto"/>
          <w:kern w:val="0"/>
          <w:sz w:val="33"/>
          <w:szCs w:val="33"/>
        </w:rPr>
        <w:t>。</w:t>
      </w:r>
    </w:p>
    <w:p w14:paraId="1BD8A233">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高质量打造15分钟便民生活圈，强化公共服务多元供给，整合街道、社区、物业、商户等力量参与社区生活圈建设运营。</w:t>
      </w:r>
      <w:r>
        <w:rPr>
          <w:rFonts w:ascii="Times New Roman" w:hAnsi="Times New Roman" w:eastAsia="方正仿宋_GBK"/>
          <w:color w:val="auto"/>
          <w:kern w:val="0"/>
          <w:sz w:val="33"/>
          <w:szCs w:val="33"/>
        </w:rPr>
        <w:t>以</w:t>
      </w:r>
      <w:r>
        <w:rPr>
          <w:rFonts w:hint="eastAsia" w:ascii="Times New Roman" w:hAnsi="Times New Roman" w:eastAsia="方正仿宋_GBK"/>
          <w:color w:val="auto"/>
          <w:kern w:val="0"/>
          <w:sz w:val="33"/>
          <w:szCs w:val="33"/>
        </w:rPr>
        <w:t>党建引领城市基层治理，健全“社区党组织+业委会+物业公司+社会组织+居民代表”五方协商机制，建强社区党组织、小区自治组织，分类推进“三无”小区物业服务全覆盖。</w:t>
      </w:r>
    </w:p>
    <w:p w14:paraId="5FEFB6F9">
      <w:pPr>
        <w:keepNext w:val="0"/>
        <w:keepLines w:val="0"/>
        <w:pageBreakBefore w:val="0"/>
        <w:widowControl w:val="0"/>
        <w:kinsoku/>
        <w:wordWrap/>
        <w:overflowPunct/>
        <w:topLinePunct w:val="0"/>
        <w:autoSpaceDE/>
        <w:autoSpaceDN/>
        <w:adjustRightInd/>
        <w:snapToGrid/>
        <w:spacing w:line="590" w:lineRule="exact"/>
        <w:ind w:left="0" w:firstLine="663" w:firstLineChars="200"/>
        <w:rPr>
          <w:rFonts w:hint="eastAsia" w:ascii="方正楷体_GBK" w:eastAsia="方正楷体_GBK"/>
          <w:b/>
          <w:bCs/>
          <w:color w:val="auto"/>
          <w:kern w:val="0"/>
          <w:sz w:val="33"/>
          <w:szCs w:val="33"/>
        </w:rPr>
      </w:pPr>
      <w:r>
        <w:rPr>
          <w:rFonts w:hint="eastAsia" w:ascii="方正楷体_GBK" w:eastAsia="方正楷体_GBK"/>
          <w:b/>
          <w:bCs/>
          <w:color w:val="auto"/>
          <w:kern w:val="0"/>
          <w:sz w:val="33"/>
          <w:szCs w:val="33"/>
        </w:rPr>
        <w:t>（三）开展城市功能补短行动​</w:t>
      </w:r>
    </w:p>
    <w:p w14:paraId="04710700">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优化城市快速路、主干路、次干路和支路级配，推进机场快速通道、广邻快速通道建设，打通城市断头路，提升路网联通效率。优化“一老一小”服务供给，推进无障碍环境建设和基础设施适老化适儿化改造，加快既有住宅增设电梯，建设社区养老服务站、普惠托育机构。推进城区公交站台更新改造，在具备条件的路段同步实施公交优先信号、公交站台港湾化改造。​</w:t>
      </w:r>
    </w:p>
    <w:p w14:paraId="7145DDDC">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加快推进新能源充电桩、5G基站等新型城市基础设施建设，实现新建住宅小区充电桩配建率100%，重点区域5G网络全覆盖。</w:t>
      </w:r>
      <w:r>
        <w:rPr>
          <w:rFonts w:ascii="Times New Roman" w:hAnsi="Times New Roman" w:eastAsia="方正仿宋_GBK"/>
          <w:color w:val="auto"/>
          <w:kern w:val="0"/>
          <w:sz w:val="33"/>
          <w:szCs w:val="33"/>
        </w:rPr>
        <w:t>推进</w:t>
      </w:r>
      <w:r>
        <w:rPr>
          <w:rFonts w:hint="eastAsia" w:ascii="Times New Roman" w:hAnsi="Times New Roman" w:eastAsia="方正仿宋_GBK"/>
          <w:color w:val="auto"/>
          <w:kern w:val="0"/>
          <w:sz w:val="33"/>
          <w:szCs w:val="33"/>
        </w:rPr>
        <w:t>城市群饮用水互联互通，更新改造老旧管网，整治“蜘蛛网”“飞线”</w:t>
      </w:r>
      <w:r>
        <w:rPr>
          <w:rFonts w:ascii="Times New Roman" w:hAnsi="Times New Roman" w:eastAsia="方正仿宋_GBK"/>
          <w:color w:val="auto"/>
          <w:kern w:val="0"/>
          <w:sz w:val="33"/>
          <w:szCs w:val="33"/>
        </w:rPr>
        <w:t>问题</w:t>
      </w:r>
      <w:r>
        <w:rPr>
          <w:rFonts w:hint="eastAsia" w:ascii="Times New Roman" w:hAnsi="Times New Roman" w:eastAsia="方正仿宋_GBK"/>
          <w:color w:val="auto"/>
          <w:kern w:val="0"/>
          <w:sz w:val="33"/>
          <w:szCs w:val="33"/>
        </w:rPr>
        <w:t>。系统化全域建设海绵城市，</w:t>
      </w:r>
      <w:r>
        <w:rPr>
          <w:rFonts w:ascii="Times New Roman" w:hAnsi="Times New Roman" w:eastAsia="方正仿宋_GBK"/>
          <w:color w:val="auto"/>
          <w:kern w:val="0"/>
          <w:sz w:val="33"/>
          <w:szCs w:val="33"/>
        </w:rPr>
        <w:t>筑牢</w:t>
      </w:r>
      <w:r>
        <w:rPr>
          <w:rFonts w:hint="eastAsia" w:ascii="Times New Roman" w:hAnsi="Times New Roman" w:eastAsia="方正仿宋_GBK"/>
          <w:color w:val="auto"/>
          <w:kern w:val="0"/>
          <w:sz w:val="33"/>
          <w:szCs w:val="33"/>
        </w:rPr>
        <w:t>城市防洪排涝</w:t>
      </w:r>
      <w:r>
        <w:rPr>
          <w:rFonts w:ascii="Times New Roman" w:hAnsi="Times New Roman" w:eastAsia="方正仿宋_GBK"/>
          <w:color w:val="auto"/>
          <w:kern w:val="0"/>
          <w:sz w:val="33"/>
          <w:szCs w:val="33"/>
        </w:rPr>
        <w:t>屏障</w:t>
      </w:r>
      <w:r>
        <w:rPr>
          <w:rFonts w:hint="eastAsia" w:ascii="Times New Roman" w:hAnsi="Times New Roman" w:eastAsia="方正仿宋_GBK"/>
          <w:color w:val="auto"/>
          <w:kern w:val="0"/>
          <w:sz w:val="33"/>
          <w:szCs w:val="33"/>
        </w:rPr>
        <w:t>。</w:t>
      </w:r>
    </w:p>
    <w:p w14:paraId="5A2CE9C7">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方正黑体_GBK" w:eastAsia="方正黑体_GBK"/>
          <w:color w:val="auto"/>
          <w:kern w:val="0"/>
          <w:sz w:val="33"/>
          <w:szCs w:val="33"/>
        </w:rPr>
      </w:pPr>
      <w:r>
        <w:rPr>
          <w:rFonts w:hint="eastAsia" w:ascii="方正黑体_GBK" w:eastAsia="方正黑体_GBK"/>
          <w:color w:val="auto"/>
          <w:kern w:val="0"/>
          <w:sz w:val="33"/>
          <w:szCs w:val="33"/>
        </w:rPr>
        <w:t>五、推动绿色转型，建设生态宜居城市​</w:t>
      </w:r>
    </w:p>
    <w:p w14:paraId="6E715CE4">
      <w:pPr>
        <w:keepNext w:val="0"/>
        <w:keepLines w:val="0"/>
        <w:pageBreakBefore w:val="0"/>
        <w:widowControl w:val="0"/>
        <w:kinsoku/>
        <w:wordWrap/>
        <w:overflowPunct/>
        <w:topLinePunct w:val="0"/>
        <w:autoSpaceDE/>
        <w:autoSpaceDN/>
        <w:adjustRightInd/>
        <w:snapToGrid/>
        <w:spacing w:line="590" w:lineRule="exact"/>
        <w:ind w:left="0" w:firstLine="663" w:firstLineChars="200"/>
        <w:rPr>
          <w:rFonts w:hint="eastAsia" w:ascii="方正楷体_GBK" w:eastAsia="方正楷体_GBK"/>
          <w:b/>
          <w:bCs/>
          <w:color w:val="auto"/>
          <w:kern w:val="0"/>
          <w:sz w:val="33"/>
          <w:szCs w:val="33"/>
        </w:rPr>
      </w:pPr>
      <w:r>
        <w:rPr>
          <w:rFonts w:hint="eastAsia" w:ascii="方正楷体_GBK" w:eastAsia="方正楷体_GBK"/>
          <w:b/>
          <w:bCs/>
          <w:color w:val="auto"/>
          <w:kern w:val="0"/>
          <w:sz w:val="33"/>
          <w:szCs w:val="33"/>
        </w:rPr>
        <w:t>（一）推进生产生活降碳发展​</w:t>
      </w:r>
    </w:p>
    <w:p w14:paraId="483AA484">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推进生产领域节能降碳，加快工业、建筑、交通等重点领域节能降碳改造和设备更新，一体推进绿色建材、绿色建造、绿色建筑，大力发展绿色建材和装配式建筑，推广绿色低碳工艺技术。到2030年，城镇新建建筑全面执行绿色建筑标准。</w:t>
      </w:r>
    </w:p>
    <w:p w14:paraId="70B9EA54">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推行绿色低碳生活方式，倡导绿色出行，优化公交线网布局，大力发展绿色公共交通和慢性系统，建设自行车专用道和步行廊道，加大纯电动公交车更新力度。深入实施国家节水行动，全面推进节水型城市建设，提高水资源利用效率。</w:t>
      </w:r>
    </w:p>
    <w:p w14:paraId="1CF3F060">
      <w:pPr>
        <w:keepNext w:val="0"/>
        <w:keepLines w:val="0"/>
        <w:pageBreakBefore w:val="0"/>
        <w:widowControl w:val="0"/>
        <w:kinsoku/>
        <w:wordWrap/>
        <w:overflowPunct/>
        <w:topLinePunct w:val="0"/>
        <w:autoSpaceDE/>
        <w:autoSpaceDN/>
        <w:adjustRightInd/>
        <w:snapToGrid/>
        <w:spacing w:line="590" w:lineRule="exact"/>
        <w:ind w:left="0" w:firstLine="663" w:firstLineChars="200"/>
        <w:rPr>
          <w:rFonts w:hint="eastAsia" w:ascii="方正楷体_GBK" w:eastAsia="方正楷体_GBK"/>
          <w:b/>
          <w:bCs/>
          <w:color w:val="auto"/>
          <w:kern w:val="0"/>
          <w:sz w:val="33"/>
          <w:szCs w:val="33"/>
        </w:rPr>
      </w:pPr>
      <w:r>
        <w:rPr>
          <w:rFonts w:hint="eastAsia" w:ascii="方正楷体_GBK" w:eastAsia="方正楷体_GBK"/>
          <w:b/>
          <w:bCs/>
          <w:color w:val="auto"/>
          <w:kern w:val="0"/>
          <w:sz w:val="33"/>
          <w:szCs w:val="33"/>
        </w:rPr>
        <w:t>（二）加强生态环境保护修复​</w:t>
      </w:r>
    </w:p>
    <w:p w14:paraId="1260ED11">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ascii="Times New Roman" w:hAnsi="Times New Roman" w:eastAsia="方正仿宋_GBK"/>
          <w:color w:val="auto"/>
          <w:kern w:val="0"/>
          <w:sz w:val="33"/>
          <w:szCs w:val="33"/>
        </w:rPr>
      </w:pPr>
      <w:r>
        <w:rPr>
          <w:rFonts w:ascii="Times New Roman" w:hAnsi="Times New Roman" w:eastAsia="方正仿宋_GBK"/>
          <w:color w:val="auto"/>
          <w:kern w:val="0"/>
          <w:sz w:val="33"/>
          <w:szCs w:val="33"/>
        </w:rPr>
        <w:t>持续推进丘陵地区滨江公园城市建设，有机融合城市风貌与公园形态，</w:t>
      </w:r>
      <w:r>
        <w:rPr>
          <w:rFonts w:hint="eastAsia" w:ascii="Times New Roman" w:hAnsi="Times New Roman" w:eastAsia="方正仿宋_GBK"/>
          <w:color w:val="auto"/>
          <w:kern w:val="0"/>
          <w:sz w:val="33"/>
          <w:szCs w:val="33"/>
        </w:rPr>
        <w:t>统筹城市水系、湿地、公园体系，</w:t>
      </w:r>
      <w:r>
        <w:rPr>
          <w:rFonts w:ascii="Times New Roman" w:hAnsi="Times New Roman" w:eastAsia="方正仿宋_GBK"/>
          <w:color w:val="auto"/>
          <w:kern w:val="0"/>
          <w:sz w:val="33"/>
          <w:szCs w:val="33"/>
        </w:rPr>
        <w:t>加快城市周边森林公园、湿地公园、郊野公园建设，统筹布局城市建成区内的综合公园、专类公园、社区公园、小游园，推进</w:t>
      </w:r>
      <w:r>
        <w:rPr>
          <w:rFonts w:hint="eastAsia" w:ascii="Times New Roman" w:hAnsi="Times New Roman" w:eastAsia="方正仿宋_GBK"/>
          <w:color w:val="auto"/>
          <w:kern w:val="0"/>
          <w:sz w:val="33"/>
          <w:szCs w:val="33"/>
        </w:rPr>
        <w:t>“一</w:t>
      </w:r>
      <w:r>
        <w:rPr>
          <w:rFonts w:ascii="Times New Roman" w:hAnsi="Times New Roman" w:eastAsia="方正仿宋_GBK"/>
          <w:color w:val="auto"/>
          <w:kern w:val="0"/>
          <w:sz w:val="33"/>
          <w:szCs w:val="33"/>
        </w:rPr>
        <w:t>江</w:t>
      </w:r>
      <w:r>
        <w:rPr>
          <w:rFonts w:hint="eastAsia" w:ascii="Times New Roman" w:hAnsi="Times New Roman" w:eastAsia="方正仿宋_GBK"/>
          <w:color w:val="auto"/>
          <w:kern w:val="0"/>
          <w:sz w:val="33"/>
          <w:szCs w:val="33"/>
        </w:rPr>
        <w:t>一</w:t>
      </w:r>
      <w:r>
        <w:rPr>
          <w:rFonts w:ascii="Times New Roman" w:hAnsi="Times New Roman" w:eastAsia="方正仿宋_GBK"/>
          <w:color w:val="auto"/>
          <w:kern w:val="0"/>
          <w:sz w:val="33"/>
          <w:szCs w:val="33"/>
        </w:rPr>
        <w:t>河</w:t>
      </w:r>
      <w:r>
        <w:rPr>
          <w:rFonts w:hint="eastAsia" w:ascii="Times New Roman" w:hAnsi="Times New Roman" w:eastAsia="方正仿宋_GBK"/>
          <w:color w:val="auto"/>
          <w:kern w:val="0"/>
          <w:sz w:val="33"/>
          <w:szCs w:val="33"/>
        </w:rPr>
        <w:t>”</w:t>
      </w:r>
      <w:r>
        <w:rPr>
          <w:rFonts w:ascii="Times New Roman" w:hAnsi="Times New Roman" w:eastAsia="方正仿宋_GBK"/>
          <w:color w:val="auto"/>
          <w:kern w:val="0"/>
          <w:sz w:val="33"/>
          <w:szCs w:val="33"/>
        </w:rPr>
        <w:t>生态修复，</w:t>
      </w:r>
      <w:r>
        <w:rPr>
          <w:rFonts w:hint="eastAsia" w:ascii="Times New Roman" w:hAnsi="Times New Roman" w:eastAsia="方正仿宋_GBK"/>
          <w:color w:val="auto"/>
          <w:kern w:val="0"/>
          <w:sz w:val="33"/>
          <w:szCs w:val="33"/>
        </w:rPr>
        <w:t>推</w:t>
      </w:r>
      <w:r>
        <w:rPr>
          <w:rFonts w:ascii="Times New Roman" w:hAnsi="Times New Roman" w:eastAsia="方正仿宋_GBK"/>
          <w:color w:val="auto"/>
          <w:kern w:val="0"/>
          <w:sz w:val="33"/>
          <w:szCs w:val="33"/>
        </w:rPr>
        <w:t>动</w:t>
      </w:r>
      <w:r>
        <w:rPr>
          <w:rFonts w:hint="eastAsia" w:ascii="Times New Roman" w:hAnsi="Times New Roman" w:eastAsia="方正仿宋_GBK"/>
          <w:color w:val="auto"/>
          <w:kern w:val="0"/>
          <w:sz w:val="33"/>
          <w:szCs w:val="33"/>
        </w:rPr>
        <w:t>公园绿地开放共享</w:t>
      </w:r>
      <w:r>
        <w:rPr>
          <w:rFonts w:ascii="Times New Roman" w:hAnsi="Times New Roman" w:eastAsia="方正仿宋_GBK"/>
          <w:color w:val="auto"/>
          <w:kern w:val="0"/>
          <w:sz w:val="33"/>
          <w:szCs w:val="33"/>
        </w:rPr>
        <w:t>，实现</w:t>
      </w:r>
      <w:r>
        <w:rPr>
          <w:rFonts w:hint="eastAsia" w:ascii="Times New Roman" w:hAnsi="Times New Roman" w:eastAsia="方正仿宋_GBK"/>
          <w:color w:val="auto"/>
          <w:kern w:val="0"/>
          <w:sz w:val="33"/>
          <w:szCs w:val="33"/>
        </w:rPr>
        <w:t>“</w:t>
      </w:r>
      <w:r>
        <w:rPr>
          <w:rFonts w:ascii="Times New Roman" w:hAnsi="Times New Roman" w:eastAsia="方正仿宋_GBK"/>
          <w:color w:val="auto"/>
          <w:kern w:val="0"/>
          <w:sz w:val="33"/>
          <w:szCs w:val="33"/>
        </w:rPr>
        <w:t>300米见绿、500米见园</w:t>
      </w:r>
      <w:r>
        <w:rPr>
          <w:rFonts w:hint="eastAsia" w:ascii="Times New Roman" w:hAnsi="Times New Roman" w:eastAsia="方正仿宋_GBK"/>
          <w:color w:val="auto"/>
          <w:kern w:val="0"/>
          <w:sz w:val="33"/>
          <w:szCs w:val="33"/>
        </w:rPr>
        <w:t>”</w:t>
      </w:r>
      <w:r>
        <w:rPr>
          <w:rFonts w:ascii="Times New Roman" w:hAnsi="Times New Roman" w:eastAsia="方正仿宋_GBK"/>
          <w:color w:val="auto"/>
          <w:kern w:val="0"/>
          <w:sz w:val="33"/>
          <w:szCs w:val="33"/>
        </w:rPr>
        <w:t>。</w:t>
      </w:r>
    </w:p>
    <w:p w14:paraId="0ED18D51">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深入</w:t>
      </w:r>
      <w:r>
        <w:rPr>
          <w:rFonts w:ascii="Times New Roman" w:hAnsi="Times New Roman" w:eastAsia="方正仿宋_GBK"/>
          <w:color w:val="auto"/>
          <w:kern w:val="0"/>
          <w:sz w:val="33"/>
          <w:szCs w:val="33"/>
        </w:rPr>
        <w:t>推进污染防治攻坚，</w:t>
      </w:r>
      <w:r>
        <w:rPr>
          <w:rFonts w:hint="eastAsia" w:ascii="Times New Roman" w:hAnsi="Times New Roman" w:eastAsia="方正仿宋_GBK"/>
          <w:color w:val="auto"/>
          <w:kern w:val="0"/>
          <w:sz w:val="33"/>
          <w:szCs w:val="33"/>
        </w:rPr>
        <w:t>实施城市空气质量达标管理，深化扬尘、噪声、餐饮油烟和异味治理，有效管控PM2.5浓度，提升空气质量优良天数比例。推进全域“无废城市”建设，</w:t>
      </w:r>
      <w:r>
        <w:rPr>
          <w:rFonts w:ascii="Times New Roman" w:hAnsi="Times New Roman" w:eastAsia="方正仿宋_GBK"/>
          <w:color w:val="auto"/>
          <w:kern w:val="0"/>
          <w:sz w:val="33"/>
          <w:szCs w:val="33"/>
        </w:rPr>
        <w:t>促进</w:t>
      </w:r>
      <w:r>
        <w:rPr>
          <w:rFonts w:hint="eastAsia" w:ascii="Times New Roman" w:hAnsi="Times New Roman" w:eastAsia="方正仿宋_GBK"/>
          <w:color w:val="auto"/>
          <w:kern w:val="0"/>
          <w:sz w:val="33"/>
          <w:szCs w:val="33"/>
        </w:rPr>
        <w:t>固体废物源头减量和资源化利用。加强城市生活污水治理，排查整治城市黑臭水体，建设美丽河湖，巩固海绵城市建设成效。</w:t>
      </w:r>
      <w:r>
        <w:rPr>
          <w:rFonts w:ascii="Times New Roman" w:hAnsi="Times New Roman" w:eastAsia="方正仿宋_GBK"/>
          <w:color w:val="auto"/>
          <w:kern w:val="0"/>
          <w:sz w:val="33"/>
          <w:szCs w:val="33"/>
        </w:rPr>
        <w:t>完善生活垃圾焚烧飞灰、餐厨垃圾处理体系，优化生活垃圾收转运体系，推进生活垃圾填埋场环境治理与</w:t>
      </w:r>
      <w:r>
        <w:rPr>
          <w:rFonts w:hint="eastAsia" w:ascii="Times New Roman" w:hAnsi="Times New Roman" w:eastAsia="方正仿宋_GBK"/>
          <w:color w:val="auto"/>
          <w:kern w:val="0"/>
          <w:sz w:val="33"/>
          <w:szCs w:val="33"/>
        </w:rPr>
        <w:t>垃圾分类投放点（站）标准化建设改造，推动垃圾分类提质增效。</w:t>
      </w:r>
    </w:p>
    <w:p w14:paraId="6DD16355">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方正黑体_GBK" w:eastAsia="方正黑体_GBK"/>
          <w:color w:val="auto"/>
          <w:kern w:val="0"/>
          <w:sz w:val="33"/>
          <w:szCs w:val="33"/>
        </w:rPr>
      </w:pPr>
      <w:r>
        <w:rPr>
          <w:rFonts w:hint="eastAsia" w:ascii="方正黑体_GBK" w:eastAsia="方正黑体_GBK"/>
          <w:color w:val="auto"/>
          <w:kern w:val="0"/>
          <w:sz w:val="33"/>
          <w:szCs w:val="33"/>
        </w:rPr>
        <w:t>六、坚持底线思维，筑牢城市安全屏障​</w:t>
      </w:r>
    </w:p>
    <w:p w14:paraId="147FDA64">
      <w:pPr>
        <w:keepNext w:val="0"/>
        <w:keepLines w:val="0"/>
        <w:pageBreakBefore w:val="0"/>
        <w:widowControl w:val="0"/>
        <w:kinsoku/>
        <w:wordWrap/>
        <w:overflowPunct/>
        <w:topLinePunct w:val="0"/>
        <w:autoSpaceDE/>
        <w:autoSpaceDN/>
        <w:adjustRightInd/>
        <w:snapToGrid/>
        <w:spacing w:line="590" w:lineRule="exact"/>
        <w:ind w:left="0" w:firstLine="663" w:firstLineChars="200"/>
        <w:rPr>
          <w:rFonts w:hint="eastAsia" w:ascii="方正楷体_GBK" w:eastAsia="方正楷体_GBK"/>
          <w:b/>
          <w:bCs/>
          <w:color w:val="auto"/>
          <w:kern w:val="0"/>
          <w:sz w:val="33"/>
          <w:szCs w:val="33"/>
        </w:rPr>
      </w:pPr>
      <w:r>
        <w:rPr>
          <w:rFonts w:hint="eastAsia" w:ascii="方正楷体_GBK" w:eastAsia="方正楷体_GBK"/>
          <w:b/>
          <w:bCs/>
          <w:color w:val="auto"/>
          <w:kern w:val="0"/>
          <w:sz w:val="33"/>
          <w:szCs w:val="33"/>
        </w:rPr>
        <w:t>（一）保障城市安全运行​</w:t>
      </w:r>
    </w:p>
    <w:p w14:paraId="2D2C8BCB">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建立房屋全生命周期安全管理制度，构建“排查鉴定—监测预警—改造治理”闭环体系，稳妥推进危险住房改造，加大对老旧住宅电梯、老旧房屋抗震、消防设施等隐患排查治理力度，严控超高层建筑，增强高空消防救援能力。</w:t>
      </w:r>
    </w:p>
    <w:p w14:paraId="527B2F69">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加强对城市桥梁、隧道、地下管网等设施安全监测，建立信息动态更新机制，在城市建设、更新过程中同步更新基础信息与安全隐患信息，运用智能化手段提升监测预警能力。强化重点行业领域安全生产管理，常态化开展城镇燃气、道路交通、群租房等领域安全整治，加强有限空间作业管理，防范化解重大风险。建立企业安全生产信用评价制度，实施守信激励、失信惩戒。​</w:t>
      </w:r>
    </w:p>
    <w:p w14:paraId="5479F8AA">
      <w:pPr>
        <w:keepNext w:val="0"/>
        <w:keepLines w:val="0"/>
        <w:pageBreakBefore w:val="0"/>
        <w:widowControl w:val="0"/>
        <w:kinsoku/>
        <w:wordWrap/>
        <w:overflowPunct/>
        <w:topLinePunct w:val="0"/>
        <w:autoSpaceDE/>
        <w:autoSpaceDN/>
        <w:adjustRightInd/>
        <w:snapToGrid/>
        <w:spacing w:line="590" w:lineRule="exact"/>
        <w:ind w:left="0" w:firstLine="663" w:firstLineChars="200"/>
        <w:rPr>
          <w:rFonts w:hint="eastAsia" w:ascii="方正楷体_GBK" w:eastAsia="方正楷体_GBK"/>
          <w:b/>
          <w:bCs/>
          <w:color w:val="auto"/>
          <w:kern w:val="0"/>
          <w:sz w:val="33"/>
          <w:szCs w:val="33"/>
        </w:rPr>
      </w:pPr>
      <w:r>
        <w:rPr>
          <w:rFonts w:hint="eastAsia" w:ascii="方正楷体_GBK" w:eastAsia="方正楷体_GBK"/>
          <w:b/>
          <w:bCs/>
          <w:color w:val="auto"/>
          <w:kern w:val="0"/>
          <w:sz w:val="33"/>
          <w:szCs w:val="33"/>
        </w:rPr>
        <w:t>（二）提升综合应急能力​</w:t>
      </w:r>
    </w:p>
    <w:p w14:paraId="25B5CE16">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加强部门协调联动、数据共享，健全常态化风险隐患监测预警、排查整治、应急处置机制。优化城市防灾减灾空间格局，加强“平急两用”公共基础设施建设，在体育场馆、会展中心等公共建筑中嵌入应急避难功能，提高防灾减灾救灾和应对极端天气能力。推动重要设施、能源、水源等分布式布局，适度提高抗灾设防标准。​</w:t>
      </w:r>
    </w:p>
    <w:p w14:paraId="3414CE67">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依托广安市主城区地下管线综合信息系统（GIS），构建城市内涝风险灾害预警预防和应急处置体系，健全城区防洪排涝联排联调机制，提升极端天气应对能力。加强应急物资储备体系建设，充实防汛抗旱、抗震救灾、公共卫生等领域应急物资，强化应急队伍建设和演练，提高快速响应能力。​</w:t>
      </w:r>
    </w:p>
    <w:p w14:paraId="44843741">
      <w:pPr>
        <w:keepNext w:val="0"/>
        <w:keepLines w:val="0"/>
        <w:pageBreakBefore w:val="0"/>
        <w:widowControl w:val="0"/>
        <w:kinsoku/>
        <w:wordWrap/>
        <w:overflowPunct/>
        <w:topLinePunct w:val="0"/>
        <w:autoSpaceDE/>
        <w:autoSpaceDN/>
        <w:adjustRightInd/>
        <w:snapToGrid/>
        <w:spacing w:line="590" w:lineRule="exact"/>
        <w:ind w:left="0" w:firstLine="663" w:firstLineChars="200"/>
        <w:rPr>
          <w:rFonts w:hint="eastAsia" w:ascii="方正楷体_GBK" w:eastAsia="方正楷体_GBK"/>
          <w:b/>
          <w:bCs/>
          <w:color w:val="auto"/>
          <w:kern w:val="0"/>
          <w:sz w:val="33"/>
          <w:szCs w:val="33"/>
        </w:rPr>
      </w:pPr>
      <w:r>
        <w:rPr>
          <w:rFonts w:hint="eastAsia" w:ascii="方正楷体_GBK" w:eastAsia="方正楷体_GBK"/>
          <w:b/>
          <w:bCs/>
          <w:color w:val="auto"/>
          <w:kern w:val="0"/>
          <w:sz w:val="33"/>
          <w:szCs w:val="33"/>
        </w:rPr>
        <w:t>（三）加强公共安全防控​</w:t>
      </w:r>
    </w:p>
    <w:p w14:paraId="1F562044">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进一步强化川渝医疗卫生资源共建共享，加强突发公共卫生事件联防联控，持续优化区域卫生应急联动机制，建立跨区域应急医疗救援队伍，确保突发事件发生时快速响应、高效处置。健全精神卫生服务体系，推动心理健康服务融入社会治理，建设一批社区心理服务站。​</w:t>
      </w:r>
    </w:p>
    <w:p w14:paraId="0E1216A6">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强化食品安全全链条监管，严格落实“四个最严”要求，建立健全食品安全追溯体系，严厉打击违法违规行为，保障群众舌尖上的安全。深入推进平安广安建设，完善社会治安防控体系，加强智慧安防小区建设，常态化开展扫黑除恶，维护社会大局稳定。​</w:t>
      </w:r>
    </w:p>
    <w:p w14:paraId="773E0942">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方正黑体_GBK" w:eastAsia="方正黑体_GBK"/>
          <w:color w:val="auto"/>
          <w:kern w:val="0"/>
          <w:sz w:val="33"/>
          <w:szCs w:val="33"/>
        </w:rPr>
      </w:pPr>
      <w:r>
        <w:rPr>
          <w:rFonts w:hint="eastAsia" w:ascii="方正黑体_GBK" w:eastAsia="方正黑体_GBK"/>
          <w:color w:val="auto"/>
          <w:kern w:val="0"/>
          <w:sz w:val="33"/>
          <w:szCs w:val="33"/>
        </w:rPr>
        <w:t>七、传承特色文脉，彰显城市文化魅力​</w:t>
      </w:r>
    </w:p>
    <w:p w14:paraId="2036F617">
      <w:pPr>
        <w:keepNext w:val="0"/>
        <w:keepLines w:val="0"/>
        <w:pageBreakBefore w:val="0"/>
        <w:widowControl w:val="0"/>
        <w:kinsoku/>
        <w:wordWrap/>
        <w:overflowPunct/>
        <w:topLinePunct w:val="0"/>
        <w:autoSpaceDE/>
        <w:autoSpaceDN/>
        <w:adjustRightInd/>
        <w:snapToGrid/>
        <w:spacing w:line="590" w:lineRule="exact"/>
        <w:ind w:left="0" w:firstLine="663" w:firstLineChars="200"/>
        <w:rPr>
          <w:rFonts w:hint="eastAsia" w:ascii="方正楷体_GBK" w:eastAsia="方正楷体_GBK"/>
          <w:b/>
          <w:bCs/>
          <w:color w:val="auto"/>
          <w:kern w:val="0"/>
          <w:sz w:val="33"/>
          <w:szCs w:val="33"/>
        </w:rPr>
      </w:pPr>
      <w:r>
        <w:rPr>
          <w:rFonts w:hint="eastAsia" w:ascii="方正楷体_GBK" w:eastAsia="方正楷体_GBK"/>
          <w:b/>
          <w:bCs/>
          <w:color w:val="auto"/>
          <w:kern w:val="0"/>
          <w:sz w:val="33"/>
          <w:szCs w:val="33"/>
        </w:rPr>
        <w:t>（一）加强历史文化保护传承​</w:t>
      </w:r>
    </w:p>
    <w:p w14:paraId="3D5889C0">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健全城市文化遗产普查调查制度，开展老城及其历史街区专项调查，建立文化遗产数据库，深入挖掘城市历史文化底蕴，加强文化遗产的保护与活态传承。在房屋建筑、市政建设、城市更新等场景，因地制宜植入伟人故里文化、賨人文化、宋韵文化等元素，打造一批文化地标和特色街巷，提升城市文化辨识度。​</w:t>
      </w:r>
    </w:p>
    <w:p w14:paraId="72B52893">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利用城市闲置边角地建设城市文化墙、特色微广场、口袋博物馆等，丰富城市文化内涵，提升群众对本地文化的知晓度、认同感。支持前锋、华蓥等地推进三线文化遗产保护利用，支持创建国家、省级历史文化名城、名街、名镇。严格落实文化保护硬约束，禁止大规模迁移砍伐树木、滥建文化地标、随意更改老地名。​</w:t>
      </w:r>
    </w:p>
    <w:p w14:paraId="52E0A2D9">
      <w:pPr>
        <w:keepNext w:val="0"/>
        <w:keepLines w:val="0"/>
        <w:pageBreakBefore w:val="0"/>
        <w:widowControl w:val="0"/>
        <w:kinsoku/>
        <w:wordWrap/>
        <w:overflowPunct/>
        <w:topLinePunct w:val="0"/>
        <w:autoSpaceDE/>
        <w:autoSpaceDN/>
        <w:adjustRightInd/>
        <w:snapToGrid/>
        <w:spacing w:line="590" w:lineRule="exact"/>
        <w:ind w:left="0" w:firstLine="663" w:firstLineChars="200"/>
        <w:rPr>
          <w:rFonts w:hint="eastAsia" w:ascii="方正楷体_GBK" w:eastAsia="方正楷体_GBK"/>
          <w:b/>
          <w:bCs/>
          <w:color w:val="auto"/>
          <w:kern w:val="0"/>
          <w:sz w:val="33"/>
          <w:szCs w:val="33"/>
        </w:rPr>
      </w:pPr>
      <w:r>
        <w:rPr>
          <w:rFonts w:hint="eastAsia" w:ascii="方正楷体_GBK" w:eastAsia="方正楷体_GBK"/>
          <w:b/>
          <w:bCs/>
          <w:color w:val="auto"/>
          <w:kern w:val="0"/>
          <w:sz w:val="33"/>
          <w:szCs w:val="33"/>
        </w:rPr>
        <w:t>（二）深化文旅融合发展​</w:t>
      </w:r>
    </w:p>
    <w:p w14:paraId="0B5D3AEF">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构建“小平故里行，华蓥山上居，嘉陵江畔游”特色品牌矩阵，深度融入巴蜀文化旅游走廊建设，打造全国红色旅游主阵地，重庆中心城区生态休闲花园，全力推进“嘉陵江畔”人文风景廊道建设</w:t>
      </w:r>
      <w:r>
        <w:rPr>
          <w:rFonts w:hint="eastAsia" w:ascii="Times New Roman" w:hAnsi="Times New Roman" w:eastAsia="方正仿宋_GBK"/>
          <w:color w:val="auto"/>
          <w:kern w:val="0"/>
          <w:sz w:val="33"/>
          <w:szCs w:val="33"/>
          <w:lang w:eastAsia="zh-CN"/>
        </w:rPr>
        <w:t>。</w:t>
      </w:r>
      <w:r>
        <w:rPr>
          <w:rFonts w:hint="eastAsia" w:ascii="Times New Roman" w:hAnsi="Times New Roman" w:eastAsia="方正仿宋_GBK"/>
          <w:color w:val="auto"/>
          <w:kern w:val="0"/>
          <w:sz w:val="33"/>
          <w:szCs w:val="33"/>
        </w:rPr>
        <w:t>聚焦古镇活化利用、乡村文旅提质，推动文化旅游资源从“资源散落”</w:t>
      </w:r>
      <w:r>
        <w:rPr>
          <w:rFonts w:ascii="Times New Roman" w:hAnsi="Times New Roman" w:eastAsia="方正仿宋_GBK"/>
          <w:color w:val="auto"/>
          <w:kern w:val="0"/>
          <w:sz w:val="33"/>
          <w:szCs w:val="33"/>
        </w:rPr>
        <w:t>向</w:t>
      </w:r>
      <w:r>
        <w:rPr>
          <w:rFonts w:hint="eastAsia" w:ascii="Times New Roman" w:hAnsi="Times New Roman" w:eastAsia="方正仿宋_GBK"/>
          <w:color w:val="auto"/>
          <w:kern w:val="0"/>
          <w:sz w:val="33"/>
          <w:szCs w:val="33"/>
        </w:rPr>
        <w:t>“价值聚合”转型。​</w:t>
      </w:r>
    </w:p>
    <w:p w14:paraId="26B6C036">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聚焦“生态、文态、形态、业态”融合发展，探索“更新—增值—反哺”闭环机制，深度挖掘小平故里、乐活城、文博公园、</w:t>
      </w:r>
      <w:r>
        <w:rPr>
          <w:rFonts w:ascii="Times New Roman" w:hAnsi="Times New Roman" w:eastAsia="方正仿宋_GBK"/>
          <w:color w:val="auto"/>
          <w:kern w:val="0"/>
          <w:sz w:val="33"/>
          <w:szCs w:val="33"/>
        </w:rPr>
        <w:t>賨</w:t>
      </w:r>
      <w:r>
        <w:rPr>
          <w:rFonts w:hint="eastAsia" w:ascii="Times New Roman" w:hAnsi="Times New Roman" w:eastAsia="方正仿宋_GBK"/>
          <w:color w:val="auto"/>
          <w:kern w:val="0"/>
          <w:sz w:val="33"/>
          <w:szCs w:val="33"/>
        </w:rPr>
        <w:t>城里、广安不夜城等城市旅游资源，推出红色研学、生态康养、滨江休闲等一批主题旅游线路，打造文旅融合新场景。加强文旅品牌宣传推广，举办特色文化旅游活动，提升广安文旅知名度。​</w:t>
      </w:r>
    </w:p>
    <w:p w14:paraId="1CF00954">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方正黑体_GBK" w:eastAsia="方正黑体_GBK"/>
          <w:color w:val="auto"/>
          <w:kern w:val="0"/>
          <w:sz w:val="33"/>
          <w:szCs w:val="33"/>
        </w:rPr>
      </w:pPr>
      <w:r>
        <w:rPr>
          <w:rFonts w:hint="eastAsia" w:ascii="方正黑体_GBK" w:eastAsia="方正黑体_GBK"/>
          <w:color w:val="auto"/>
          <w:kern w:val="0"/>
          <w:sz w:val="33"/>
          <w:szCs w:val="33"/>
        </w:rPr>
        <w:t>八、创新治理模式，提高城市治理效能​</w:t>
      </w:r>
    </w:p>
    <w:p w14:paraId="11916050">
      <w:pPr>
        <w:keepNext w:val="0"/>
        <w:keepLines w:val="0"/>
        <w:pageBreakBefore w:val="0"/>
        <w:widowControl w:val="0"/>
        <w:kinsoku/>
        <w:wordWrap/>
        <w:overflowPunct/>
        <w:topLinePunct w:val="0"/>
        <w:autoSpaceDE/>
        <w:autoSpaceDN/>
        <w:adjustRightInd/>
        <w:snapToGrid/>
        <w:spacing w:line="590" w:lineRule="exact"/>
        <w:ind w:left="0" w:firstLine="663" w:firstLineChars="200"/>
        <w:rPr>
          <w:rFonts w:hint="eastAsia" w:ascii="方正楷体_GBK" w:eastAsia="方正楷体_GBK"/>
          <w:b/>
          <w:bCs/>
          <w:color w:val="auto"/>
          <w:kern w:val="0"/>
          <w:sz w:val="33"/>
          <w:szCs w:val="33"/>
        </w:rPr>
      </w:pPr>
      <w:r>
        <w:rPr>
          <w:rFonts w:hint="eastAsia" w:ascii="方正楷体_GBK" w:eastAsia="方正楷体_GBK"/>
          <w:b/>
          <w:bCs/>
          <w:color w:val="auto"/>
          <w:kern w:val="0"/>
          <w:sz w:val="33"/>
          <w:szCs w:val="33"/>
        </w:rPr>
        <w:t>（一）健全城市治理机制​</w:t>
      </w:r>
    </w:p>
    <w:p w14:paraId="0BD4752C">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ascii="Times New Roman" w:hAnsi="Times New Roman" w:eastAsia="方正仿宋_GBK"/>
          <w:color w:val="auto"/>
          <w:kern w:val="0"/>
          <w:sz w:val="33"/>
          <w:szCs w:val="33"/>
        </w:rPr>
        <w:t>完善党委、政府主要领导任双组长</w:t>
      </w:r>
      <w:r>
        <w:rPr>
          <w:rFonts w:hint="eastAsia" w:ascii="Times New Roman" w:hAnsi="Times New Roman" w:eastAsia="方正仿宋_GBK"/>
          <w:color w:val="auto"/>
          <w:kern w:val="0"/>
          <w:sz w:val="33"/>
          <w:szCs w:val="33"/>
        </w:rPr>
        <w:t>的城市管理统筹协调机制，建强并发挥好“一委一办一平台”（城市管理委员会、城市管理委员会办公室、城市运行管理服务平台）作用，综合协调跨部门、跨层级资源，组织实施城市发展战略、重要措施等。推进城市治理体系和治理能力现代化，推动治理重心和配套资源向基层下沉，赋予街道社区更多自主权。</w:t>
      </w:r>
    </w:p>
    <w:p w14:paraId="76A953C5">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鼓励市民、企业、社会组织等多元主体参与城市治理，建立健全公众参与机制，推动城市共建共治共享。建立科学的城市发展评价体系，将民生改善、生态效益、安全韧性等指标纳入评价范围，树立和践行正确政绩观。​</w:t>
      </w:r>
    </w:p>
    <w:p w14:paraId="313FECC5">
      <w:pPr>
        <w:keepNext w:val="0"/>
        <w:keepLines w:val="0"/>
        <w:pageBreakBefore w:val="0"/>
        <w:widowControl w:val="0"/>
        <w:kinsoku/>
        <w:wordWrap/>
        <w:overflowPunct/>
        <w:topLinePunct w:val="0"/>
        <w:autoSpaceDE/>
        <w:autoSpaceDN/>
        <w:adjustRightInd/>
        <w:snapToGrid/>
        <w:spacing w:line="590" w:lineRule="exact"/>
        <w:ind w:left="0" w:firstLine="663" w:firstLineChars="200"/>
        <w:rPr>
          <w:rFonts w:hint="eastAsia" w:ascii="方正楷体_GBK" w:eastAsia="方正楷体_GBK"/>
          <w:b/>
          <w:bCs/>
          <w:color w:val="auto"/>
          <w:kern w:val="0"/>
          <w:sz w:val="33"/>
          <w:szCs w:val="33"/>
        </w:rPr>
      </w:pPr>
      <w:r>
        <w:rPr>
          <w:rFonts w:hint="eastAsia" w:ascii="方正楷体_GBK" w:eastAsia="方正楷体_GBK"/>
          <w:b/>
          <w:bCs/>
          <w:color w:val="auto"/>
          <w:kern w:val="0"/>
          <w:sz w:val="33"/>
          <w:szCs w:val="33"/>
        </w:rPr>
        <w:t>（二）推进智慧城市建设​</w:t>
      </w:r>
    </w:p>
    <w:p w14:paraId="0844AFA3">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以“城市大脑”统筹全域数据资源</w:t>
      </w:r>
      <w:r>
        <w:rPr>
          <w:rFonts w:ascii="Times New Roman" w:hAnsi="Times New Roman" w:eastAsia="方正仿宋_GBK"/>
          <w:color w:val="auto"/>
          <w:kern w:val="0"/>
          <w:sz w:val="33"/>
          <w:szCs w:val="33"/>
        </w:rPr>
        <w:t>，</w:t>
      </w:r>
      <w:r>
        <w:rPr>
          <w:rFonts w:hint="eastAsia" w:ascii="Times New Roman" w:hAnsi="Times New Roman" w:eastAsia="方正仿宋_GBK"/>
          <w:color w:val="auto"/>
          <w:kern w:val="0"/>
          <w:sz w:val="33"/>
          <w:szCs w:val="33"/>
        </w:rPr>
        <w:t>整合政务、交通、城管、应急等领域数据，实现信息共享、分级监管、协同联动，完善城市运行管理机制。加快推进城市基础设施生命线工程建设，因地制宜对供水、排水、燃气、桥梁、隧道等设施进行数字化</w:t>
      </w:r>
      <w:r>
        <w:rPr>
          <w:rFonts w:ascii="Times New Roman" w:hAnsi="Times New Roman" w:eastAsia="方正仿宋_GBK"/>
          <w:color w:val="auto"/>
          <w:kern w:val="0"/>
          <w:sz w:val="33"/>
          <w:szCs w:val="33"/>
        </w:rPr>
        <w:t>、</w:t>
      </w:r>
      <w:r>
        <w:rPr>
          <w:rFonts w:hint="eastAsia" w:ascii="Times New Roman" w:hAnsi="Times New Roman" w:eastAsia="方正仿宋_GBK"/>
          <w:color w:val="auto"/>
          <w:kern w:val="0"/>
          <w:sz w:val="33"/>
          <w:szCs w:val="33"/>
        </w:rPr>
        <w:t>智能化改造，实现风险早发现、早预警、早处置。​</w:t>
      </w:r>
    </w:p>
    <w:p w14:paraId="6E18C416">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建立地下管网“一张图”</w:t>
      </w:r>
      <w:r>
        <w:rPr>
          <w:rFonts w:ascii="Times New Roman" w:hAnsi="Times New Roman" w:eastAsia="方正仿宋_GBK"/>
          <w:color w:val="auto"/>
          <w:kern w:val="0"/>
          <w:sz w:val="33"/>
          <w:szCs w:val="33"/>
        </w:rPr>
        <w:t>和</w:t>
      </w:r>
      <w:r>
        <w:rPr>
          <w:rFonts w:hint="eastAsia" w:ascii="Times New Roman" w:hAnsi="Times New Roman" w:eastAsia="方正仿宋_GBK"/>
          <w:color w:val="auto"/>
          <w:kern w:val="0"/>
          <w:sz w:val="33"/>
          <w:szCs w:val="33"/>
        </w:rPr>
        <w:t>基础数据平台，实现全生命周期管理。实施小区数字化、网络化、智能化改造与管理，支持物业发展线上线下生活服务。推动政务服务“一网通办”、城市运行“一网统管”、公共服务“一网通享”，提升城市治理智能化水平。​</w:t>
      </w:r>
    </w:p>
    <w:p w14:paraId="3C3C6898">
      <w:pPr>
        <w:keepNext w:val="0"/>
        <w:keepLines w:val="0"/>
        <w:pageBreakBefore w:val="0"/>
        <w:widowControl w:val="0"/>
        <w:kinsoku/>
        <w:wordWrap/>
        <w:overflowPunct/>
        <w:topLinePunct w:val="0"/>
        <w:autoSpaceDE/>
        <w:autoSpaceDN/>
        <w:adjustRightInd/>
        <w:snapToGrid/>
        <w:spacing w:line="590" w:lineRule="exact"/>
        <w:ind w:left="0" w:firstLine="663" w:firstLineChars="200"/>
        <w:rPr>
          <w:rFonts w:hint="eastAsia" w:ascii="方正楷体_GBK" w:eastAsia="方正楷体_GBK"/>
          <w:b/>
          <w:bCs/>
          <w:color w:val="auto"/>
          <w:kern w:val="0"/>
          <w:sz w:val="33"/>
          <w:szCs w:val="33"/>
        </w:rPr>
      </w:pPr>
      <w:r>
        <w:rPr>
          <w:rFonts w:hint="eastAsia" w:ascii="方正楷体_GBK" w:eastAsia="方正楷体_GBK"/>
          <w:b/>
          <w:bCs/>
          <w:color w:val="auto"/>
          <w:kern w:val="0"/>
          <w:sz w:val="33"/>
          <w:szCs w:val="33"/>
        </w:rPr>
        <w:t>（三）强化城市精细治理​</w:t>
      </w:r>
    </w:p>
    <w:p w14:paraId="4325F101">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lang w:eastAsia="zh-CN"/>
        </w:rPr>
      </w:pPr>
      <w:r>
        <w:rPr>
          <w:rFonts w:hint="eastAsia" w:ascii="Times New Roman" w:hAnsi="Times New Roman" w:eastAsia="方正仿宋_GBK"/>
          <w:color w:val="auto"/>
          <w:kern w:val="0"/>
          <w:sz w:val="33"/>
          <w:szCs w:val="33"/>
        </w:rPr>
        <w:t>推进城市管理标准化，制定市政设施、环境卫生、园林绿化等领域建设管理运维规范和标准，强化部门联动，做到责任清晰、流程科学、过程可控。推进城市执法规范化，深化体制改革，健全城市管理与市场监管、生态环境、文化市场、交通运输、应急管理等</w:t>
      </w:r>
      <w:r>
        <w:rPr>
          <w:rFonts w:ascii="Times New Roman" w:hAnsi="Times New Roman" w:eastAsia="方正仿宋_GBK"/>
          <w:color w:val="auto"/>
          <w:kern w:val="0"/>
          <w:sz w:val="33"/>
          <w:szCs w:val="33"/>
        </w:rPr>
        <w:t>跨</w:t>
      </w:r>
      <w:r>
        <w:rPr>
          <w:rFonts w:hint="eastAsia" w:ascii="Times New Roman" w:hAnsi="Times New Roman" w:eastAsia="方正仿宋_GBK"/>
          <w:color w:val="auto"/>
          <w:kern w:val="0"/>
          <w:sz w:val="33"/>
          <w:szCs w:val="33"/>
        </w:rPr>
        <w:t>领域综合行政执法体制，推行“柔性执法”“说理式执法”，传递城市温度。按照重心下移原则，推动调整优化中心城区规划管理事权，切实释放基层发展活力</w:t>
      </w:r>
      <w:r>
        <w:rPr>
          <w:rFonts w:hint="eastAsia" w:ascii="Times New Roman" w:hAnsi="Times New Roman" w:eastAsia="方正仿宋_GBK"/>
          <w:color w:val="auto"/>
          <w:kern w:val="0"/>
          <w:sz w:val="33"/>
          <w:szCs w:val="33"/>
          <w:lang w:eastAsia="zh-CN"/>
        </w:rPr>
        <w:t>。</w:t>
      </w:r>
    </w:p>
    <w:p w14:paraId="1DA505A6">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olor w:val="auto"/>
          <w:kern w:val="0"/>
          <w:sz w:val="33"/>
          <w:szCs w:val="33"/>
        </w:rPr>
      </w:pPr>
      <w:r>
        <w:rPr>
          <w:rFonts w:hint="eastAsia" w:ascii="Times New Roman" w:hAnsi="Times New Roman" w:eastAsia="方正仿宋_GBK"/>
          <w:color w:val="auto"/>
          <w:kern w:val="0"/>
          <w:sz w:val="33"/>
          <w:szCs w:val="33"/>
        </w:rPr>
        <w:t>深化新时代“枫桥经验”广安实践，完善党建引领基层治理协调机制，探索社区党组织领导下的居委会、业委会、物业服务企业协调运行新模式，及时化解基层矛盾纠纷。加强城市管理队伍建设，提升专业化、规范化水平，打造一支懂城市、爱城市、善治理的干部队伍。</w:t>
      </w:r>
    </w:p>
    <w:p w14:paraId="361CFEA6">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方正黑体_GBK" w:eastAsia="方正黑体_GBK"/>
          <w:color w:val="auto"/>
          <w:kern w:val="0"/>
          <w:sz w:val="33"/>
          <w:szCs w:val="33"/>
        </w:rPr>
      </w:pPr>
      <w:r>
        <w:rPr>
          <w:rFonts w:hint="eastAsia" w:ascii="方正黑体_GBK" w:eastAsia="方正黑体_GBK"/>
          <w:color w:val="auto"/>
          <w:kern w:val="0"/>
          <w:sz w:val="33"/>
          <w:szCs w:val="33"/>
        </w:rPr>
        <w:t>九、保障措施​</w:t>
      </w:r>
    </w:p>
    <w:p w14:paraId="07ADD30A">
      <w:pPr>
        <w:keepNext w:val="0"/>
        <w:keepLines w:val="0"/>
        <w:pageBreakBefore w:val="0"/>
        <w:widowControl w:val="0"/>
        <w:kinsoku/>
        <w:wordWrap/>
        <w:overflowPunct/>
        <w:topLinePunct w:val="0"/>
        <w:autoSpaceDE/>
        <w:autoSpaceDN/>
        <w:adjustRightInd/>
        <w:snapToGrid/>
        <w:spacing w:line="590" w:lineRule="exact"/>
        <w:ind w:left="0" w:firstLine="660" w:firstLineChars="200"/>
      </w:pPr>
      <w:r>
        <w:rPr>
          <w:rFonts w:hint="eastAsia" w:ascii="Times New Roman" w:hAnsi="Times New Roman" w:eastAsia="方正仿宋_GBK"/>
          <w:color w:val="auto"/>
          <w:kern w:val="0"/>
          <w:sz w:val="33"/>
          <w:szCs w:val="33"/>
        </w:rPr>
        <w:t>坚持和加强党对城市工作的全面领导，建立健全党委、政府主要负责同志牵头的城市工作委员会，定期研究城市工作重要事项，统筹推进重大规划、重大项目、重大政策。各地切实增强主体意识，制定切实可行的实施方案，细化目标</w:t>
      </w:r>
      <w:r>
        <w:rPr>
          <w:rFonts w:ascii="Times New Roman" w:hAnsi="Times New Roman" w:eastAsia="方正仿宋_GBK"/>
          <w:color w:val="auto"/>
          <w:kern w:val="0"/>
          <w:sz w:val="33"/>
          <w:szCs w:val="33"/>
        </w:rPr>
        <w:t>、</w:t>
      </w:r>
      <w:r>
        <w:rPr>
          <w:rFonts w:hint="eastAsia" w:ascii="Times New Roman" w:hAnsi="Times New Roman" w:eastAsia="方正仿宋_GBK"/>
          <w:color w:val="auto"/>
          <w:kern w:val="0"/>
          <w:sz w:val="33"/>
          <w:szCs w:val="33"/>
        </w:rPr>
        <w:t>倒排工期、挂图作战，保障工作</w:t>
      </w:r>
      <w:r>
        <w:rPr>
          <w:rFonts w:ascii="Times New Roman" w:hAnsi="Times New Roman" w:eastAsia="方正仿宋_GBK"/>
          <w:color w:val="auto"/>
          <w:kern w:val="0"/>
          <w:sz w:val="33"/>
          <w:szCs w:val="33"/>
        </w:rPr>
        <w:t>有序</w:t>
      </w:r>
      <w:r>
        <w:rPr>
          <w:rFonts w:hint="eastAsia" w:ascii="Times New Roman" w:hAnsi="Times New Roman" w:eastAsia="方正仿宋_GBK"/>
          <w:color w:val="auto"/>
          <w:kern w:val="0"/>
          <w:sz w:val="33"/>
          <w:szCs w:val="33"/>
        </w:rPr>
        <w:t>推进。精心包装储备项目，积极争取中省资金支持，重点投向基础设施、公共服务、生态环保、城市更新等领域。健全城市规划、建设、治理等领域政策制度体系，增强政策协同性和执行力。落实税收优惠、用地保障等政策，优先保障城市高质量发展重点项目用地需求，激活城市发展活力。加强城市工作干部队伍素质和能力建设。</w:t>
      </w:r>
    </w:p>
    <w:p w14:paraId="7E5B92EF"/>
    <w:sectPr>
      <w:pgSz w:w="11906" w:h="16838"/>
      <w:pgMar w:top="204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02141"/>
    <w:rsid w:val="02387733"/>
    <w:rsid w:val="030F7CC4"/>
    <w:rsid w:val="04873BA4"/>
    <w:rsid w:val="058A2E42"/>
    <w:rsid w:val="059E7D22"/>
    <w:rsid w:val="06E53E2E"/>
    <w:rsid w:val="06F42CFC"/>
    <w:rsid w:val="0A1B1751"/>
    <w:rsid w:val="0BED4899"/>
    <w:rsid w:val="12DA4E09"/>
    <w:rsid w:val="13251113"/>
    <w:rsid w:val="1354365B"/>
    <w:rsid w:val="15DD0791"/>
    <w:rsid w:val="19296477"/>
    <w:rsid w:val="19A01066"/>
    <w:rsid w:val="1C8D35A4"/>
    <w:rsid w:val="21802141"/>
    <w:rsid w:val="246C1620"/>
    <w:rsid w:val="26543069"/>
    <w:rsid w:val="27806D85"/>
    <w:rsid w:val="2867505C"/>
    <w:rsid w:val="290C5735"/>
    <w:rsid w:val="2C6F78FF"/>
    <w:rsid w:val="2E84359F"/>
    <w:rsid w:val="30DC3427"/>
    <w:rsid w:val="36516B91"/>
    <w:rsid w:val="36E00920"/>
    <w:rsid w:val="37074916"/>
    <w:rsid w:val="37E47D54"/>
    <w:rsid w:val="3B467741"/>
    <w:rsid w:val="3C0120E1"/>
    <w:rsid w:val="444752C9"/>
    <w:rsid w:val="4565063D"/>
    <w:rsid w:val="46002479"/>
    <w:rsid w:val="463C3756"/>
    <w:rsid w:val="49CB4C55"/>
    <w:rsid w:val="4BF20A35"/>
    <w:rsid w:val="4DE11056"/>
    <w:rsid w:val="4DFA3FBC"/>
    <w:rsid w:val="50266EBE"/>
    <w:rsid w:val="51822BB1"/>
    <w:rsid w:val="51986904"/>
    <w:rsid w:val="54685B98"/>
    <w:rsid w:val="55E77C57"/>
    <w:rsid w:val="56F07214"/>
    <w:rsid w:val="5C1B5016"/>
    <w:rsid w:val="5C5615B8"/>
    <w:rsid w:val="5C79154B"/>
    <w:rsid w:val="5E0315B0"/>
    <w:rsid w:val="609734C3"/>
    <w:rsid w:val="65500505"/>
    <w:rsid w:val="677E3A25"/>
    <w:rsid w:val="67D117F4"/>
    <w:rsid w:val="6A301073"/>
    <w:rsid w:val="6A57062A"/>
    <w:rsid w:val="6AF4110E"/>
    <w:rsid w:val="6B063B94"/>
    <w:rsid w:val="6B61555C"/>
    <w:rsid w:val="6B704DD1"/>
    <w:rsid w:val="6DA479B4"/>
    <w:rsid w:val="6DC56E8F"/>
    <w:rsid w:val="6F666321"/>
    <w:rsid w:val="71900BB8"/>
    <w:rsid w:val="72722DC9"/>
    <w:rsid w:val="73644CAB"/>
    <w:rsid w:val="782F603B"/>
    <w:rsid w:val="7A260BE1"/>
    <w:rsid w:val="7A913872"/>
    <w:rsid w:val="7CA9174B"/>
    <w:rsid w:val="7D981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2026-02-12T09:17:00Z</dcterms:created>
  <dc:creator>唐宝莲</dc:creator>
  <cp:lastModifiedBy>唐宝莲</cp:lastModifiedBy>
  <dcterms:modified xsi:type="dcterms:W3CDTF">2026-02-12T09:19:52Z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513798926EC84C6EBA622FB2F17B0B68_11</vt:lpwstr>
  </property>
  <property fmtid="{D5CDD505-2E9C-101B-9397-08002B2CF9AE}" pid="4" name="KSOTemplateDocerSaveRecord">
    <vt:lpwstr>eyJoZGlkIjoiZGUxM2IyZGZkY2JhMjU4ZWRhYjhkNDcxYzliOTdiNzciLCJ1c2VySWQiOiI1MDQ4NTY3MzEifQ==</vt:lpwstr>
  </property>
</Properties>
</file>