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方正黑体_GBK" w:cs="方正黑体_GBK"/>
          <w:cap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caps w:val="0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aps w:val="0"/>
          <w:sz w:val="33"/>
          <w:szCs w:val="33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ap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aps w:val="0"/>
          <w:sz w:val="44"/>
          <w:szCs w:val="44"/>
        </w:rPr>
        <w:t>2023年省级财政林业草原改革发展专项资金区域绩效目标表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3"/>
        <w:gridCol w:w="1743"/>
        <w:gridCol w:w="1743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非国有人工省级公益林补偿面积（亩）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新造油茶面积（万亩）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森林火灾受害率（‰）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项目验收合格率（%）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非国有人工省级公益林补偿当期兑现率（%）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项目建设到期完成率（%）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非国有人工省级公益林补偿补助标准（元/亩）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新造油茶林补助标准（元/亩）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持续发挥经济生态效益（是/否）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项目涉及职工和周边群众满意度（%）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省级补助年度金额（万元）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E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2024-04-07T14:59:21Z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