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shd w:val="clear" w:color="auto" w:fill="auto"/>
          <w:lang w:val="en-US" w:eastAsia="zh-CN"/>
        </w:rPr>
        <w:t>广安市支持农业科技创新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highlight w:val="none"/>
          <w:shd w:val="clear" w:color="auto" w:fill="auto"/>
          <w:lang w:val="en-US" w:eastAsia="zh-CN"/>
        </w:rPr>
        <w:t>发展和平台建设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shd w:val="clear" w:color="auto" w:fill="auto"/>
          <w:lang w:val="en-US" w:eastAsia="zh-CN"/>
        </w:rPr>
        <w:t>实施办法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0"/>
        <w:jc w:val="center"/>
        <w:textAlignment w:val="baseline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0"/>
          <w:szCs w:val="30"/>
          <w:shd w:val="clear" w:color="auto" w:fill="auto"/>
          <w:lang w:val="en-US" w:eastAsia="zh-CN"/>
        </w:rPr>
        <w:t>（征求意见稿）</w:t>
      </w:r>
    </w:p>
    <w:p>
      <w:pPr>
        <w:pStyle w:val="5"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right="0" w:rightChars="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>第一章  总  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  第一条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为深入实施创新驱动发展战略和乡村振兴战略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深入贯彻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《四川省人民政府印发关于进一步支持科技创新的若干政策的通知》（川府发〔2021〕8号</w:t>
      </w:r>
      <w:r>
        <w:rPr>
          <w:rFonts w:hint="eastAsia" w:eastAsia="方正仿宋_GBK" w:cs="Times New Roman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广安市人民政府印发关于进一步支持科技创新的若干政策的通知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》（广安府发〔2021〕8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，加快我市农业现代化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，促进农业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科技创新，特制定本办法。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第二条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本办法所称农业科技创新平台，是指服务现代农业产业体系创新发展，依托科技型企业、高校、科研院所在市域内建设的，具有技术研发、技术转移、成果转化、资源共享、企业孵化等功能的科技创新平台，包括市级及以上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农业科技园区、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高新技术产业园区、星创天地、科技特派员工作站、重点实验室、技术创新中心、工程技术研究中心、产业技术研究院、企业技术中心、新型研发机构、科技资源共享服务平台、创新联合体等，以及符合国家、省创新驱动发展的高新技术企业等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第三条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支持方式及资金来源。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（一）对新认定投用的农业科技创新平台，采取后补助支持方式，分类给予一次性奖补。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（二）农业科技创新发展和平台建设奖补资金在市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" w:eastAsia="zh-CN"/>
        </w:rPr>
        <w:t>级支持现代农业发展和乡村振兴资金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中列支。</w:t>
      </w:r>
    </w:p>
    <w:p>
      <w:pPr>
        <w:pStyle w:val="5"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6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</w:p>
    <w:p>
      <w:pPr>
        <w:pStyle w:val="5"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60" w:firstLineChars="200"/>
        <w:jc w:val="center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>第二章  支持范围和标准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第四条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对以下六类农业科技创新工作进行资金支持。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（一）支持建设重点实验室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工程技术研究中心。对进入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国家队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省队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行列的重点实验室、工程技术研究中心，分别一次性给予300万元、100万元奖补。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（二）支持建设农业高新技术产业园区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和星创天地。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对首次成功创建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农业高新技术产业园区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、省级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农业高新技术产业园区的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所在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县（市、区）分别一次性给予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0万元、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00万元奖补；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对首次成功创建国家星创天地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、省级星创天地的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分别一次性给予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0万元、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5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万元奖补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FF0000"/>
          <w:kern w:val="0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（三）支持创建高新技术企业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。对首次创建为国家高新技术企业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的，一次性给予20万元奖补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对复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-6"/>
          <w:kern w:val="21"/>
          <w:sz w:val="33"/>
          <w:szCs w:val="33"/>
          <w:shd w:val="clear" w:color="auto" w:fill="auto"/>
          <w:lang w:val="en-US" w:eastAsia="zh-CN"/>
        </w:rPr>
        <w:t>审认定的国家高新技术企业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-6"/>
          <w:kern w:val="21"/>
          <w:sz w:val="33"/>
          <w:szCs w:val="33"/>
          <w:shd w:val="clear" w:color="auto" w:fill="auto"/>
          <w:lang w:val="en-US" w:eastAsia="zh-CN"/>
        </w:rPr>
        <w:t>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spacing w:val="-6"/>
          <w:kern w:val="21"/>
          <w:sz w:val="33"/>
          <w:szCs w:val="33"/>
          <w:shd w:val="clear" w:color="auto" w:fill="auto"/>
          <w:lang w:val="en-US" w:eastAsia="zh-CN"/>
        </w:rPr>
        <w:t>农业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-6"/>
          <w:kern w:val="21"/>
          <w:sz w:val="33"/>
          <w:szCs w:val="33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-6"/>
          <w:kern w:val="21"/>
          <w:sz w:val="33"/>
          <w:szCs w:val="33"/>
          <w:shd w:val="clear" w:color="auto" w:fill="auto"/>
          <w:lang w:val="en-US" w:eastAsia="zh-CN"/>
        </w:rPr>
        <w:t>，一次性给予10万元奖补。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（四）支持建立新型研发机构。具有独立法人资格，拥有开展研发、试验、服务等所必需的条件和设施并评估为优秀的省级新型研发机构，按省级支持金额的20%，一次性给予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不高于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100万元奖补。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（五）支持实施重大科技成果转化项目。对实施国家、省级重大科技成果转化项目，带动企业新增主营业务收入2000万元以上的中省驻广和市内各类研发机构、企业，按国家、省级项目支持金额的15%，一次性给予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不高于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100万元奖补。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（六）支持技术创新。对获得国家科学技术奖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特等奖、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一等奖、二等奖的农业类项目主持单位，分别一次性给予300万元、250万元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、200万元奖补；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0"/>
          <w:sz w:val="33"/>
          <w:szCs w:val="33"/>
          <w:shd w:val="clear" w:color="auto" w:fill="auto"/>
          <w:lang w:val="en-US" w:eastAsia="zh-CN" w:bidi="ar"/>
        </w:rPr>
        <w:t>由广安市人民政府提名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0"/>
          <w:sz w:val="33"/>
          <w:szCs w:val="33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获得四川省科学技术奖一等奖、二等奖、三等奖的农业类项目主持单位，分别一次性给予200万元、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万元、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万元奖补。</w:t>
      </w:r>
    </w:p>
    <w:p>
      <w:pPr>
        <w:pStyle w:val="5"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6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</w:p>
    <w:p>
      <w:pPr>
        <w:pStyle w:val="5"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6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>第三章  申报、审核、奖补程序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第五条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 申报、审核程序和时间安排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创建成功的国家、省级各类农业科技创新平台，在当年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-20"/>
          <w:kern w:val="21"/>
          <w:sz w:val="33"/>
          <w:szCs w:val="33"/>
          <w:shd w:val="clear" w:color="auto" w:fill="auto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底前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依据申报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通知向所在县（市、区）、园区科技部门、农业农村部门分别报送书面申报材料，并在相关平台进行网上申报。县（市、区）、园区科技部门、农业农村部门对申报条件和相关资料进行审核，确保真实完整。经初审合格的拟奖补名单及奖补金额，县（市、区）、园区科技部门、农业农村部门联合财政部门分类上报市科技局、市农业农村局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和市财政局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。市科技局牵头组织市农业农村局、市财政局开展评审后，拟定奖补方案并公示。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-SA"/>
        </w:rPr>
        <w:t>第六条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奖补方案经公示无异议后，由市科技局、市农业农村局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市财政局联合报请市政府审批。市政府审批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后，市财政局按规定拨付奖补资金到县（市、区）、园区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或直达有关企业（单位）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。县（市、区）、园区财政部门20日内将奖补资金拨付到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有关企业（单位）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Chars="200"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</w:p>
    <w:p>
      <w:pPr>
        <w:pStyle w:val="5"/>
        <w:keepLines/>
        <w:pageBreakBefore w:val="0"/>
        <w:widowControl w:val="0"/>
        <w:kinsoku/>
        <w:overflowPunct/>
        <w:autoSpaceDE/>
        <w:autoSpaceDN/>
        <w:bidi w:val="0"/>
        <w:adjustRightInd/>
        <w:spacing w:before="0" w:beforeLines="0" w:after="0" w:afterLines="0" w:line="590" w:lineRule="exact"/>
        <w:ind w:right="0" w:rightChars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  <w:t>第四章  附则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58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第七条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本办法由市科技局、市农业农村局、市财政局负责解释。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590" w:lineRule="exact"/>
        <w:ind w:left="0" w:leftChars="0" w:right="0" w:rightChars="0" w:firstLine="658" w:firstLineChars="0"/>
        <w:jc w:val="both"/>
        <w:textAlignment w:val="baseline"/>
        <w:outlineLvl w:val="9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41" w:right="1531" w:bottom="1417" w:left="1531" w:header="850" w:footer="1474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第八条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 xml:space="preserve"> 本办法印发之日起施行，有效期</w:t>
      </w:r>
      <w:r>
        <w:rPr>
          <w:rFonts w:hint="default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2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shd w:val="clear" w:color="auto" w:fill="auto"/>
          <w:lang w:val="en-US" w:eastAsia="zh-CN"/>
        </w:rPr>
        <w:t>《广安市支持农业科技创新发展和平台建设实施办法（征求意见稿）》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起草说明</w:t>
      </w:r>
    </w:p>
    <w:bookmarkEnd w:id="0"/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Autospacing="0" w:line="590" w:lineRule="exact"/>
        <w:ind w:firstLine="660" w:firstLineChars="200"/>
        <w:jc w:val="both"/>
        <w:rPr>
          <w:rFonts w:hint="eastAsia" w:ascii="宋体" w:hAnsi="Courier New" w:eastAsia="方正仿宋_GBK" w:cs="Times New Roman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adjustRightInd/>
        <w:spacing w:afterAutospacing="0" w:line="590" w:lineRule="exact"/>
        <w:ind w:firstLine="660"/>
        <w:jc w:val="both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为深入实施创新驱动发展战略和乡村振兴战略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深入贯彻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《四川省人民政府印发关于进一步支持科技创新的若干政策的通知》（川府发〔2021〕8号</w:t>
      </w:r>
      <w:r>
        <w:rPr>
          <w:rFonts w:hint="eastAsia" w:eastAsia="方正仿宋_GBK" w:cs="Times New Roman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广安市人民政府印发关于进一步支持科技创新的若干政策的通知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》（广安府发〔2021〕8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，加快我市农业现代化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，促进农业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科技创新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，市科技局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会同市农业农村局对到期的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（试行）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进行了修订，形成了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（征求意见稿）》（以下简称《实施办法》）。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adjustRightInd/>
        <w:spacing w:afterAutospacing="0" w:line="590" w:lineRule="exact"/>
        <w:ind w:firstLine="660"/>
        <w:jc w:val="both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  <w:t>二、起草过程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（试行）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》于202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日印发，有效期2年。在这两年内，市财政发放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四川省科学技术奖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奖补资金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100万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元，有力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科技创新进步。在进一步研究和理解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《四川省人民政府关于进一步支持科技创新的若干政策》（川府发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〔2021〕 8号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）和广安市人民政府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关于进一步支持科技创新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的若干政策》（广安府发〔2021〕8号）的基础上，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市科技局、市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局认真总结近两年科技创新平台建设、创新主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体培育等相关情况，结合实际，对《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（试行）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》进行了修订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"/>
        </w:rPr>
        <w:t>，形成了新的《实施办法》。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  <w:t>三、主要内容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"/>
        </w:rPr>
        <w:t>《实施办法》包括三个方面。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90" w:lineRule="exact"/>
        <w:ind w:firstLine="662" w:firstLineChars="200"/>
        <w:textAlignment w:val="auto"/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3"/>
          <w:szCs w:val="33"/>
          <w:lang w:val="en-US" w:eastAsia="zh-CN"/>
        </w:rPr>
        <w:t>（一）实施目的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3"/>
          <w:szCs w:val="33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加快我市农业现代化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，促进农业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科技创新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制定《实施办法》。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90" w:lineRule="exact"/>
        <w:ind w:firstLine="66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3"/>
          <w:szCs w:val="33"/>
          <w:lang w:val="en-US" w:eastAsia="zh-CN"/>
        </w:rPr>
        <w:t>（二）支持政策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3"/>
          <w:szCs w:val="33"/>
          <w:lang w:val="en-US" w:eastAsia="zh-CN"/>
        </w:rPr>
        <w:t>。在创新平台建设方面，支持进入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国家队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“省队”行列重点实验室、工程技术研究中心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省级新型研发机构，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农业高新技术产业园区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和星创天地扶持政策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在成果转化方面，支持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实施省级重大科技成果转化项目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扶持政策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在创新主体培育方面，支持认定国家高新技术企业（农业企业）扶持政策。在创新生态方面，支持获得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国家科学技术奖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四川省科学技术奖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90" w:lineRule="exact"/>
        <w:ind w:firstLine="662" w:firstLineChars="200"/>
        <w:textAlignment w:val="auto"/>
        <w:rPr>
          <w:color w:val="auto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3"/>
          <w:szCs w:val="33"/>
          <w:lang w:val="en-US" w:eastAsia="zh-CN"/>
        </w:rPr>
        <w:t>（三）政策执行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3"/>
          <w:szCs w:val="33"/>
          <w:lang w:val="en-US" w:eastAsia="zh-CN"/>
        </w:rPr>
        <w:t>。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明确了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《实施办法》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涉及的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奖补资金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 w:bidi="ar"/>
        </w:rPr>
        <w:t>来源、奖补程序、解释权和有效期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3"/>
          <w:szCs w:val="33"/>
          <w:lang w:val="en-US" w:eastAsia="zh-CN" w:bidi="ar"/>
        </w:rPr>
        <w:t>3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auto"/>
          <w:kern w:val="21"/>
          <w:sz w:val="44"/>
          <w:szCs w:val="44"/>
          <w:shd w:val="clear" w:color="auto" w:fill="auto"/>
          <w:lang w:val="en-US" w:eastAsia="zh-CN"/>
        </w:rPr>
        <w:t>《广安市支持农业科技创新发展和平台建设实施办法（征求意见稿）》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政策解读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6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  <w:t xml:space="preserve">    一、制定背景及目的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ind w:firstLine="66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为深入实施创新驱动发展战略和乡村振兴战略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加快我市农业现代化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，促进农业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spacing w:val="0"/>
          <w:kern w:val="21"/>
          <w:sz w:val="33"/>
          <w:szCs w:val="33"/>
          <w:shd w:val="clear" w:color="auto" w:fill="auto"/>
          <w:lang w:val="en-US" w:eastAsia="zh-CN"/>
        </w:rPr>
        <w:t>科技创新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，市科技局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会同市农业农村局对到期的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（试行）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》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进行了修订，形成了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广安市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支持农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业科技创新发展和平台建设实施办法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（征求意见稿）》（以下简称《实施办法》）。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3"/>
          <w:szCs w:val="33"/>
          <w:lang w:val="en-US" w:eastAsia="zh-CN" w:bidi="ar"/>
        </w:rPr>
        <w:t>二、制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" w:eastAsia="zh-CN"/>
        </w:rPr>
        <w:t>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《四川省人民政府关于进一步支持科技创新的若干政策》（川府发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〔2021〕8号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）和广安市人民政府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关于进一步支持科技创新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  <w:lang w:val="en-US" w:eastAsia="zh-CN"/>
        </w:rPr>
        <w:t>的若干政策》（广安府发〔2021〕8号）。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6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 w:bidi="ar"/>
        </w:rPr>
        <w:t>三、值得关注的内容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6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3"/>
          <w:szCs w:val="33"/>
          <w:lang w:val="en-US" w:eastAsia="zh-CN"/>
        </w:rPr>
        <w:t>在创新平台建设方面，支持进入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国家队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“省队”行列重点实验室、工程技术研究中心</w:t>
      </w:r>
      <w:r>
        <w:rPr>
          <w:rFonts w:hint="eastAsia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省级新型研发机构，国家级、省级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农业高新技术产业园区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和国家级、省级星创天地扶持政策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在成果转化方面，支持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实施省级重大科技成果转化项目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扶持政策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在创新主体培育方面，支持认定国家高新技术企业（农业企业）扶持政策。在创新生态方面，支持获得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国家科学技术奖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四川省科学技术奖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 w:val="0"/>
          <w:color w:val="auto"/>
          <w:kern w:val="21"/>
          <w:sz w:val="33"/>
          <w:szCs w:val="33"/>
          <w:shd w:val="clear" w:color="auto" w:fill="auto"/>
          <w:lang w:val="en-US" w:eastAsia="zh-CN"/>
        </w:rPr>
        <w:t>扶持政策。</w:t>
      </w:r>
    </w:p>
    <w:p/>
    <w:sectPr>
      <w:headerReference r:id="rId4" w:type="default"/>
      <w:footerReference r:id="rId5" w:type="default"/>
      <w:footerReference r:id="rId6" w:type="even"/>
      <w:pgSz w:w="11906" w:h="16838"/>
      <w:pgMar w:top="2041" w:right="1531" w:bottom="170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8" w:leftChars="180" w:right="378" w:rightChars="180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8" w:leftChars="180" w:right="378" w:rightChars="180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1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1"/>
        <w:rFonts w:hint="default" w:ascii="Times New Roman" w:hAnsi="Times New Roman" w:cs="Times New Roman"/>
        <w:sz w:val="28"/>
        <w:szCs w:val="28"/>
      </w:rPr>
      <w:t>1</w:t>
    </w:r>
    <w:r>
      <w:rPr>
        <w:rStyle w:val="11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EE98"/>
    <w:rsid w:val="FFFF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</w:r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after="150"/>
      <w:jc w:val="left"/>
    </w:pPr>
    <w:rPr>
      <w:rFonts w:ascii="Times New Roman" w:hAnsi="Times New Roman"/>
      <w:kern w:val="0"/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2025-03-05T16:35:00Z</dcterms:created>
  <dc:creator>kylin</dc:creator>
  <cp:lastModifiedBy>kylin</cp:lastModifiedBy>
  <dcterms:modified xsi:type="dcterms:W3CDTF">2025-03-05T16:40:47Z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