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eastAsia" w:ascii="Times New Roman" w:hAnsi="Times New Roman" w:eastAsia="黑体" w:cs="Times New Roman"/>
          <w:sz w:val="33"/>
          <w:szCs w:val="33"/>
          <w:highlight w:val="none"/>
          <w:lang w:val="en-US" w:eastAsia="zh-CN"/>
        </w:rPr>
        <w:t>2</w:t>
      </w: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eastAsia" w:ascii="Times New Roman" w:hAnsi="Times New Roman" w:eastAsia="方正小标宋_GBK" w:cs="Times New Roman"/>
          <w:sz w:val="72"/>
          <w:szCs w:val="72"/>
          <w:highlight w:val="none"/>
          <w:lang w:eastAsia="zh-CN"/>
        </w:rPr>
      </w:pPr>
      <w:r>
        <w:rPr>
          <w:rFonts w:hint="eastAsia" w:ascii="Times New Roman" w:hAnsi="Times New Roman" w:eastAsia="方正小标宋_GBK" w:cs="Times New Roman"/>
          <w:sz w:val="72"/>
          <w:szCs w:val="72"/>
          <w:highlight w:val="none"/>
          <w:lang w:eastAsia="zh-CN"/>
        </w:rPr>
        <w:t>广安市疾病预防控制中心</w:t>
      </w:r>
    </w:p>
    <w:p>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rPr>
        <w:t>预算</w:t>
      </w: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广安市疾病预防控制中心</w:t>
      </w:r>
      <w:r>
        <w:rPr>
          <w:rFonts w:hint="default" w:ascii="Times New Roman" w:hAnsi="Times New Roman" w:eastAsia="黑体" w:cs="Times New Roman"/>
          <w:kern w:val="0"/>
          <w:sz w:val="32"/>
          <w:szCs w:val="32"/>
          <w:highlight w:val="none"/>
          <w:lang w:val="en-US" w:eastAsia="zh-CN" w:bidi="ar"/>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广安市疾病预防控制中心2025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广安市疾病预防控制中心2025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广安市疾病预防控制中心概况</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广安市疾病预防控制中心</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开展疾病监测；研究传染病、寄生虫病、地方病、非传染性疾病等疾病的分布，探讨疾病的发生、发展的原因和流行规律；提供制订预防控制策略与措施的技术保障；组织实施疾病预防控制工作规划、计划和方案，预防控制相关疾病的发生与流行。</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2.开展突发公共卫生事件处置和救灾防病的应急准备；对突发公共卫生事件、灾后疫病进行检测报告，提供预测预警信息；开展现场调查处置和效果评估。</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3.疫情及健康相关因素信息管理，收集、报告、分析和评价疾病与健康危害因素等公共卫生信息，为疾病预防控制决策提供依据，为社会和公众提供信息服务。</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健康危害因素监测与干预，开展食源性、职业性、辐射性、环境性疾病监测、调查处置和公共营养监测与评价；对生产、生活、学习环境中影响人物健康的危害因素进行监测与评价，提出干预策略与措施，预防控制相关因素对人体健康的危害。</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实验室检查研究、应用实验室监测与分析技术，开展传染性疾病病原微生物的检测检验，开展中毒事件的毒物分析，开展疾病和健康危害因素的生物、物理、化学因子的监测、鉴定和评价，为突发公共卫生事件的应急处置、传染性疾病的诊断、疾病和健康相关危害因素的预防控制及卫生监督执法等提供技术支撑，为社会提供技术服务。</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6.开展健康教育、健康促进；普及卫生防病知识，对公众进行健康指导；协同有关部门和组织，对公众不良健康行为进行干预，促进公众掌握自我保健与防护技能。</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7.技术管理与应用研究指导开展疾病预防控制工作业务与技术培训，提供技术指导、技术支持和技术服务；引进和推广应用新技术、新方法；指导和开展疾病预防控制工作绩效考核与评估。</w:t>
      </w:r>
    </w:p>
    <w:p>
      <w:pPr>
        <w:spacing w:line="600" w:lineRule="exact"/>
        <w:ind w:firstLine="642"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广安市疾病预防控制中心2025年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一是全面加强党的建设。坚持管党治党，加强党风廉政建设和重点领域系统治理，深化党纪学习教育成果，打造忠诚干净担当的高素质疾控队伍；强化党建引领，秉承“求真、创新、奉献、笃行”的广安疾控精神，健全“党委抓统筹、支部强堡垒、科室促融合、党员争先锋”的工作格局，推动党建水平和业务技能双提升；严格规范落实党支部“三会一课”“主题党日”、谈心谈话、组织生活会等制度，推动党内组织生活各项制度真正落实落细。</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推动实现“一类保障、二类管理”，落实“两个允许”。根据《国务院办公厅关于推动疾病预防控制事业高质量发展的指导意见》（国办发〔2023〕46号）、《四川省疾病预防控制体系改革实施方案》、“两个清单”以及《国家卫生计生委关于印发疾病预防控制中心岗位设置管理指导意见的通知》（国卫疾控发〔2015〕88号）精神，积极争取上级支持，合理设置内设机构，加快形成更加顺畅高效的工作运行机制；认真落实市级医疗机构疾控监督员培训、考核工作，推动各级医疗机构疾病预防控制工作落地落实，积极做好经验总结应用和推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逐步引进高层次专业人才，建立学科带头人制度，尤其是在公共卫生、检验检测等关键领域，合理配置人力资源，壮大人才队伍，力争高级专业技术岗位设置比例达33%；积极谋划人才培养机制，加强干部队伍年龄结构、学历结构分段研究、综合分析，统筹建好年轻干部储备“蓄水池”，打造年龄结构合理、专业搭配科学、能力素质过硬、梯队建设完备的年轻干部队伍。适时优化中心岗位聘用方案，采取能上能下机制，畅通晋升通道，促进职工良性竞争；深入学习领悟《人力资源社会保障部 财政部关于调整卫生防疫津贴标准的通知》（人社部发〔2020〕13号）、《四川省疾病预防控制体系改革实施方案》精神，向兄弟市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州</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疾控“取经”，结合中心实际，准确把握发放范围和标准，加快推动卫生防疫津贴新标准和“两个允许”落地落实，进一步激发干事创业热情。</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三是推进“医防融合”机制建设。探索与市人民医院先行先试，构建资源整合、优势互补、信息共享、业务协同、互融互促的工作运行机制。健全服务机制，实现“</w:t>
      </w:r>
      <w:r>
        <w:rPr>
          <w:rFonts w:hint="eastAsia" w:ascii="Times New Roman" w:hAnsi="Times New Roman" w:eastAsia="仿宋_GB2312" w:cs="Times New Roman"/>
          <w:sz w:val="32"/>
          <w:szCs w:val="32"/>
          <w:highlight w:val="none"/>
          <w:lang w:eastAsia="zh-CN"/>
        </w:rPr>
        <w:t>慢性病</w:t>
      </w:r>
      <w:r>
        <w:rPr>
          <w:rFonts w:hint="default" w:ascii="Times New Roman" w:hAnsi="Times New Roman" w:eastAsia="仿宋_GB2312" w:cs="Times New Roman"/>
          <w:sz w:val="32"/>
          <w:szCs w:val="32"/>
          <w:highlight w:val="none"/>
        </w:rPr>
        <w:t>防筛治管护养”工作融合。细化各类疾病医防融合工作配套方案，将医（诊治）、防（预防）有机结合；强化公共卫生职能，建立权责清晰、运行高效的公共卫生工作联动机制。成立医防融合办公室，负责定期联系与协调。践行健康教育，推进健康管理。依托市人民医院健康管理中心，开展人群健康风险评估及个性化健康风险干预等服务，整合社会人群数据和体检大数据，提高数据分析利用效率，合作开展健康风险评估、行为生活方式干预技术研究及培训指导工作；联合开展健康教育宣传活动，拓展健康教育宣传方式。整合信息平台，推动数据共享。依托市卫健委新全民健康信息平台实现医院传染病检测、诊断、治疗、综合健康评估和健康管理服务的信息与疾控机构的直通。建立数据共享共用的工作机制，实现专业公共卫生机构与医疗机构信息系统数据融合、消息互通，提高医防信息利用率和各类重点疾病发病趋势的预警检测能力，做到“早发现，早报告”。组建人才队伍，鼓励科研攻关。建立医防公卫人员培养机制，鼓励公卫医师会同临床医师开展疾病预防控制相关联合查房、感染性疾病会诊、流调和现场处置；选派检验检测等同岗位人员合理流动，有序交流，协作联动，提高医防协同实战能力，打造高素质公共卫生人才队伍；建立科研合作机制，加强医防领域人才、项目、数据交流，提供平台和技术支持，促进医防结合成果开展与推广。</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是加强疾控能力建设，为建设区域公共卫生中心创造有力条件。加快推进基础能力建设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认真谋划中心整体迁建事宜，科学起草关于迁建可行性研究报告，积极争取土地、资金等各项政策支持，力争将迁建工作纳入“十五五”规划；加快推动疾病防控和应急处置能力提升项目全面收官；启用物资管理系统，实现中心物资统一管理、分级管理、实时查看、在线监管等功能；加大设备投入，适时更新和升级检验检测设备、公共场所监测仪器。完善疾控核心功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探索开展科研项目工作，加快推进中心疫苗临床试验基地建设；有序拓展检测项目，对应开展项目进行计量认证，开展新的检测方法研究；力争2025年上半年取得职业卫生技术服务机构资质；探索开展社会化服务，切实满足日益增长的公共卫生需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争创省级区域公共卫生中心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积极对上争取政策支持和人财物等要素支撑保障，修改完善省级区域公共卫生中心建设实施方案，细化三年行动目标进度表，明确建设任务目标，确保项目早日落地见效。</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是做好疾病防控常规工作。有序做好急性传染病防控、重大传染病防治、慢性非传染病和地方病综合防控、免疫规划、健康危害因素监测、健康教育和技术培训指导等常规工作，强化督导检查，不断提高工作质量，切实推动疾病预防控制工作全面均衡发展，确保高质量完成2025年以及“十四五”规划目标任务。</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个科室，主要包括：办公室、综合室、后勤保障科、规划财务科、微生物检验科、理化检验科、职业健康科、地方病与慢性非传染性疾病控制科、业务管理与质量控制科、急性传染病预防控制科、重大传染病防制科、免疫规划科、卫生科、信息与健康教育科。等。</w:t>
      </w:r>
    </w:p>
    <w:p>
      <w:pPr>
        <w:pStyle w:val="2"/>
        <w:rPr>
          <w:rFonts w:hint="default"/>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广安市疾病预防控制中心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2025年单位预算情况说明</w:t>
      </w:r>
    </w:p>
    <w:p>
      <w:pPr>
        <w:bidi w:val="0"/>
        <w:rPr>
          <w:rFonts w:hint="eastAsia"/>
          <w:lang w:val="en-US" w:eastAsia="zh-CN"/>
        </w:rPr>
      </w:pPr>
    </w:p>
    <w:p>
      <w:pPr>
        <w:bidi w:val="0"/>
        <w:jc w:val="left"/>
        <w:rPr>
          <w:rFonts w:hint="default" w:ascii="Times New Roman" w:hAnsi="Times New Roman" w:eastAsia="黑体" w:cs="Times New Roman"/>
          <w:sz w:val="32"/>
          <w:szCs w:val="32"/>
          <w:highlight w:val="none"/>
        </w:rPr>
      </w:pPr>
      <w:r>
        <w:rPr>
          <w:rFonts w:hint="eastAsia"/>
          <w:lang w:val="en-US" w:eastAsia="zh-CN"/>
        </w:rPr>
        <w:tab/>
      </w: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预算管理。收入包括：一般公共预算拨款收入；支出包括：一般公共服务支出、社会保障和就业支出、</w:t>
      </w:r>
      <w:r>
        <w:rPr>
          <w:rFonts w:hint="eastAsia" w:ascii="Times New Roman" w:hAnsi="Times New Roman" w:eastAsia="仿宋_GB2312" w:cs="Times New Roman"/>
          <w:sz w:val="32"/>
          <w:szCs w:val="32"/>
          <w:highlight w:val="none"/>
          <w:lang w:eastAsia="zh-CN"/>
        </w:rPr>
        <w:t>卫</w:t>
      </w:r>
      <w:r>
        <w:rPr>
          <w:rFonts w:hint="default" w:ascii="Times New Roman" w:hAnsi="Times New Roman" w:eastAsia="仿宋_GB2312" w:cs="Times New Roman"/>
          <w:sz w:val="32"/>
          <w:szCs w:val="32"/>
          <w:highlight w:val="none"/>
        </w:rPr>
        <w:t>生健康支出。</w:t>
      </w: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108.74</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2025年人员增加7人，人员经费及公用经费增加</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广安市疾病预防控制中心2025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1621.2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97.71</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eastAsia="zh-CN"/>
        </w:rPr>
        <w:t>38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2.29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108.74</w:t>
      </w:r>
      <w:r>
        <w:rPr>
          <w:rFonts w:hint="default" w:ascii="Times New Roman" w:hAnsi="Times New Roman" w:eastAsia="仿宋_GB2312" w:cs="Times New Roman"/>
          <w:sz w:val="32"/>
          <w:szCs w:val="32"/>
          <w:highlight w:val="none"/>
        </w:rPr>
        <w:t>万元，主要原因是2025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人员增加7人，人员经费及公用经费增加。</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万元；支出包括：一般公共服务支出</w:t>
      </w:r>
      <w:r>
        <w:rPr>
          <w:rFonts w:hint="eastAsia" w:ascii="Times New Roman" w:hAnsi="Times New Roman" w:eastAsia="仿宋_GB2312" w:cs="Times New Roman"/>
          <w:sz w:val="32"/>
          <w:szCs w:val="32"/>
          <w:highlight w:val="none"/>
          <w:lang w:eastAsia="zh-CN"/>
        </w:rPr>
        <w:t>5</w:t>
      </w:r>
      <w:r>
        <w:rPr>
          <w:rFonts w:hint="default" w:ascii="Times New Roman" w:hAnsi="Times New Roman" w:eastAsia="仿宋_GB2312" w:cs="Times New Roman"/>
          <w:sz w:val="32"/>
          <w:szCs w:val="32"/>
          <w:highlight w:val="none"/>
        </w:rPr>
        <w:t>万元、社会保障和就业支出</w:t>
      </w:r>
      <w:r>
        <w:rPr>
          <w:rFonts w:hint="eastAsia" w:ascii="Times New Roman" w:hAnsi="Times New Roman" w:eastAsia="仿宋_GB2312" w:cs="Times New Roman"/>
          <w:sz w:val="32"/>
          <w:szCs w:val="32"/>
          <w:highlight w:val="none"/>
          <w:lang w:eastAsia="zh-CN"/>
        </w:rPr>
        <w:t>178.13</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eastAsia="zh-CN"/>
        </w:rPr>
        <w:t>1476.07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eastAsia="zh-CN"/>
        </w:rPr>
        <w:t>1659.2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108.74</w:t>
      </w:r>
      <w:r>
        <w:rPr>
          <w:rFonts w:hint="default" w:ascii="Times New Roman" w:hAnsi="Times New Roman" w:eastAsia="仿宋_GB2312" w:cs="Times New Roman"/>
          <w:sz w:val="32"/>
          <w:szCs w:val="32"/>
          <w:highlight w:val="none"/>
        </w:rPr>
        <w:t>万元，主要原因是2025人员增加7人，人员经费及公用经费增加。</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eastAsia="zh-CN"/>
        </w:rPr>
        <w:t>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sz w:val="32"/>
          <w:szCs w:val="32"/>
          <w:highlight w:val="none"/>
          <w:lang w:eastAsia="zh-CN"/>
        </w:rPr>
        <w:t>178.13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10.74</w:t>
      </w:r>
      <w:r>
        <w:rPr>
          <w:rFonts w:hint="default" w:ascii="Times New Roman" w:hAnsi="Times New Roman" w:eastAsia="仿宋_GB2312" w:cs="Times New Roman"/>
          <w:sz w:val="32"/>
          <w:szCs w:val="32"/>
          <w:highlight w:val="none"/>
        </w:rPr>
        <w:t>%；卫生健康支出</w:t>
      </w:r>
      <w:r>
        <w:rPr>
          <w:rFonts w:hint="eastAsia" w:ascii="Times New Roman" w:hAnsi="Times New Roman" w:eastAsia="仿宋_GB2312" w:cs="Times New Roman"/>
          <w:sz w:val="32"/>
          <w:szCs w:val="32"/>
          <w:highlight w:val="none"/>
          <w:lang w:eastAsia="zh-CN"/>
        </w:rPr>
        <w:t>1476.07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88.96%。</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lang w:eastAsia="zh-CN"/>
        </w:rPr>
        <w:t>纪检监察事务</w:t>
      </w:r>
      <w:r>
        <w:rPr>
          <w:rFonts w:hint="default" w:ascii="Times New Roman" w:hAnsi="Times New Roman" w:eastAsia="仿宋_GB2312" w:cs="Times New Roman"/>
          <w:sz w:val="32"/>
          <w:szCs w:val="32"/>
          <w:highlight w:val="none"/>
        </w:rPr>
        <w:t>（款） 其他纪检监察事务支出（项）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万元，主要用于：对驻在单位及相关单位进行监督检查，抓实政治监督具体化精准化常态化，在全市开展工作调研，开展正风肃纪，服务保障中心大局，通过查办案件，形成有效震慑，巩固发展良好政治生态。</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2.社会保障和就业支出（类）</w:t>
      </w:r>
      <w:r>
        <w:rPr>
          <w:rFonts w:hint="eastAsia" w:ascii="Times New Roman" w:hAnsi="Times New Roman" w:eastAsia="仿宋_GB2312" w:cs="Times New Roman"/>
          <w:sz w:val="32"/>
          <w:szCs w:val="32"/>
          <w:highlight w:val="none"/>
          <w:lang w:eastAsia="zh-CN"/>
        </w:rPr>
        <w:t>行政事业单位养老支出</w:t>
      </w:r>
      <w:r>
        <w:rPr>
          <w:rFonts w:hint="default" w:ascii="Times New Roman" w:hAnsi="Times New Roman" w:eastAsia="仿宋_GB2312" w:cs="Times New Roman"/>
          <w:sz w:val="32"/>
          <w:szCs w:val="32"/>
          <w:highlight w:val="none"/>
        </w:rPr>
        <w:t>（款）  机关事业单位基本养老保险缴费支出（项）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178.13</w:t>
      </w:r>
      <w:r>
        <w:rPr>
          <w:rFonts w:hint="default" w:ascii="Times New Roman" w:hAnsi="Times New Roman" w:eastAsia="仿宋_GB2312" w:cs="Times New Roman"/>
          <w:sz w:val="32"/>
          <w:szCs w:val="32"/>
          <w:highlight w:val="none"/>
        </w:rPr>
        <w:t>万元，主要用于：单位缴纳的基本养老保险费支出。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w:t>
      </w:r>
      <w:r>
        <w:rPr>
          <w:rFonts w:hint="eastAsia" w:ascii="Times New Roman" w:hAnsi="Times New Roman" w:eastAsia="仿宋_GB2312" w:cs="Times New Roman"/>
          <w:sz w:val="32"/>
          <w:szCs w:val="32"/>
          <w:highlight w:val="none"/>
          <w:lang w:eastAsia="zh-CN"/>
        </w:rPr>
        <w:t>公共卫生</w:t>
      </w:r>
      <w:r>
        <w:rPr>
          <w:rFonts w:hint="default" w:ascii="Times New Roman" w:hAnsi="Times New Roman" w:eastAsia="仿宋_GB2312" w:cs="Times New Roman"/>
          <w:sz w:val="32"/>
          <w:szCs w:val="32"/>
          <w:highlight w:val="none"/>
        </w:rPr>
        <w:t>（款）疾病预防控制机构（项）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1378.36</w:t>
      </w:r>
      <w:r>
        <w:rPr>
          <w:rFonts w:hint="default" w:ascii="Times New Roman" w:hAnsi="Times New Roman" w:eastAsia="仿宋_GB2312" w:cs="Times New Roman"/>
          <w:sz w:val="32"/>
          <w:szCs w:val="32"/>
          <w:highlight w:val="none"/>
        </w:rPr>
        <w:t>万元，主要用于：基本工资、津贴补贴等人员经费以及办公费、印刷费、水电费等日常公用经费，保障事业单位机构正常运行、开展日常工作的基本支出。</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 公共卫生</w:t>
      </w:r>
      <w:r>
        <w:rPr>
          <w:rFonts w:hint="default" w:ascii="Times New Roman" w:hAnsi="Times New Roman" w:eastAsia="仿宋_GB2312" w:cs="Times New Roman"/>
          <w:sz w:val="32"/>
          <w:szCs w:val="32"/>
          <w:highlight w:val="none"/>
        </w:rPr>
        <w:t>（款）重大公共卫生服务（项）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万元，主要用于：急性传染病监测与应急处置、 计划免疫冷链运转工作支出</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公共卫生</w:t>
      </w:r>
      <w:r>
        <w:rPr>
          <w:rFonts w:hint="default" w:ascii="Times New Roman" w:hAnsi="Times New Roman" w:eastAsia="仿宋_GB2312" w:cs="Times New Roman"/>
          <w:sz w:val="32"/>
          <w:szCs w:val="32"/>
          <w:highlight w:val="none"/>
        </w:rPr>
        <w:t>（款）其他公共卫生支出（项）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万元，主要用于：仪器设备维护及维修、 健康危害因素监测</w:t>
      </w:r>
      <w:r>
        <w:rPr>
          <w:rFonts w:hint="eastAsia" w:ascii="Times New Roman" w:hAnsi="Times New Roman" w:eastAsia="仿宋_GB2312" w:cs="Times New Roman"/>
          <w:sz w:val="32"/>
          <w:szCs w:val="32"/>
          <w:highlight w:val="none"/>
          <w:lang w:eastAsia="zh-CN"/>
        </w:rPr>
        <w:t>、传染病信息报告及舆情监测管理</w:t>
      </w:r>
      <w:r>
        <w:rPr>
          <w:rFonts w:hint="default" w:ascii="Times New Roman" w:hAnsi="Times New Roman" w:eastAsia="仿宋_GB2312" w:cs="Times New Roman"/>
          <w:sz w:val="32"/>
          <w:szCs w:val="32"/>
          <w:highlight w:val="none"/>
        </w:rPr>
        <w:t>工作支出</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卫生健康支出（类）</w:t>
      </w:r>
      <w:r>
        <w:rPr>
          <w:rFonts w:hint="eastAsia" w:ascii="Times New Roman" w:hAnsi="Times New Roman" w:eastAsia="仿宋_GB2312" w:cs="Times New Roman"/>
          <w:sz w:val="32"/>
          <w:szCs w:val="32"/>
          <w:highlight w:val="none"/>
          <w:lang w:eastAsia="zh-CN"/>
        </w:rPr>
        <w:t> </w:t>
      </w:r>
      <w:r>
        <w:rPr>
          <w:rFonts w:hint="default" w:ascii="Times New Roman" w:hAnsi="Times New Roman" w:eastAsia="仿宋_GB2312" w:cs="Times New Roman"/>
          <w:sz w:val="32"/>
          <w:szCs w:val="32"/>
          <w:highlight w:val="none"/>
        </w:rPr>
        <w:t>行政事业单位医疗（款）事业单位医疗（项）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47.62</w:t>
      </w:r>
      <w:r>
        <w:rPr>
          <w:rFonts w:hint="default" w:ascii="Times New Roman" w:hAnsi="Times New Roman" w:eastAsia="仿宋_GB2312" w:cs="Times New Roman"/>
          <w:sz w:val="32"/>
          <w:szCs w:val="32"/>
          <w:highlight w:val="none"/>
        </w:rPr>
        <w:t>万元，主要用于：按规定由单位缴纳的医疗保险费支出。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卫生健康支出（类）</w:t>
      </w:r>
      <w:r>
        <w:rPr>
          <w:rFonts w:hint="eastAsia" w:ascii="Times New Roman" w:hAnsi="Times New Roman" w:eastAsia="仿宋_GB2312" w:cs="Times New Roman"/>
          <w:sz w:val="32"/>
          <w:szCs w:val="32"/>
          <w:highlight w:val="none"/>
          <w:lang w:eastAsia="zh-CN"/>
        </w:rPr>
        <w:t> </w:t>
      </w:r>
      <w:r>
        <w:rPr>
          <w:rFonts w:hint="default" w:ascii="Times New Roman" w:hAnsi="Times New Roman" w:eastAsia="仿宋_GB2312" w:cs="Times New Roman"/>
          <w:sz w:val="32"/>
          <w:szCs w:val="32"/>
          <w:highlight w:val="none"/>
        </w:rPr>
        <w:t>行政事业单位医疗（款）公务员医疗补助（项）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17.09</w:t>
      </w:r>
      <w:r>
        <w:rPr>
          <w:rFonts w:hint="default" w:ascii="Times New Roman" w:hAnsi="Times New Roman" w:eastAsia="仿宋_GB2312" w:cs="Times New Roman"/>
          <w:sz w:val="32"/>
          <w:szCs w:val="32"/>
          <w:highlight w:val="none"/>
        </w:rPr>
        <w:t>万元，主要用于：按规定由单位缴纳的医疗补助支出。</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eastAsia="zh-CN"/>
        </w:rPr>
        <w:t>1621.2</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eastAsia="zh-CN"/>
        </w:rPr>
        <w:t>1365.98</w:t>
      </w:r>
      <w:r>
        <w:rPr>
          <w:rFonts w:hint="default" w:ascii="Times New Roman" w:hAnsi="Times New Roman" w:eastAsia="仿宋_GB2312" w:cs="Times New Roman"/>
          <w:sz w:val="32"/>
          <w:szCs w:val="32"/>
          <w:highlight w:val="none"/>
        </w:rPr>
        <w:t>万元，主要包括：基本工资、津贴补贴、 基础绩效奖、绩效工资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机关事业单位基本养老保险缴费</w:t>
      </w:r>
      <w:r>
        <w:rPr>
          <w:rFonts w:hint="eastAsia" w:ascii="Times New Roman" w:hAnsi="Times New Roman" w:eastAsia="仿宋_GB2312" w:cs="Times New Roman"/>
          <w:sz w:val="32"/>
          <w:szCs w:val="32"/>
          <w:highlight w:val="none"/>
          <w:lang w:eastAsia="zh-CN"/>
        </w:rPr>
        <w:t>、职工基本医疗保险缴费、公务员医疗补助缴费、 工伤保险、 失业保险、 遗属生活补助、 独生子女父母奖励、其他对个人和家庭的补助。</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eastAsia="zh-CN"/>
        </w:rPr>
        <w:t>255.22</w:t>
      </w:r>
      <w:r>
        <w:rPr>
          <w:rFonts w:hint="default"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eastAsia="zh-CN"/>
        </w:rPr>
        <w:t>水费、电费、邮电费、物业管理费、差旅费、维修（护）费、会议费、培训费、公务接待费、工会经费、 体检费、其他福利费、公务用车运行维护费、公务交通补贴、其他商品服务支出、党建经费。</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eastAsia="zh-CN"/>
        </w:rPr>
        <w:t>16.69</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eastAsia="zh-CN"/>
        </w:rPr>
        <w:t>3.1</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eastAsia="zh-CN"/>
        </w:rPr>
        <w:t>13.59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lang w:eastAsia="zh-CN"/>
        </w:rPr>
        <w:t>与</w:t>
      </w:r>
      <w:r>
        <w:rPr>
          <w:rFonts w:hint="eastAsia" w:ascii="Times New Roman" w:hAnsi="Times New Roman" w:eastAsia="楷体_GB2312" w:cs="Times New Roman"/>
          <w:b/>
          <w:sz w:val="32"/>
          <w:szCs w:val="32"/>
          <w:highlight w:val="none"/>
          <w:lang w:val="en-US" w:eastAsia="zh-CN"/>
        </w:rPr>
        <w:t>2024年预算持平。</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均未安排预算。</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下降</w:t>
      </w:r>
      <w:r>
        <w:rPr>
          <w:rFonts w:hint="eastAsia" w:ascii="Times New Roman" w:hAnsi="Times New Roman" w:eastAsia="仿宋_GB2312" w:cs="Times New Roman"/>
          <w:b/>
          <w:sz w:val="32"/>
          <w:szCs w:val="32"/>
          <w:highlight w:val="none"/>
          <w:lang w:val="en-US" w:eastAsia="zh-CN"/>
        </w:rPr>
        <w:t>5.2</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年压减公务接待费预算。</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公务接待费计划用于执行公务、考察调研、检查指导等公务活动开支的交通费、用餐费等。</w:t>
      </w:r>
    </w:p>
    <w:p>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下降</w:t>
      </w:r>
      <w:r>
        <w:rPr>
          <w:rFonts w:hint="eastAsia" w:ascii="Times New Roman" w:hAnsi="Times New Roman" w:eastAsia="楷体_GB2312" w:cs="Times New Roman"/>
          <w:b/>
          <w:sz w:val="32"/>
          <w:szCs w:val="32"/>
          <w:highlight w:val="none"/>
          <w:lang w:val="en-US" w:eastAsia="zh-CN"/>
        </w:rPr>
        <w:t>4.97</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根据厉行节约规定，减少公务用车过路费、加油费等相关费用。</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辆，其中：轿</w:t>
      </w:r>
      <w:r>
        <w:rPr>
          <w:rFonts w:hint="eastAsia" w:ascii="Times New Roman" w:hAnsi="Times New Roman" w:eastAsia="仿宋_GB2312" w:cs="Times New Roman"/>
          <w:sz w:val="32"/>
          <w:szCs w:val="32"/>
          <w:highlight w:val="none"/>
          <w:lang w:eastAsia="zh-CN"/>
        </w:rPr>
        <w:t>车</w:t>
      </w:r>
      <w:r>
        <w:rPr>
          <w:rFonts w:hint="eastAsia" w:ascii="Times New Roman" w:hAnsi="Times New Roman" w:eastAsia="仿宋_GB2312" w:cs="Times New Roman"/>
          <w:sz w:val="32"/>
          <w:szCs w:val="32"/>
          <w:highlight w:val="none"/>
          <w:lang w:val="en-US" w:eastAsia="zh-CN"/>
        </w:rPr>
        <w:t>0辆，</w:t>
      </w:r>
      <w:r>
        <w:rPr>
          <w:rFonts w:hint="default" w:ascii="Times New Roman" w:hAnsi="Times New Roman" w:eastAsia="仿宋_GB2312" w:cs="Times New Roman"/>
          <w:sz w:val="32"/>
          <w:szCs w:val="32"/>
          <w:highlight w:val="none"/>
        </w:rPr>
        <w:t>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辆，特种专业技术用车4辆。</w:t>
      </w:r>
    </w:p>
    <w:p>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eastAsia="zh-CN"/>
        </w:rPr>
        <w:t>13.59</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辆公务用车燃油、过路（桥）、维修、保险等方面支出，主要保障卫生应急、食品安全风险采样、水质监测采样等工作开展。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为事业单位，按规定未使用机关运行的相关科目。</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广安市疾病预防控制中心2025年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、一般公务用车1辆、特种专业技术用车4辆。</w:t>
      </w:r>
      <w:r>
        <w:rPr>
          <w:rFonts w:hint="default"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台。</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预算未安排购置车辆及单位价值200万元以上大型设备。</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2025年</w:t>
      </w:r>
      <w:r>
        <w:rPr>
          <w:rFonts w:hint="eastAsia" w:ascii="Times New Roman" w:hAnsi="Times New Roman" w:eastAsia="仿宋_GB2312" w:cs="Times New Roman"/>
          <w:sz w:val="32"/>
          <w:szCs w:val="32"/>
          <w:highlight w:val="none"/>
          <w:lang w:eastAsia="zh-CN"/>
        </w:rPr>
        <w:t>广安市疾病预防控制中心开</w:t>
      </w:r>
      <w:r>
        <w:rPr>
          <w:rFonts w:hint="default" w:ascii="Times New Roman" w:hAnsi="Times New Roman" w:eastAsia="仿宋_GB2312" w:cs="Times New Roman"/>
          <w:sz w:val="32"/>
          <w:szCs w:val="32"/>
          <w:highlight w:val="none"/>
          <w:lang w:val="en-US" w:eastAsia="zh-CN"/>
        </w:rPr>
        <w:t>展绩效目标管理的项目</w:t>
      </w:r>
      <w:r>
        <w:rPr>
          <w:rFonts w:hint="eastAsia"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1659.2</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1365.98</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255.22</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38</w:t>
      </w:r>
      <w:r>
        <w:rPr>
          <w:rFonts w:hint="default" w:ascii="Times New Roman" w:hAnsi="Times New Roman" w:eastAsia="仿宋_GB2312" w:cs="Times New Roman"/>
          <w:sz w:val="32"/>
          <w:szCs w:val="32"/>
          <w:highlight w:val="none"/>
          <w:lang w:eastAsia="zh-CN"/>
        </w:rPr>
        <w:t>万元。</w:t>
      </w:r>
    </w:p>
    <w:p>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1.一般公共预算拨款收入：指市级财政当年拨付的资金。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2.上年结转：指以前年度尚未完成，结转到本年仍按原规定用途继续使用的资金。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.一般公共服务支出（类）纪检监察事务（款）其他纪检监察事务支出（项）：指其他用于纪检、监察方面的支出。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4.社会保障和就业支出（类）行政事业单位养老支出（款）机关事业单位基本养老保险缴费支出（项）：指本级疾控机构缴纳的基本养老保险支出。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 卫生健康支出（类）公共卫生（款）疾病预防控制机构（项）：指用于保障疾控中心的正常运转，开展的日常工作支出。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.卫生健康支出（类）公共卫生（款）重大公共卫生专项（项）：指用</w:t>
      </w:r>
      <w:r>
        <w:rPr>
          <w:rFonts w:hint="eastAsia" w:ascii="Times New Roman" w:hAnsi="Times New Roman" w:eastAsia="仿宋_GB2312" w:cs="Times New Roman"/>
          <w:sz w:val="32"/>
          <w:szCs w:val="32"/>
          <w:highlight w:val="none"/>
          <w:lang w:val="en-US" w:eastAsia="zh-CN"/>
        </w:rPr>
        <w:t>于</w:t>
      </w:r>
      <w:bookmarkStart w:id="0" w:name="_GoBack"/>
      <w:bookmarkEnd w:id="0"/>
      <w:r>
        <w:rPr>
          <w:rFonts w:hint="eastAsia" w:ascii="Times New Roman" w:hAnsi="Times New Roman" w:eastAsia="仿宋_GB2312" w:cs="Times New Roman"/>
          <w:sz w:val="32"/>
          <w:szCs w:val="32"/>
          <w:highlight w:val="none"/>
          <w:lang w:val="en-US" w:eastAsia="zh-CN"/>
        </w:rPr>
        <w:t>重大疾病、重大传染病预防控制等重大公共卫生服务项目</w:t>
      </w:r>
      <w:r>
        <w:rPr>
          <w:rFonts w:hint="default" w:ascii="Times New Roman" w:hAnsi="Times New Roman" w:eastAsia="仿宋_GB2312" w:cs="Times New Roman"/>
          <w:sz w:val="32"/>
          <w:szCs w:val="32"/>
          <w:highlight w:val="none"/>
          <w:lang w:val="en-US" w:eastAsia="zh-CN"/>
        </w:rPr>
        <w:t>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.卫生健康支出（类）公共卫生（款）其他公共卫生支出（项）:指未单独设置项目其他用于公共卫生方面的支出。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.卫生健康支出（类）行政事业单位医疗（款）事业单位医疗（项）：指本级疾控机构用于职工事业单位医疗保险方面的支出。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420" w:firstLineChars="200"/>
        <w:jc w:val="both"/>
        <w:textAlignment w:val="auto"/>
        <w:rPr>
          <w:rFonts w:hint="default"/>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.卫生健康支出（类）行政事业单位医疗（款）公务员医疗补助（项）：指本级疾控机构用于职工事业单位医疗保险方面的支出。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.基本支出：指为保证机构正常运转，完成日常工作任务而发生的人员支出和公用支出。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.项目支出：指在基本支出之外为完成特定任务和事业发展目标所发生的支出。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13.社会保障和就业支出（类）行政事业单位养老支出（款）机关事业单位基本养老保险缴费支出（项）：指本级疾控机构缴纳的基本养老保险支出。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广安市疾病预防控制中心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2025年单位预算表</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7FB9AEC"/>
    <w:rsid w:val="0DE43B64"/>
    <w:rsid w:val="0E8E73A6"/>
    <w:rsid w:val="0EDE4B69"/>
    <w:rsid w:val="1BB4231C"/>
    <w:rsid w:val="1DC76EF2"/>
    <w:rsid w:val="1DE9F11D"/>
    <w:rsid w:val="1DFEF48B"/>
    <w:rsid w:val="1E9F4C3A"/>
    <w:rsid w:val="25DE61D9"/>
    <w:rsid w:val="2BFC9281"/>
    <w:rsid w:val="2ECF76CD"/>
    <w:rsid w:val="2EFA30E5"/>
    <w:rsid w:val="2F7B0E85"/>
    <w:rsid w:val="2FEF01F5"/>
    <w:rsid w:val="2FFB707B"/>
    <w:rsid w:val="32EFF810"/>
    <w:rsid w:val="36CD608B"/>
    <w:rsid w:val="377F3185"/>
    <w:rsid w:val="37FBEA9E"/>
    <w:rsid w:val="39DD1DB1"/>
    <w:rsid w:val="3B678F80"/>
    <w:rsid w:val="3DBE190E"/>
    <w:rsid w:val="3DDFAF5A"/>
    <w:rsid w:val="3DFF4E2E"/>
    <w:rsid w:val="3F1AE53A"/>
    <w:rsid w:val="3F3F488F"/>
    <w:rsid w:val="3F621BF3"/>
    <w:rsid w:val="3F791594"/>
    <w:rsid w:val="3F7FAA5D"/>
    <w:rsid w:val="3FD29B95"/>
    <w:rsid w:val="3FDE44F7"/>
    <w:rsid w:val="3FDF815C"/>
    <w:rsid w:val="3FEF825B"/>
    <w:rsid w:val="3FEFE3D5"/>
    <w:rsid w:val="3FF3EC38"/>
    <w:rsid w:val="3FFF70CC"/>
    <w:rsid w:val="3FFFA3CB"/>
    <w:rsid w:val="45FD8A71"/>
    <w:rsid w:val="4BFF6A57"/>
    <w:rsid w:val="4D63BDF9"/>
    <w:rsid w:val="4ECEA1FA"/>
    <w:rsid w:val="4EEFC68D"/>
    <w:rsid w:val="4F37A3C3"/>
    <w:rsid w:val="4F433666"/>
    <w:rsid w:val="4FFEE9D8"/>
    <w:rsid w:val="51E90711"/>
    <w:rsid w:val="51FFCCEF"/>
    <w:rsid w:val="539E599D"/>
    <w:rsid w:val="565FD5B5"/>
    <w:rsid w:val="573F4DA3"/>
    <w:rsid w:val="57FF346B"/>
    <w:rsid w:val="57FFFCA8"/>
    <w:rsid w:val="5B5F0CC9"/>
    <w:rsid w:val="5BB74EB4"/>
    <w:rsid w:val="5BCF566F"/>
    <w:rsid w:val="5BFD8A6C"/>
    <w:rsid w:val="5CB7BA99"/>
    <w:rsid w:val="5DDB791A"/>
    <w:rsid w:val="5E234ABD"/>
    <w:rsid w:val="5EEF604E"/>
    <w:rsid w:val="5EFC0B81"/>
    <w:rsid w:val="5F2F86E9"/>
    <w:rsid w:val="5F6F3C3F"/>
    <w:rsid w:val="5F99BEEB"/>
    <w:rsid w:val="5FEBC0AE"/>
    <w:rsid w:val="5FFC71C1"/>
    <w:rsid w:val="5FFD6B23"/>
    <w:rsid w:val="5FFF02DC"/>
    <w:rsid w:val="60F726A0"/>
    <w:rsid w:val="62FFCF84"/>
    <w:rsid w:val="637D6C4A"/>
    <w:rsid w:val="64D916AD"/>
    <w:rsid w:val="64FD4209"/>
    <w:rsid w:val="65FDF4C4"/>
    <w:rsid w:val="66E20F29"/>
    <w:rsid w:val="66FDBA4D"/>
    <w:rsid w:val="67EB96A3"/>
    <w:rsid w:val="67EDB2D3"/>
    <w:rsid w:val="67FB5502"/>
    <w:rsid w:val="695F21A8"/>
    <w:rsid w:val="697FDAD1"/>
    <w:rsid w:val="6A3BA3A0"/>
    <w:rsid w:val="6AB98647"/>
    <w:rsid w:val="6ADD441F"/>
    <w:rsid w:val="6B9EC8B1"/>
    <w:rsid w:val="6BD79FFD"/>
    <w:rsid w:val="6BD7AFE7"/>
    <w:rsid w:val="6BF0725A"/>
    <w:rsid w:val="6D7B497F"/>
    <w:rsid w:val="6DB64D93"/>
    <w:rsid w:val="6DD7B53C"/>
    <w:rsid w:val="6DDDF40B"/>
    <w:rsid w:val="6DF75BAF"/>
    <w:rsid w:val="6EEBF8E0"/>
    <w:rsid w:val="6FDE6FE1"/>
    <w:rsid w:val="6FEB567E"/>
    <w:rsid w:val="6FEF4AB2"/>
    <w:rsid w:val="6FEFEB7F"/>
    <w:rsid w:val="6FF4F0DA"/>
    <w:rsid w:val="6FFC80DD"/>
    <w:rsid w:val="6FFD0F14"/>
    <w:rsid w:val="721785BF"/>
    <w:rsid w:val="72DE59CC"/>
    <w:rsid w:val="7375DF5E"/>
    <w:rsid w:val="739F2F70"/>
    <w:rsid w:val="73F74E23"/>
    <w:rsid w:val="73FD91D9"/>
    <w:rsid w:val="74F7000D"/>
    <w:rsid w:val="756F70C2"/>
    <w:rsid w:val="759D4E1E"/>
    <w:rsid w:val="759F38F3"/>
    <w:rsid w:val="75F3C55E"/>
    <w:rsid w:val="75FB674F"/>
    <w:rsid w:val="767F8A52"/>
    <w:rsid w:val="76BF4AD8"/>
    <w:rsid w:val="76BF7359"/>
    <w:rsid w:val="772E9B3B"/>
    <w:rsid w:val="778D2CB2"/>
    <w:rsid w:val="77D49733"/>
    <w:rsid w:val="77EF9585"/>
    <w:rsid w:val="77F541BA"/>
    <w:rsid w:val="77FF051E"/>
    <w:rsid w:val="787E18D0"/>
    <w:rsid w:val="78FD9C9E"/>
    <w:rsid w:val="79C7EFBA"/>
    <w:rsid w:val="79E3343C"/>
    <w:rsid w:val="79FF2DD5"/>
    <w:rsid w:val="7ABE358F"/>
    <w:rsid w:val="7AD62292"/>
    <w:rsid w:val="7AEAF4A7"/>
    <w:rsid w:val="7B1743EB"/>
    <w:rsid w:val="7BB3323D"/>
    <w:rsid w:val="7BFAD181"/>
    <w:rsid w:val="7C5DECEC"/>
    <w:rsid w:val="7CDD5CC0"/>
    <w:rsid w:val="7CEF0F50"/>
    <w:rsid w:val="7D7E018B"/>
    <w:rsid w:val="7D9FA4C0"/>
    <w:rsid w:val="7DBB01BF"/>
    <w:rsid w:val="7DDF1AF8"/>
    <w:rsid w:val="7DF4D461"/>
    <w:rsid w:val="7DFA9A20"/>
    <w:rsid w:val="7DFB1BA0"/>
    <w:rsid w:val="7DFB24B8"/>
    <w:rsid w:val="7DFF8090"/>
    <w:rsid w:val="7DFFD2A9"/>
    <w:rsid w:val="7E3E0B3C"/>
    <w:rsid w:val="7E978AA5"/>
    <w:rsid w:val="7EB5E646"/>
    <w:rsid w:val="7ED76C44"/>
    <w:rsid w:val="7EE38F8E"/>
    <w:rsid w:val="7EEF754F"/>
    <w:rsid w:val="7EF7D787"/>
    <w:rsid w:val="7EFD428A"/>
    <w:rsid w:val="7F3A4C55"/>
    <w:rsid w:val="7F3F68DB"/>
    <w:rsid w:val="7F6C8997"/>
    <w:rsid w:val="7F7F8A8C"/>
    <w:rsid w:val="7F7FEEAD"/>
    <w:rsid w:val="7F9EA7B0"/>
    <w:rsid w:val="7FB7C30D"/>
    <w:rsid w:val="7FB98ECB"/>
    <w:rsid w:val="7FBB9175"/>
    <w:rsid w:val="7FCBD3A9"/>
    <w:rsid w:val="7FD7481F"/>
    <w:rsid w:val="7FD7ED1C"/>
    <w:rsid w:val="7FD8BAE2"/>
    <w:rsid w:val="7FDCF33E"/>
    <w:rsid w:val="7FDF86D9"/>
    <w:rsid w:val="7FDF8BCB"/>
    <w:rsid w:val="7FE71B81"/>
    <w:rsid w:val="7FEADD71"/>
    <w:rsid w:val="7FEC8987"/>
    <w:rsid w:val="7FEF709E"/>
    <w:rsid w:val="7FF3F684"/>
    <w:rsid w:val="7FF4C365"/>
    <w:rsid w:val="7FFB4321"/>
    <w:rsid w:val="7FFE21AE"/>
    <w:rsid w:val="7FFF3BE2"/>
    <w:rsid w:val="7FFF95F4"/>
    <w:rsid w:val="8EFBE6A0"/>
    <w:rsid w:val="91E62BB7"/>
    <w:rsid w:val="96FDF29C"/>
    <w:rsid w:val="9AFF949E"/>
    <w:rsid w:val="9B83DEA0"/>
    <w:rsid w:val="9D570E8E"/>
    <w:rsid w:val="9DE7BDC3"/>
    <w:rsid w:val="9F7B9E5F"/>
    <w:rsid w:val="9F7DB929"/>
    <w:rsid w:val="9FA77763"/>
    <w:rsid w:val="9FF7D4E3"/>
    <w:rsid w:val="9FF9DDE2"/>
    <w:rsid w:val="A7F82082"/>
    <w:rsid w:val="ABB1ABD0"/>
    <w:rsid w:val="ADFF75AB"/>
    <w:rsid w:val="AF9718FB"/>
    <w:rsid w:val="AFC71340"/>
    <w:rsid w:val="AFFE5BB8"/>
    <w:rsid w:val="AFFFE2DF"/>
    <w:rsid w:val="B2F3A14B"/>
    <w:rsid w:val="B3EA28AC"/>
    <w:rsid w:val="B3FFDEA0"/>
    <w:rsid w:val="B5BF2B77"/>
    <w:rsid w:val="B77E594C"/>
    <w:rsid w:val="B7B98E97"/>
    <w:rsid w:val="BBAF8D3F"/>
    <w:rsid w:val="BBFFF85A"/>
    <w:rsid w:val="BCBD82CC"/>
    <w:rsid w:val="BD505710"/>
    <w:rsid w:val="BDBDE493"/>
    <w:rsid w:val="BDDB6FF4"/>
    <w:rsid w:val="BDFF889B"/>
    <w:rsid w:val="BEE35A71"/>
    <w:rsid w:val="BF3D0B16"/>
    <w:rsid w:val="BF468812"/>
    <w:rsid w:val="BF5FF2C2"/>
    <w:rsid w:val="BFCD2B58"/>
    <w:rsid w:val="BFD72344"/>
    <w:rsid w:val="BFD80DD6"/>
    <w:rsid w:val="BFDD4EC1"/>
    <w:rsid w:val="BFDFAA43"/>
    <w:rsid w:val="BFF7380A"/>
    <w:rsid w:val="BFFF5926"/>
    <w:rsid w:val="CEFD6CA4"/>
    <w:rsid w:val="CFC7E802"/>
    <w:rsid w:val="CFFBFFC8"/>
    <w:rsid w:val="D4FD4202"/>
    <w:rsid w:val="D5FDBD33"/>
    <w:rsid w:val="D67FCEF0"/>
    <w:rsid w:val="D72DFD28"/>
    <w:rsid w:val="D774B09B"/>
    <w:rsid w:val="D9EC49E6"/>
    <w:rsid w:val="DB73C688"/>
    <w:rsid w:val="DBCA0C73"/>
    <w:rsid w:val="DBED9FD1"/>
    <w:rsid w:val="DBF84648"/>
    <w:rsid w:val="DD6FFD71"/>
    <w:rsid w:val="DDFEF735"/>
    <w:rsid w:val="DE1D3DF5"/>
    <w:rsid w:val="DF2F6983"/>
    <w:rsid w:val="DF562D51"/>
    <w:rsid w:val="DF7D0F9D"/>
    <w:rsid w:val="DF7FE03E"/>
    <w:rsid w:val="DFA584FC"/>
    <w:rsid w:val="DFBD8956"/>
    <w:rsid w:val="DFF30D5D"/>
    <w:rsid w:val="DFF70DE6"/>
    <w:rsid w:val="DFF7F1CE"/>
    <w:rsid w:val="DFFFD693"/>
    <w:rsid w:val="E3FB77CB"/>
    <w:rsid w:val="E3FFCDB0"/>
    <w:rsid w:val="E57C60F2"/>
    <w:rsid w:val="E6DCE558"/>
    <w:rsid w:val="E6FF2D9E"/>
    <w:rsid w:val="E7DBA30F"/>
    <w:rsid w:val="E7EFF9EE"/>
    <w:rsid w:val="E9DFBDB0"/>
    <w:rsid w:val="E9F92423"/>
    <w:rsid w:val="EB7D6428"/>
    <w:rsid w:val="ECF74D3C"/>
    <w:rsid w:val="ECFB6ADD"/>
    <w:rsid w:val="EE7B0A09"/>
    <w:rsid w:val="EFAB6C73"/>
    <w:rsid w:val="EFCDE206"/>
    <w:rsid w:val="EFCF769C"/>
    <w:rsid w:val="EFD73623"/>
    <w:rsid w:val="EFDC6108"/>
    <w:rsid w:val="EFDFFF7B"/>
    <w:rsid w:val="EFEAADEA"/>
    <w:rsid w:val="EFEF5E52"/>
    <w:rsid w:val="EFF9A1F4"/>
    <w:rsid w:val="F0DF4E05"/>
    <w:rsid w:val="F177F75C"/>
    <w:rsid w:val="F3C75683"/>
    <w:rsid w:val="F3E62AB3"/>
    <w:rsid w:val="F3E75C08"/>
    <w:rsid w:val="F3F48EE5"/>
    <w:rsid w:val="F4F76BA5"/>
    <w:rsid w:val="F5DD9CA7"/>
    <w:rsid w:val="F6DB46F2"/>
    <w:rsid w:val="F6FFC38C"/>
    <w:rsid w:val="F7395233"/>
    <w:rsid w:val="F75D0109"/>
    <w:rsid w:val="F77F50F1"/>
    <w:rsid w:val="F79B469D"/>
    <w:rsid w:val="F7BFCCB3"/>
    <w:rsid w:val="F7C75F64"/>
    <w:rsid w:val="F7EED03B"/>
    <w:rsid w:val="F89FBBC4"/>
    <w:rsid w:val="F93FD796"/>
    <w:rsid w:val="F9F9D835"/>
    <w:rsid w:val="FA3FE980"/>
    <w:rsid w:val="FA789EE2"/>
    <w:rsid w:val="FA7F3EDC"/>
    <w:rsid w:val="FA8E0CE9"/>
    <w:rsid w:val="FAD26073"/>
    <w:rsid w:val="FBE72CAC"/>
    <w:rsid w:val="FBF37D3B"/>
    <w:rsid w:val="FBF3EDCC"/>
    <w:rsid w:val="FBFF3712"/>
    <w:rsid w:val="FBFFDDF7"/>
    <w:rsid w:val="FC5920DD"/>
    <w:rsid w:val="FCFF9E87"/>
    <w:rsid w:val="FD2ECB09"/>
    <w:rsid w:val="FDDFA159"/>
    <w:rsid w:val="FDE25C5B"/>
    <w:rsid w:val="FDEED3ED"/>
    <w:rsid w:val="FDF1D6F5"/>
    <w:rsid w:val="FDF28F03"/>
    <w:rsid w:val="FDF67BE1"/>
    <w:rsid w:val="FDFCB934"/>
    <w:rsid w:val="FDFF94D0"/>
    <w:rsid w:val="FDFFE868"/>
    <w:rsid w:val="FE1F8584"/>
    <w:rsid w:val="FE77DCD2"/>
    <w:rsid w:val="FE7B838E"/>
    <w:rsid w:val="FE7FE7EF"/>
    <w:rsid w:val="FE9B069E"/>
    <w:rsid w:val="FEDFEE03"/>
    <w:rsid w:val="FEF3B7A1"/>
    <w:rsid w:val="FEF3D7D9"/>
    <w:rsid w:val="FEFBAE56"/>
    <w:rsid w:val="FF1F93AC"/>
    <w:rsid w:val="FF56AC5E"/>
    <w:rsid w:val="FF5D72AE"/>
    <w:rsid w:val="FF63CA2D"/>
    <w:rsid w:val="FF68CA67"/>
    <w:rsid w:val="FF7BC052"/>
    <w:rsid w:val="FF7F5223"/>
    <w:rsid w:val="FF7FA09A"/>
    <w:rsid w:val="FFADD35B"/>
    <w:rsid w:val="FFBC97BA"/>
    <w:rsid w:val="FFBF6E51"/>
    <w:rsid w:val="FFD9E843"/>
    <w:rsid w:val="FFDEEB1F"/>
    <w:rsid w:val="FFE16792"/>
    <w:rsid w:val="FFE3C93D"/>
    <w:rsid w:val="FFE7A7D0"/>
    <w:rsid w:val="FFEF0E2C"/>
    <w:rsid w:val="FFEFF5B7"/>
    <w:rsid w:val="FFF4E5EE"/>
    <w:rsid w:val="FFF7CA75"/>
    <w:rsid w:val="FFFB332B"/>
    <w:rsid w:val="FFFB8E12"/>
    <w:rsid w:val="FFFF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6399</Words>
  <Characters>6787</Characters>
  <Lines>21</Lines>
  <Paragraphs>6</Paragraphs>
  <TotalTime>1</TotalTime>
  <ScaleCrop>false</ScaleCrop>
  <LinksUpToDate>false</LinksUpToDate>
  <CharactersWithSpaces>6854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2018-03-05T23:32:00Z</dcterms:created>
  <dc:creator>微软用户</dc:creator>
  <cp:lastModifiedBy>何斌</cp:lastModifiedBy>
  <cp:lastPrinted>2023-05-16T02:35:00Z</cp:lastPrinted>
  <dcterms:modified xsi:type="dcterms:W3CDTF">2025-02-10T11:52:18Z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244271346A5CA848212EA4672E356C9D</vt:lpwstr>
  </property>
  <property fmtid="{D5CDD505-2E9C-101B-9397-08002B2CF9AE}" pid="4" name="KSOTemplateDocerSaveRecord">
    <vt:lpwstr>eyJoZGlkIjoiMWVjM2RmM2M4NDBiZmU3NTFkYWQ3ZDhhN2EwZGExNTYifQ==</vt:lpwstr>
  </property>
</Properties>
</file>